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B6B" w:rsidTr="0010095E">
        <w:trPr>
          <w:trHeight w:hRule="exact" w:val="1418"/>
        </w:trPr>
        <w:tc>
          <w:tcPr>
            <w:tcW w:w="6804" w:type="dxa"/>
            <w:shd w:val="clear" w:color="auto" w:fill="auto"/>
            <w:vAlign w:val="center"/>
          </w:tcPr>
          <w:p w:rsidR="00751A4A" w:rsidRPr="007F3B6B" w:rsidRDefault="00950451" w:rsidP="0010095E">
            <w:pPr>
              <w:pStyle w:val="EPName"/>
            </w:pPr>
            <w:bookmarkStart w:id="0" w:name="_GoBack"/>
            <w:bookmarkEnd w:id="0"/>
            <w:r w:rsidRPr="007F3B6B">
              <w:t>Ευρωπαϊκό Κοινοβούλιο</w:t>
            </w:r>
          </w:p>
          <w:p w:rsidR="00751A4A" w:rsidRPr="007F3B6B" w:rsidRDefault="00817416" w:rsidP="00756632">
            <w:pPr>
              <w:pStyle w:val="EPTerm"/>
              <w:rPr>
                <w:rStyle w:val="HideTWBExt"/>
                <w:noProof w:val="0"/>
                <w:vanish w:val="0"/>
                <w:color w:val="auto"/>
              </w:rPr>
            </w:pPr>
            <w:r w:rsidRPr="007F3B6B">
              <w:t>2019-2024</w:t>
            </w:r>
          </w:p>
        </w:tc>
        <w:tc>
          <w:tcPr>
            <w:tcW w:w="2268" w:type="dxa"/>
            <w:shd w:val="clear" w:color="auto" w:fill="auto"/>
          </w:tcPr>
          <w:p w:rsidR="00751A4A" w:rsidRPr="007F3B6B" w:rsidRDefault="00187494" w:rsidP="0010095E">
            <w:pPr>
              <w:pStyle w:val="EPLogo"/>
            </w:pPr>
            <w:r w:rsidRPr="007F3B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3B6B" w:rsidRDefault="00D058B8" w:rsidP="004C5D52">
      <w:pPr>
        <w:pStyle w:val="LineTop"/>
      </w:pPr>
    </w:p>
    <w:p w:rsidR="00680577" w:rsidRPr="007F3B6B" w:rsidRDefault="00950451" w:rsidP="00680577">
      <w:pPr>
        <w:pStyle w:val="EPBodyTA1"/>
      </w:pPr>
      <w:r w:rsidRPr="007F3B6B">
        <w:t>ΚΕΙΜΕΝΑ ΠΟΥ ΕΓΚΡΙΘΗΚΑΝ</w:t>
      </w:r>
    </w:p>
    <w:p w:rsidR="00D058B8" w:rsidRPr="007F3B6B" w:rsidRDefault="00D058B8" w:rsidP="00D058B8">
      <w:pPr>
        <w:pStyle w:val="LineBottom"/>
      </w:pPr>
    </w:p>
    <w:p w:rsidR="00950451" w:rsidRPr="007F3B6B" w:rsidRDefault="00950451" w:rsidP="00950451">
      <w:pPr>
        <w:pStyle w:val="ATHeading1"/>
      </w:pPr>
      <w:bookmarkStart w:id="1" w:name="TANumber"/>
      <w:r w:rsidRPr="007F3B6B">
        <w:t>P9_TA(2024)0</w:t>
      </w:r>
      <w:r w:rsidR="007F3B6B" w:rsidRPr="007F3B6B">
        <w:t>246</w:t>
      </w:r>
      <w:bookmarkEnd w:id="1"/>
    </w:p>
    <w:p w:rsidR="00950451" w:rsidRPr="007F3B6B" w:rsidRDefault="00950451" w:rsidP="00950451">
      <w:pPr>
        <w:pStyle w:val="ATHeading2"/>
      </w:pPr>
      <w:bookmarkStart w:id="2" w:name="title"/>
      <w:r w:rsidRPr="007F3B6B">
        <w:t>Απαλλαγή 2022: Οργανισμός της Ευρωπαϊκής Ένωσης για τη Συνεργασία στον Τομέα της Ποινικής Δικαιοσύνης (Eurojust)</w:t>
      </w:r>
      <w:bookmarkEnd w:id="2"/>
    </w:p>
    <w:p w:rsidR="00950451" w:rsidRPr="007F3B6B" w:rsidRDefault="00950451" w:rsidP="00950451">
      <w:pPr>
        <w:rPr>
          <w:i/>
          <w:vanish/>
        </w:rPr>
      </w:pPr>
      <w:r w:rsidRPr="007F3B6B">
        <w:rPr>
          <w:i/>
        </w:rPr>
        <w:fldChar w:fldCharType="begin"/>
      </w:r>
      <w:r w:rsidRPr="007F3B6B">
        <w:rPr>
          <w:i/>
        </w:rPr>
        <w:instrText xml:space="preserve"> TC"(</w:instrText>
      </w:r>
      <w:bookmarkStart w:id="3" w:name="DocNumber"/>
      <w:r w:rsidRPr="007F3B6B">
        <w:rPr>
          <w:i/>
        </w:rPr>
        <w:instrText>A9-0099/2024</w:instrText>
      </w:r>
      <w:bookmarkEnd w:id="3"/>
      <w:r w:rsidRPr="007F3B6B">
        <w:rPr>
          <w:i/>
        </w:rPr>
        <w:instrText xml:space="preserve"> - Εισηγητής: Petri Sarvamaa)"\l3 \n&gt; \* MERGEFORMAT </w:instrText>
      </w:r>
      <w:r w:rsidRPr="007F3B6B">
        <w:rPr>
          <w:i/>
        </w:rPr>
        <w:fldChar w:fldCharType="end"/>
      </w:r>
    </w:p>
    <w:p w:rsidR="00950451" w:rsidRPr="007F3B6B" w:rsidRDefault="00950451" w:rsidP="00950451">
      <w:pPr>
        <w:rPr>
          <w:vanish/>
        </w:rPr>
      </w:pPr>
      <w:bookmarkStart w:id="4" w:name="Commission"/>
      <w:r w:rsidRPr="007F3B6B">
        <w:rPr>
          <w:vanish/>
        </w:rPr>
        <w:t>Επιτροπή Ελέγχου του Προϋπολογισμού</w:t>
      </w:r>
      <w:bookmarkEnd w:id="4"/>
    </w:p>
    <w:p w:rsidR="00950451" w:rsidRPr="007F3B6B" w:rsidRDefault="00950451" w:rsidP="00950451">
      <w:pPr>
        <w:rPr>
          <w:vanish/>
        </w:rPr>
      </w:pPr>
      <w:bookmarkStart w:id="5" w:name="PE"/>
      <w:r w:rsidRPr="007F3B6B">
        <w:rPr>
          <w:vanish/>
        </w:rPr>
        <w:t>PE753.539</w:t>
      </w:r>
      <w:bookmarkEnd w:id="5"/>
    </w:p>
    <w:p w:rsidR="00950451" w:rsidRPr="007F3B6B" w:rsidRDefault="001E7250" w:rsidP="00950451">
      <w:pPr>
        <w:pStyle w:val="ATHeading3"/>
      </w:pPr>
      <w:bookmarkStart w:id="6" w:name="Sujet"/>
      <w:r w:rsidRPr="007F3B6B">
        <w:t>1. Α</w:t>
      </w:r>
      <w:r w:rsidR="00950451" w:rsidRPr="007F3B6B">
        <w:t xml:space="preserve">πόφαση του Ευρωπαϊκού Κοινοβουλίου </w:t>
      </w:r>
      <w:r w:rsidRPr="007F3B6B">
        <w:t xml:space="preserve">της 11ης Απριλίου 2024 </w:t>
      </w:r>
      <w:r w:rsidR="00950451" w:rsidRPr="007F3B6B">
        <w:t>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(Eurojust) για το οικονομικό έτος 2022</w:t>
      </w:r>
      <w:bookmarkEnd w:id="6"/>
      <w:r w:rsidR="00950451" w:rsidRPr="007F3B6B">
        <w:t xml:space="preserve"> </w:t>
      </w:r>
      <w:bookmarkStart w:id="7" w:name="References"/>
      <w:r w:rsidR="00950451" w:rsidRPr="007F3B6B">
        <w:t>(2023/2168(DEC))</w:t>
      </w:r>
      <w:bookmarkEnd w:id="7"/>
    </w:p>
    <w:p w:rsidR="003C0768" w:rsidRPr="007F3B6B" w:rsidRDefault="003C0768" w:rsidP="003C0768">
      <w:pPr>
        <w:pStyle w:val="EPComma"/>
      </w:pPr>
      <w:bookmarkStart w:id="8" w:name="TextBodyBegin"/>
      <w:bookmarkEnd w:id="8"/>
      <w:r w:rsidRPr="007F3B6B">
        <w:rPr>
          <w:i/>
        </w:rPr>
        <w:t>Το Ευρωπαϊκό Κοινοβούλιο</w:t>
      </w:r>
      <w:r w:rsidRPr="007F3B6B">
        <w:t>,</w:t>
      </w:r>
    </w:p>
    <w:p w:rsidR="003C0768" w:rsidRPr="007F3B6B" w:rsidRDefault="003C0768" w:rsidP="003C0768">
      <w:pPr>
        <w:pStyle w:val="NormalHanging12a"/>
      </w:pPr>
      <w:r w:rsidRPr="007F3B6B">
        <w:t>–</w:t>
      </w:r>
      <w:r w:rsidRPr="007F3B6B">
        <w:tab/>
        <w:t>έχοντας υπόψη τους οριστικούς ετήσιους λογαριασμούς του Οργανισμού της Ευρωπαϊκής Ένωσης για τη Συνεργασία στον Τομέα της Ποινικής Δικαιοσύνης (Eurojust) για το οικονομικό έτος 2022,</w:t>
      </w:r>
    </w:p>
    <w:p w:rsidR="003C0768" w:rsidRPr="007F3B6B" w:rsidRDefault="003C0768" w:rsidP="003C0768">
      <w:pPr>
        <w:pStyle w:val="NormalHanging12a"/>
      </w:pPr>
      <w:r w:rsidRPr="007F3B6B">
        <w:t>–</w:t>
      </w:r>
      <w:r w:rsidRPr="007F3B6B">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7F3B6B">
        <w:rPr>
          <w:rStyle w:val="FootnoteReference"/>
        </w:rPr>
        <w:footnoteReference w:id="1"/>
      </w:r>
      <w:r w:rsidRPr="007F3B6B">
        <w:t>,</w:t>
      </w:r>
    </w:p>
    <w:p w:rsidR="003C0768" w:rsidRPr="007F3B6B" w:rsidRDefault="003C0768" w:rsidP="003C0768">
      <w:pPr>
        <w:pStyle w:val="NormalHanging12a"/>
      </w:pPr>
      <w:r w:rsidRPr="007F3B6B">
        <w:t>–</w:t>
      </w:r>
      <w:r w:rsidRPr="007F3B6B">
        <w:tab/>
        <w:t>έχοντας υπόψη τη δήλωση αξιοπιστίας</w:t>
      </w:r>
      <w:r w:rsidRPr="007F3B6B">
        <w:rPr>
          <w:rStyle w:val="FootnoteReference"/>
        </w:rPr>
        <w:footnoteReference w:id="2"/>
      </w:r>
      <w:r w:rsidRPr="007F3B6B">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3C0768" w:rsidRPr="007F3B6B" w:rsidRDefault="003C0768" w:rsidP="003C0768">
      <w:pPr>
        <w:pStyle w:val="NormalHanging12a"/>
      </w:pPr>
      <w:r w:rsidRPr="007F3B6B">
        <w:t>–</w:t>
      </w:r>
      <w:r w:rsidRPr="007F3B6B">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(0</w:t>
      </w:r>
      <w:r w:rsidR="00054A85" w:rsidRPr="007F3B6B">
        <w:t>618</w:t>
      </w:r>
      <w:r w:rsidRPr="007F3B6B">
        <w:t>0/2024 – C9</w:t>
      </w:r>
      <w:r w:rsidRPr="007F3B6B">
        <w:noBreakHyphen/>
        <w:t>0</w:t>
      </w:r>
      <w:r w:rsidR="00054A85" w:rsidRPr="007F3B6B">
        <w:t>106</w:t>
      </w:r>
      <w:r w:rsidRPr="007F3B6B">
        <w:t>/2024),</w:t>
      </w:r>
    </w:p>
    <w:p w:rsidR="003C0768" w:rsidRPr="007F3B6B" w:rsidRDefault="003C0768" w:rsidP="003C0768">
      <w:pPr>
        <w:pStyle w:val="NormalHanging12a"/>
      </w:pPr>
      <w:r w:rsidRPr="007F3B6B">
        <w:t>–</w:t>
      </w:r>
      <w:r w:rsidRPr="007F3B6B">
        <w:tab/>
        <w:t>έχοντας υπόψη το άρθρο 319 της Συνθήκης για τη λειτουργία της Ευρωπαϊκής Ένωσης,</w:t>
      </w:r>
    </w:p>
    <w:p w:rsidR="003C0768" w:rsidRPr="007F3B6B" w:rsidRDefault="003C0768" w:rsidP="003C0768">
      <w:pPr>
        <w:pStyle w:val="NormalHanging12a"/>
      </w:pPr>
      <w:r w:rsidRPr="007F3B6B">
        <w:t>–</w:t>
      </w:r>
      <w:r w:rsidRPr="007F3B6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7F3B6B">
        <w:rPr>
          <w:rStyle w:val="FootnoteReference"/>
        </w:rPr>
        <w:footnoteReference w:id="3"/>
      </w:r>
      <w:r w:rsidRPr="007F3B6B">
        <w:t>, και ιδίως το άρθρο 70,</w:t>
      </w:r>
    </w:p>
    <w:p w:rsidR="003C0768" w:rsidRPr="007F3B6B" w:rsidRDefault="003C0768" w:rsidP="003C0768">
      <w:pPr>
        <w:pStyle w:val="NormalHanging12a"/>
      </w:pPr>
      <w:r w:rsidRPr="007F3B6B">
        <w:lastRenderedPageBreak/>
        <w:t>–</w:t>
      </w:r>
      <w:r w:rsidRPr="007F3B6B">
        <w:tab/>
        <w:t>έχοντας υπόψη τον κανονισμό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w:t>
      </w:r>
      <w:r w:rsidRPr="007F3B6B">
        <w:rPr>
          <w:rStyle w:val="FootnoteReference"/>
        </w:rPr>
        <w:footnoteReference w:id="4"/>
      </w:r>
      <w:r w:rsidRPr="007F3B6B">
        <w:t>του Συμβουλίου, και ιδίως το άρθρο 63,</w:t>
      </w:r>
    </w:p>
    <w:p w:rsidR="003C0768" w:rsidRPr="007F3B6B" w:rsidRDefault="003C0768" w:rsidP="003C0768">
      <w:pPr>
        <w:pStyle w:val="NormalHanging12a"/>
      </w:pPr>
      <w:r w:rsidRPr="007F3B6B">
        <w:t>–</w:t>
      </w:r>
      <w:r w:rsidRPr="007F3B6B">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7F3B6B">
        <w:rPr>
          <w:rStyle w:val="FootnoteReference"/>
        </w:rPr>
        <w:footnoteReference w:id="5"/>
      </w:r>
      <w:r w:rsidRPr="007F3B6B">
        <w:t>, και ιδίως το άρθρο 105,</w:t>
      </w:r>
    </w:p>
    <w:p w:rsidR="003C0768" w:rsidRPr="007F3B6B" w:rsidRDefault="003C0768" w:rsidP="003C0768">
      <w:pPr>
        <w:pStyle w:val="NormalHanging12a"/>
      </w:pPr>
      <w:r w:rsidRPr="007F3B6B">
        <w:t>–</w:t>
      </w:r>
      <w:r w:rsidRPr="007F3B6B">
        <w:tab/>
        <w:t>έχοντας υπόψη το άρθρο 100 και το παράρτημα V του Κανονισμού του,</w:t>
      </w:r>
    </w:p>
    <w:p w:rsidR="003C0768" w:rsidRPr="007F3B6B" w:rsidRDefault="003C0768" w:rsidP="003C0768">
      <w:pPr>
        <w:pStyle w:val="NormalHanging12a"/>
      </w:pPr>
      <w:r w:rsidRPr="007F3B6B">
        <w:t>–</w:t>
      </w:r>
      <w:r w:rsidRPr="007F3B6B">
        <w:tab/>
        <w:t>έχοντας υπόψη τη γνωμοδότηση της Επιτροπής Πολιτικών Ελευθεριών, Δικαιοσύνης και Εσωτερικών Υποθέσεων,</w:t>
      </w:r>
    </w:p>
    <w:p w:rsidR="003C0768" w:rsidRPr="007F3B6B" w:rsidRDefault="003C0768" w:rsidP="003C0768">
      <w:pPr>
        <w:pStyle w:val="NormalHanging12a"/>
      </w:pPr>
      <w:r w:rsidRPr="007F3B6B">
        <w:t>–</w:t>
      </w:r>
      <w:r w:rsidRPr="007F3B6B">
        <w:tab/>
        <w:t>έχοντας υπόψη την έκθεση της Επιτροπής Ελέγχου του Προϋπολογισμού (A9-0099/2024),</w:t>
      </w:r>
    </w:p>
    <w:p w:rsidR="003C0768" w:rsidRPr="007F3B6B" w:rsidRDefault="003C0768" w:rsidP="003C0768">
      <w:pPr>
        <w:pStyle w:val="NormalHanging12a"/>
      </w:pPr>
      <w:r w:rsidRPr="007F3B6B">
        <w:t>1.</w:t>
      </w:r>
      <w:r w:rsidRPr="007F3B6B">
        <w:tab/>
        <w:t xml:space="preserve">χορηγεί απαλλαγή στον διοικητικό διευθυντή του Οργανισμού της Ευρωπαϊκής Ένωσης για τη Συνεργασία στον Τομέα της Ποινικής Δικαιοσύνης (Eurojust) όσον αφορά την εκτέλεση του προϋπολογισμού του Οργανισμού για το οικονομικό έτος 2022· </w:t>
      </w:r>
    </w:p>
    <w:p w:rsidR="003C0768" w:rsidRPr="007F3B6B" w:rsidRDefault="003C0768" w:rsidP="003C0768">
      <w:pPr>
        <w:pStyle w:val="NormalHanging12a"/>
      </w:pPr>
      <w:r w:rsidRPr="007F3B6B">
        <w:t>2.</w:t>
      </w:r>
      <w:r w:rsidRPr="007F3B6B">
        <w:tab/>
        <w:t>εκθέτει τις παρατηρήσεις του στο ψήφισμα που ακολουθεί·</w:t>
      </w:r>
    </w:p>
    <w:p w:rsidR="003C0768" w:rsidRPr="007F3B6B" w:rsidRDefault="003C0768" w:rsidP="003C0768">
      <w:pPr>
        <w:pStyle w:val="NormalHanging12a"/>
      </w:pPr>
      <w:r w:rsidRPr="007F3B6B">
        <w:t>3.</w:t>
      </w:r>
      <w:r w:rsidRPr="007F3B6B">
        <w:tab/>
        <w:t xml:space="preserve">αναθέτει στην Πρόεδρό του να διαβιβάσει την παρούσα απόφαση και το ψήφισμα που αποτελεί αναπόσπαστο μέρος της στον διοικητικό διευθυντή του Οργανισμού της Ευρωπαϊκής Ένωσης για τη Συνεργασία στον Τομέα της Ποινικής Δικαιοσύνης (Eurojust), στο Συμβούλιο, στην Επιτροπή και στο Ελεγκτικό Συνέδριο, και να μεριμνήσει για τη δημοσίευσή τους στην </w:t>
      </w:r>
      <w:r w:rsidRPr="007F3B6B">
        <w:rPr>
          <w:i/>
        </w:rPr>
        <w:t>Επίσημη Εφημερίδα της Ευρωπαϊκής Ένωσης</w:t>
      </w:r>
      <w:r w:rsidRPr="007F3B6B">
        <w:t xml:space="preserve"> (σειρά L).</w:t>
      </w:r>
    </w:p>
    <w:p w:rsidR="003C0768" w:rsidRPr="007F3B6B" w:rsidRDefault="003C0768" w:rsidP="003C0768"/>
    <w:p w:rsidR="003C0768" w:rsidRPr="007F3B6B" w:rsidRDefault="003C0768" w:rsidP="003C0768">
      <w:pPr>
        <w:widowControl/>
        <w:rPr>
          <w:rFonts w:ascii="Arial" w:hAnsi="Arial" w:cs="Arial"/>
          <w:b/>
        </w:rPr>
        <w:sectPr w:rsidR="003C0768" w:rsidRPr="007F3B6B" w:rsidSect="002A6B5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C0768" w:rsidRPr="007F3B6B" w:rsidRDefault="003C0768" w:rsidP="007F3B6B">
      <w:pPr>
        <w:pStyle w:val="ATHeading3"/>
      </w:pPr>
      <w:bookmarkStart w:id="9" w:name="_Toc146794380"/>
      <w:bookmarkStart w:id="10" w:name="_Toc161842881"/>
      <w:r w:rsidRPr="007F3B6B">
        <w:lastRenderedPageBreak/>
        <w:t xml:space="preserve">2. </w:t>
      </w:r>
      <w:r w:rsidR="001E7250" w:rsidRPr="007F3B6B">
        <w:t xml:space="preserve">Απόφαση του Ευρωπαϊκού Κοινοβουλίου της 11ης Απριλίου 2024 </w:t>
      </w:r>
      <w:bookmarkEnd w:id="9"/>
      <w:bookmarkEnd w:id="10"/>
      <w:r w:rsidRPr="007F3B6B">
        <w:t>σχετικά με το κλείσιμο των λογαριασμών του Οργανισμού της Ευρωπαϊκής Ένωσης για τη Συνεργασία στον Τομέα της Ποινικής Δικαιοσύνης (Eurojust) για το οικονομικό έτος 2022</w:t>
      </w:r>
      <w:r w:rsidR="001E7250" w:rsidRPr="007F3B6B">
        <w:t xml:space="preserve"> </w:t>
      </w:r>
      <w:r w:rsidRPr="007F3B6B">
        <w:t>(2023/2168(DEC))</w:t>
      </w:r>
    </w:p>
    <w:p w:rsidR="003C0768" w:rsidRPr="007F3B6B" w:rsidRDefault="003C0768" w:rsidP="003C0768">
      <w:pPr>
        <w:pStyle w:val="EPComma"/>
      </w:pPr>
      <w:r w:rsidRPr="007F3B6B">
        <w:rPr>
          <w:i/>
        </w:rPr>
        <w:t>Το Ευρωπαϊκό Κοινοβούλιο</w:t>
      </w:r>
      <w:r w:rsidRPr="007F3B6B">
        <w:t>,</w:t>
      </w:r>
    </w:p>
    <w:p w:rsidR="003C0768" w:rsidRPr="007F3B6B" w:rsidRDefault="003C0768" w:rsidP="003C0768">
      <w:pPr>
        <w:pStyle w:val="NormalHanging12a"/>
      </w:pPr>
      <w:r w:rsidRPr="007F3B6B">
        <w:t>–</w:t>
      </w:r>
      <w:r w:rsidRPr="007F3B6B">
        <w:tab/>
        <w:t>έχοντας υπόψη τους οριστικούς ετήσιους λογαριασμούς του Οργανισμού της Ευρωπαϊκής Ένωσης για τη Συνεργασία στον Τομέα της Ποινικής Δικαιοσύνης (Eurojust) για το οικονομικό έτος 2022,</w:t>
      </w:r>
    </w:p>
    <w:p w:rsidR="003C0768" w:rsidRPr="007F3B6B" w:rsidRDefault="003C0768" w:rsidP="003C0768">
      <w:pPr>
        <w:pStyle w:val="NormalHanging12a"/>
      </w:pPr>
      <w:r w:rsidRPr="007F3B6B">
        <w:t>–</w:t>
      </w:r>
      <w:r w:rsidRPr="007F3B6B">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7F3B6B">
        <w:rPr>
          <w:rStyle w:val="FootnoteReference"/>
        </w:rPr>
        <w:footnoteReference w:id="6"/>
      </w:r>
      <w:r w:rsidRPr="007F3B6B">
        <w:t>,</w:t>
      </w:r>
    </w:p>
    <w:p w:rsidR="003C0768" w:rsidRPr="007F3B6B" w:rsidRDefault="003C0768" w:rsidP="003C0768">
      <w:pPr>
        <w:pStyle w:val="NormalHanging12a"/>
      </w:pPr>
      <w:r w:rsidRPr="007F3B6B">
        <w:t>–</w:t>
      </w:r>
      <w:r w:rsidRPr="007F3B6B">
        <w:tab/>
        <w:t>έχοντας υπόψη τη δήλωση αξιοπιστίας</w:t>
      </w:r>
      <w:r w:rsidRPr="007F3B6B">
        <w:rPr>
          <w:rStyle w:val="FootnoteReference"/>
        </w:rPr>
        <w:footnoteReference w:id="7"/>
      </w:r>
      <w:r w:rsidRPr="007F3B6B">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3C0768" w:rsidRPr="007F3B6B" w:rsidRDefault="003C0768" w:rsidP="003C0768">
      <w:pPr>
        <w:pStyle w:val="NormalHanging12a"/>
      </w:pPr>
      <w:r w:rsidRPr="007F3B6B">
        <w:t>–</w:t>
      </w:r>
      <w:r w:rsidRPr="007F3B6B">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054A85" w:rsidRPr="007F3B6B">
        <w:t>06180/2024 – C9</w:t>
      </w:r>
      <w:r w:rsidR="00054A85" w:rsidRPr="007F3B6B">
        <w:noBreakHyphen/>
        <w:t>0106/2024)</w:t>
      </w:r>
      <w:r w:rsidRPr="007F3B6B">
        <w:t>,</w:t>
      </w:r>
    </w:p>
    <w:p w:rsidR="003C0768" w:rsidRPr="007F3B6B" w:rsidRDefault="003C0768" w:rsidP="003C0768">
      <w:pPr>
        <w:pStyle w:val="NormalHanging12a"/>
      </w:pPr>
      <w:r w:rsidRPr="007F3B6B">
        <w:t>–</w:t>
      </w:r>
      <w:r w:rsidRPr="007F3B6B">
        <w:tab/>
        <w:t>έχοντας υπόψη το άρθρο 319 της Συνθήκης για τη λειτουργία της Ευρωπαϊκής Ένωσης,</w:t>
      </w:r>
    </w:p>
    <w:p w:rsidR="003C0768" w:rsidRPr="007F3B6B" w:rsidRDefault="003C0768" w:rsidP="003C0768">
      <w:pPr>
        <w:pStyle w:val="NormalHanging12a"/>
      </w:pPr>
      <w:r w:rsidRPr="007F3B6B">
        <w:t>–</w:t>
      </w:r>
      <w:r w:rsidRPr="007F3B6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7F3B6B">
        <w:rPr>
          <w:rStyle w:val="FootnoteReference"/>
        </w:rPr>
        <w:footnoteReference w:id="8"/>
      </w:r>
      <w:r w:rsidRPr="007F3B6B">
        <w:t>, και ιδίως το άρθρο 70,</w:t>
      </w:r>
    </w:p>
    <w:p w:rsidR="003C0768" w:rsidRPr="007F3B6B" w:rsidRDefault="003C0768" w:rsidP="003C0768">
      <w:pPr>
        <w:pStyle w:val="NormalHanging12a"/>
      </w:pPr>
      <w:r w:rsidRPr="007F3B6B">
        <w:t>–</w:t>
      </w:r>
      <w:r w:rsidRPr="007F3B6B">
        <w:tab/>
        <w:t>έχοντας υπόψη τον κανονισμό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w:t>
      </w:r>
      <w:r w:rsidRPr="007F3B6B">
        <w:rPr>
          <w:rStyle w:val="FootnoteReference"/>
        </w:rPr>
        <w:footnoteReference w:id="9"/>
      </w:r>
      <w:r w:rsidRPr="007F3B6B">
        <w:t>του Συμβουλίου, και ιδίως το άρθρο 63,</w:t>
      </w:r>
    </w:p>
    <w:p w:rsidR="003C0768" w:rsidRPr="007F3B6B" w:rsidRDefault="003C0768" w:rsidP="003C0768">
      <w:pPr>
        <w:pStyle w:val="NormalHanging12a"/>
      </w:pPr>
      <w:r w:rsidRPr="007F3B6B">
        <w:t>–</w:t>
      </w:r>
      <w:r w:rsidRPr="007F3B6B">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7F3B6B">
        <w:lastRenderedPageBreak/>
        <w:t>Ευρωπαϊκού Κοινοβουλίου και του Συμβουλίου</w:t>
      </w:r>
      <w:r w:rsidRPr="007F3B6B">
        <w:rPr>
          <w:rStyle w:val="FootnoteReference"/>
        </w:rPr>
        <w:footnoteReference w:id="10"/>
      </w:r>
      <w:r w:rsidRPr="007F3B6B">
        <w:t>, και ιδίως το άρθρο 105,</w:t>
      </w:r>
    </w:p>
    <w:p w:rsidR="003C0768" w:rsidRPr="007F3B6B" w:rsidRDefault="003C0768" w:rsidP="003C0768">
      <w:pPr>
        <w:pStyle w:val="NormalHanging12a"/>
      </w:pPr>
      <w:r w:rsidRPr="007F3B6B">
        <w:t>–</w:t>
      </w:r>
      <w:r w:rsidRPr="007F3B6B">
        <w:tab/>
        <w:t>έχοντας υπόψη το άρθρο 100 και το παράρτημα V του Κανονισμού του,</w:t>
      </w:r>
    </w:p>
    <w:p w:rsidR="003C0768" w:rsidRPr="007F3B6B" w:rsidRDefault="003C0768" w:rsidP="003C0768">
      <w:pPr>
        <w:pStyle w:val="NormalHanging12a"/>
      </w:pPr>
      <w:r w:rsidRPr="007F3B6B">
        <w:t>–</w:t>
      </w:r>
      <w:r w:rsidRPr="007F3B6B">
        <w:tab/>
        <w:t>έχοντας υπόψη τη γνωμοδότηση της Επιτροπής Πολιτικών Ελευθεριών, Δικαιοσύνης και Εσωτερικών Υποθέσεων,</w:t>
      </w:r>
    </w:p>
    <w:p w:rsidR="003C0768" w:rsidRPr="007F3B6B" w:rsidRDefault="003C0768" w:rsidP="003C0768">
      <w:pPr>
        <w:pStyle w:val="NormalHanging12a"/>
      </w:pPr>
      <w:r w:rsidRPr="007F3B6B">
        <w:t>–</w:t>
      </w:r>
      <w:r w:rsidRPr="007F3B6B">
        <w:tab/>
        <w:t>έχοντας υπόψη την έκθεση της Επιτροπής Ελέγχου του Προϋπολογισμού (A9-0099/2024),</w:t>
      </w:r>
    </w:p>
    <w:p w:rsidR="003C0768" w:rsidRPr="007F3B6B" w:rsidRDefault="003C0768" w:rsidP="003C0768">
      <w:pPr>
        <w:pStyle w:val="NormalHanging12a"/>
      </w:pPr>
      <w:r w:rsidRPr="007F3B6B">
        <w:t>1.</w:t>
      </w:r>
      <w:r w:rsidRPr="007F3B6B">
        <w:tab/>
        <w:t>εγκρίνει το κλείσιμο των λογαριασμών του Οργανισμού της Ευρωπαϊκής Ένωσης για τη Συνεργασία στον Τομέα της Ποινικής Δικαιοσύνης (Eurojust) για το οικονομικό έτος 2022·</w:t>
      </w:r>
    </w:p>
    <w:p w:rsidR="003C0768" w:rsidRPr="007F3B6B" w:rsidRDefault="003C0768" w:rsidP="003C0768">
      <w:pPr>
        <w:pStyle w:val="NormalHanging12a"/>
      </w:pPr>
      <w:r w:rsidRPr="007F3B6B">
        <w:t>2.</w:t>
      </w:r>
      <w:r w:rsidRPr="007F3B6B">
        <w:tab/>
        <w:t xml:space="preserve">αναθέτει στην Πρόεδρό του να διαβιβάσει την παρούσα απόφαση στον διοικητικό διευθυντή του Οργανισμού της Ευρωπαϊκής Ένωσης για τη Συνεργασία στον Τομέα της Ποινικής Δικαιοσύνης (Eurojust), στο Συμβούλιο, στην Επιτροπή και στο Ελεγκτικό Συνέδριο, και να μεριμνήσει για τη δημοσίευσή της στην </w:t>
      </w:r>
      <w:r w:rsidRPr="007F3B6B">
        <w:rPr>
          <w:i/>
        </w:rPr>
        <w:t>Επίσημη Εφημερίδα της Ευρωπαϊκής Ένωσης</w:t>
      </w:r>
      <w:r w:rsidRPr="007F3B6B">
        <w:t xml:space="preserve"> (σειρά L).</w:t>
      </w:r>
    </w:p>
    <w:p w:rsidR="003C0768" w:rsidRPr="007F3B6B" w:rsidRDefault="003C0768" w:rsidP="003C0768"/>
    <w:p w:rsidR="003C0768" w:rsidRPr="007F3B6B" w:rsidRDefault="003C0768" w:rsidP="003C0768">
      <w:pPr>
        <w:widowControl/>
        <w:rPr>
          <w:rFonts w:ascii="Arial" w:hAnsi="Arial" w:cs="Arial"/>
          <w:b/>
        </w:rPr>
        <w:sectPr w:rsidR="003C0768" w:rsidRPr="007F3B6B" w:rsidSect="002A6B5E">
          <w:footnotePr>
            <w:numRestart w:val="eachPage"/>
          </w:footnotePr>
          <w:endnotePr>
            <w:numFmt w:val="decimal"/>
          </w:endnotePr>
          <w:pgSz w:w="11906" w:h="16838"/>
          <w:pgMar w:top="1134" w:right="1418" w:bottom="1418" w:left="1418" w:header="567" w:footer="567" w:gutter="0"/>
          <w:cols w:space="720"/>
          <w:docGrid w:linePitch="326"/>
        </w:sectPr>
      </w:pPr>
    </w:p>
    <w:p w:rsidR="003C0768" w:rsidRPr="007F3B6B" w:rsidRDefault="003C0768" w:rsidP="007F3B6B">
      <w:pPr>
        <w:pStyle w:val="ATHeading3"/>
      </w:pPr>
      <w:bookmarkStart w:id="11" w:name="_Toc146794381"/>
      <w:bookmarkStart w:id="12" w:name="_Toc161842882"/>
      <w:r w:rsidRPr="007F3B6B">
        <w:lastRenderedPageBreak/>
        <w:t xml:space="preserve">3. </w:t>
      </w:r>
      <w:r w:rsidR="001E7250" w:rsidRPr="007F3B6B">
        <w:t xml:space="preserve">Ψήφισμα του Ευρωπαϊκού Κοινοβουλίου της 11ης Απριλίου 2024 </w:t>
      </w:r>
      <w:bookmarkEnd w:id="11"/>
      <w:bookmarkEnd w:id="12"/>
      <w:r w:rsidRPr="007F3B6B">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(Eurojust) για το οικονομικό έτος 2022</w:t>
      </w:r>
      <w:r w:rsidR="001E7250" w:rsidRPr="007F3B6B">
        <w:t xml:space="preserve"> </w:t>
      </w:r>
      <w:r w:rsidRPr="007F3B6B">
        <w:t>(2023/2168(DEC))</w:t>
      </w:r>
    </w:p>
    <w:p w:rsidR="003C0768" w:rsidRPr="007F3B6B" w:rsidRDefault="003C0768" w:rsidP="003C0768">
      <w:pPr>
        <w:pStyle w:val="EPComma"/>
      </w:pPr>
      <w:r w:rsidRPr="007F3B6B">
        <w:rPr>
          <w:i/>
        </w:rPr>
        <w:t>Το Ευρωπαϊκό Κοινοβούλιο</w:t>
      </w:r>
      <w:r w:rsidRPr="007F3B6B">
        <w:t>,</w:t>
      </w:r>
    </w:p>
    <w:p w:rsidR="003C0768" w:rsidRPr="007F3B6B" w:rsidRDefault="003C0768" w:rsidP="001E7250">
      <w:pPr>
        <w:pStyle w:val="NormalHanging12a"/>
        <w:widowControl/>
      </w:pPr>
      <w:r w:rsidRPr="007F3B6B">
        <w:t>–</w:t>
      </w:r>
      <w:r w:rsidRPr="007F3B6B">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(Eurojust) για το οικονομικό έτος 2022,</w:t>
      </w:r>
    </w:p>
    <w:p w:rsidR="003C0768" w:rsidRPr="007F3B6B" w:rsidRDefault="003C0768" w:rsidP="001E7250">
      <w:pPr>
        <w:pStyle w:val="NormalHanging12a"/>
        <w:widowControl/>
      </w:pPr>
      <w:r w:rsidRPr="007F3B6B">
        <w:t>–</w:t>
      </w:r>
      <w:r w:rsidRPr="007F3B6B">
        <w:tab/>
        <w:t>έχοντας υπόψη το άρθρο 100 και το παράρτημα V του Κανονισμού του,</w:t>
      </w:r>
    </w:p>
    <w:p w:rsidR="003C0768" w:rsidRPr="007F3B6B" w:rsidRDefault="003C0768" w:rsidP="001E7250">
      <w:pPr>
        <w:pStyle w:val="NormalHanging12a"/>
        <w:widowControl/>
      </w:pPr>
      <w:r w:rsidRPr="007F3B6B">
        <w:t>–</w:t>
      </w:r>
      <w:r w:rsidRPr="007F3B6B">
        <w:tab/>
        <w:t>έχοντας υπόψη τη γνωμοδότηση της Επιτροπής Πολιτικών Ελευθεριών, Δικαιοσύνης και Εσωτερικών Υποθέσεων,</w:t>
      </w:r>
    </w:p>
    <w:p w:rsidR="003C0768" w:rsidRPr="007F3B6B" w:rsidRDefault="003C0768" w:rsidP="001E7250">
      <w:pPr>
        <w:pStyle w:val="NormalHanging12a"/>
        <w:widowControl/>
      </w:pPr>
      <w:r w:rsidRPr="007F3B6B">
        <w:t>–</w:t>
      </w:r>
      <w:r w:rsidRPr="007F3B6B">
        <w:tab/>
        <w:t>έχοντας υπόψη την έκθεση της Επιτροπής Ελέγχου του Προϋπολογισμού (A9-0099/2024),</w:t>
      </w:r>
    </w:p>
    <w:p w:rsidR="003C0768" w:rsidRPr="007F3B6B" w:rsidRDefault="003C0768" w:rsidP="001E7250">
      <w:pPr>
        <w:pStyle w:val="Normal12Hanging"/>
        <w:widowControl/>
        <w:rPr>
          <w:szCs w:val="24"/>
          <w:lang w:val="el-GR"/>
        </w:rPr>
      </w:pPr>
      <w:r w:rsidRPr="007F3B6B">
        <w:rPr>
          <w:lang w:val="el-GR"/>
        </w:rPr>
        <w:t>Α.</w:t>
      </w:r>
      <w:r w:rsidRPr="007F3B6B">
        <w:rPr>
          <w:lang w:val="el-GR"/>
        </w:rPr>
        <w:tab/>
        <w:t>λαμβάνοντας υπόψη ότι, σύμφωνα με την κατάσταση εσόδων και δαπανών του</w:t>
      </w:r>
      <w:r w:rsidRPr="007F3B6B">
        <w:rPr>
          <w:rStyle w:val="FootnoteReference"/>
          <w:szCs w:val="24"/>
          <w:lang w:val="el-GR"/>
        </w:rPr>
        <w:footnoteReference w:id="11"/>
      </w:r>
      <w:r w:rsidRPr="007F3B6B">
        <w:rPr>
          <w:lang w:val="el-GR"/>
        </w:rPr>
        <w:t>, ο οριστικός προϋπολογισμός του Οργανισμού της Ευρωπαϊκής Ένωσης για τη Συνεργασία στον Τομέα της Ποινικής Δικαιοσύνης (Eurojust) (</w:t>
      </w:r>
      <w:r w:rsidR="00054A85" w:rsidRPr="007F3B6B">
        <w:rPr>
          <w:lang w:val="el-GR"/>
        </w:rPr>
        <w:t>«</w:t>
      </w:r>
      <w:r w:rsidRPr="007F3B6B">
        <w:rPr>
          <w:lang w:val="el-GR"/>
        </w:rPr>
        <w:t>Οργανισμός</w:t>
      </w:r>
      <w:r w:rsidR="00054A85" w:rsidRPr="007F3B6B">
        <w:rPr>
          <w:lang w:val="el-GR"/>
        </w:rPr>
        <w:t>»</w:t>
      </w:r>
      <w:r w:rsidRPr="007F3B6B">
        <w:rPr>
          <w:lang w:val="el-GR"/>
        </w:rPr>
        <w:t>) για το οικονομικό έτος 2022 ανήλθε σε 50 183 522 EUR, ποσό που συνιστά μείωση κατά 5,84 % σε σύγκριση με το 2021· λαμβάνοντας υπόψη ότι ο προϋπολογισμός του Οργανισμού προέρχεται σχεδόν αποκλειστικά από τον προϋπολογισμό της Ένωσης·</w:t>
      </w:r>
    </w:p>
    <w:p w:rsidR="003C0768" w:rsidRPr="007F3B6B" w:rsidRDefault="003C0768" w:rsidP="001E7250">
      <w:pPr>
        <w:pStyle w:val="Normal12Hanging"/>
        <w:widowControl/>
        <w:rPr>
          <w:szCs w:val="24"/>
          <w:lang w:val="el-GR"/>
        </w:rPr>
      </w:pPr>
      <w:r w:rsidRPr="007F3B6B">
        <w:rPr>
          <w:lang w:val="el-GR"/>
        </w:rPr>
        <w:t>Β.</w:t>
      </w:r>
      <w:r w:rsidRPr="007F3B6B">
        <w:rPr>
          <w:lang w:val="el-GR"/>
        </w:rPr>
        <w:tab/>
        <w:t>λαμβάνοντας υπόψη ότι, στην έκθεσή του για τους ετήσιους λογαριασμούς του Οργανισμού για το οικονομικό έτος 2022 (</w:t>
      </w:r>
      <w:r w:rsidR="00054A85" w:rsidRPr="007F3B6B">
        <w:rPr>
          <w:lang w:val="el-GR"/>
        </w:rPr>
        <w:t>«</w:t>
      </w:r>
      <w:r w:rsidRPr="007F3B6B">
        <w:rPr>
          <w:lang w:val="el-GR"/>
        </w:rPr>
        <w:t>έκθεση του Ελεγκτικού Συνεδρίου</w:t>
      </w:r>
      <w:r w:rsidR="00054A85" w:rsidRPr="007F3B6B">
        <w:rPr>
          <w:lang w:val="el-GR"/>
        </w:rPr>
        <w:t>»</w:t>
      </w:r>
      <w:r w:rsidRPr="007F3B6B">
        <w:rPr>
          <w:lang w:val="el-GR"/>
        </w:rPr>
        <w:t>), το Ελεγκτικό Συνέδριο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3C0768" w:rsidRPr="007F3B6B" w:rsidRDefault="003C0768" w:rsidP="001E7250">
      <w:pPr>
        <w:pStyle w:val="Normal12Hanging"/>
        <w:widowControl/>
        <w:rPr>
          <w:b/>
          <w:i/>
          <w:szCs w:val="24"/>
          <w:lang w:val="el-GR"/>
        </w:rPr>
      </w:pPr>
      <w:r w:rsidRPr="007F3B6B">
        <w:rPr>
          <w:b/>
          <w:i/>
          <w:lang w:val="el-GR"/>
        </w:rPr>
        <w:t>Δημοσιονομική και χρηματοοικονομική διαχείριση</w:t>
      </w:r>
    </w:p>
    <w:p w:rsidR="003C0768" w:rsidRPr="007F3B6B" w:rsidRDefault="007F3B6B" w:rsidP="007F3B6B">
      <w:pPr>
        <w:pStyle w:val="Normal12Hanging"/>
        <w:widowControl/>
        <w:ind w:left="570" w:hanging="570"/>
        <w:rPr>
          <w:szCs w:val="24"/>
          <w:lang w:val="el-GR"/>
        </w:rPr>
      </w:pPr>
      <w:r w:rsidRPr="007F3B6B">
        <w:rPr>
          <w:szCs w:val="24"/>
          <w:lang w:val="el-GR"/>
        </w:rPr>
        <w:t>1.</w:t>
      </w:r>
      <w:r w:rsidRPr="007F3B6B">
        <w:rPr>
          <w:szCs w:val="24"/>
          <w:lang w:val="el-GR"/>
        </w:rPr>
        <w:tab/>
      </w:r>
      <w:r w:rsidR="003C0768" w:rsidRPr="007F3B6B">
        <w:rPr>
          <w:lang w:val="el-GR"/>
        </w:rPr>
        <w:t>σημειώνει με ικανοποίηση ότι οι προσπάθειες παρακολούθησης του προϋπολογισμού είχαν ως αποτέλεσμα ποσοστό εκτέλεσης των πιστώσεων αναλήψεων υποχρεώσεων του 2022 της τάξης του 99,93 %· σημειώνει ότι το ποσοστό των πιστώσεων πληρωμών του τρέχοντος έτους ήταν 89,22 %, το οποίο συνιστά αύξηση κατά 4,64 % σε σύγκριση με το 2021·</w:t>
      </w:r>
    </w:p>
    <w:p w:rsidR="003C0768" w:rsidRPr="007F3B6B" w:rsidRDefault="007F3B6B" w:rsidP="007F3B6B">
      <w:pPr>
        <w:pStyle w:val="Normal12Hanging"/>
        <w:widowControl/>
        <w:ind w:left="570" w:hanging="570"/>
        <w:rPr>
          <w:szCs w:val="24"/>
          <w:lang w:val="el-GR"/>
        </w:rPr>
      </w:pPr>
      <w:r w:rsidRPr="007F3B6B">
        <w:rPr>
          <w:szCs w:val="24"/>
          <w:lang w:val="el-GR"/>
        </w:rPr>
        <w:t>2.</w:t>
      </w:r>
      <w:r w:rsidRPr="007F3B6B">
        <w:rPr>
          <w:szCs w:val="24"/>
          <w:lang w:val="el-GR"/>
        </w:rPr>
        <w:tab/>
      </w:r>
      <w:r w:rsidR="003C0768" w:rsidRPr="007F3B6B">
        <w:rPr>
          <w:lang w:val="el-GR"/>
        </w:rPr>
        <w:t xml:space="preserve">σημειώνει ότι κατά τη διάρκεια του 2022 ανέκυψαν διάφορες νέες χρηματοδοτικές ανάγκες, μεταξύ άλλων σε σχέση με τις υποδομές για το νέο σύστημα διαχείρισης υποθέσεων (CMS), την ενίσχυση που σχετίζεται με τα νέα καθήκοντα της βάσης δεδομένων με αποδεικτικά στοιχεία για βασικά διεθνή εγκλήματα (CICED) και τις μισθολογικές αυξήσεις λόγω υψηλού πληθωρισμού· σημειώνει ότι οι εν λόγω </w:t>
      </w:r>
      <w:r w:rsidR="003C0768" w:rsidRPr="007F3B6B">
        <w:rPr>
          <w:lang w:val="el-GR"/>
        </w:rPr>
        <w:lastRenderedPageBreak/>
        <w:t>χρηματοδοτικές ανάγκες καλύφθηκαν μέσω δύο διορθωτικών προϋπολογισμών (συνολικού ύψους 5,7 εκατομμυρίων EUR) και αρκετών μεταφορών πιστώσεων·</w:t>
      </w:r>
    </w:p>
    <w:p w:rsidR="003C0768" w:rsidRPr="007F3B6B" w:rsidRDefault="007F3B6B" w:rsidP="007F3B6B">
      <w:pPr>
        <w:pStyle w:val="Normal12Hanging"/>
        <w:widowControl/>
        <w:ind w:left="570" w:hanging="570"/>
        <w:rPr>
          <w:szCs w:val="24"/>
          <w:lang w:val="el-GR"/>
        </w:rPr>
      </w:pPr>
      <w:r w:rsidRPr="007F3B6B">
        <w:rPr>
          <w:szCs w:val="24"/>
          <w:lang w:val="el-GR"/>
        </w:rPr>
        <w:t>3.</w:t>
      </w:r>
      <w:r w:rsidRPr="007F3B6B">
        <w:rPr>
          <w:szCs w:val="24"/>
          <w:lang w:val="el-GR"/>
        </w:rPr>
        <w:tab/>
      </w:r>
      <w:r w:rsidR="003C0768" w:rsidRPr="007F3B6B">
        <w:rPr>
          <w:lang w:val="el-GR"/>
        </w:rPr>
        <w:t>σημειώνει την ανάπτυξη από τον Οργανισμό το 2022 του νέου συστήματος δημοσιονομικής διαχείρισης και λογιστικής (SUMMA) της Επιτροπής και τα σχετικά τεχνικά προβλήματα που επηρέασαν την εκτέλεση του προϋπολογισμού του Οργανισμού και την υποβολή εκθέσεων· σημειώνει ειδικότερα την άποψη του Οργανισμού ότι τα προβλήματα αυτά είχαν επίσης αντίκτυπο στο υψηλό ποσοστό μη έγκαιρων πληρωμών (52,9 %), ενώ περιέπλεξαν την παρακολούθηση τομέων με υψηλή αστάθεια κόστους, όπως οι συνεδριάσεις συντονισμού· σημειώνει, στο πλαίσιο αυτό, την παρατήρηση του Ελεγκτικού Συνεδρίου ότι ο Οργανισμός, κατά παράβαση ορισμένων διατάξεων του δημοσιονομικού κανονισμού, δεν επικαιροποίησε τη στρατηγική του για τη διαχείριση και τον έλεγχο των κινδύνων ώστε να καλύπτει τους κινδύνους που συνδέονται με την εφαρμογή του SUMMA, ούτε τα χρηματοοικονομικά κυκλώματά του και τη στρατηγική του για τους εκ των προτέρων και εκ των υστέρων ελέγχους, ενώ δεν ελέγχει ξεχωριστά τα δικαιώματα που ανατίθενται σε κάθε χρήστη στο εν λόγω σύστημα, πράγμα που ενέχει τον κίνδυνο οι ρόλοι χρήστη στο SUMMA να μην έχουν ανατεθεί και επικαιροποιηθεί σωστά·</w:t>
      </w:r>
    </w:p>
    <w:p w:rsidR="003C0768" w:rsidRPr="007F3B6B" w:rsidRDefault="007F3B6B" w:rsidP="007F3B6B">
      <w:pPr>
        <w:pStyle w:val="NormalHanging12a"/>
        <w:widowControl/>
        <w:ind w:left="570" w:hanging="570"/>
      </w:pPr>
      <w:r w:rsidRPr="007F3B6B">
        <w:t>4.</w:t>
      </w:r>
      <w:r w:rsidRPr="007F3B6B">
        <w:tab/>
      </w:r>
      <w:r w:rsidR="003C0768" w:rsidRPr="007F3B6B">
        <w:t>σημειώνει με ανησυχία την παρατήρηση του Ελεγκτικού Συνεδρίου ότι ο Οργανισμός δεν τήρησε τις προθεσμίες που ορίζονται στον δημοσιονομικό κανονισμό για 1 222 από τις 2 308 πληρωμές συνολικά (52,9 %)· υπενθυμίζει και υπογραμμίζει ότι σε 720 περιπτώσεις (31,5 %), οι πληρωμές καταβλήθηκαν με καθυστέρηση που υπερέβαινε τις 30 ημέρες· σημειώνει ότι ο Οργανισμός αποδίδει την αδυναμία αυτή στην εφαρμογή του SUMMA, η οποία, κατά την άποψη του Ελεγκτικού Συνεδρίου, εκθέτει τον Οργανισμό σε οικονομικό κίνδυνο και κίνδυνο φήμης και αντιβαίνει στην αρχή της οικονομίας· σημειώνει την απάντηση του Οργανισμού ότι το SUMMA βρίσκεται σε πιλοτική φάση και ότι υπήρξαν καθυστερήσεις και τεχνικές δυσκολίες στην επεξεργασία των συναλλαγών, γεγονός που είχε αντίκτυπο στην κατάρτιση του προσωπικού και δημιούργησε ορισμένες προκλήσεις στη δημοσιονομική διαχείριση· σημειώνει, τέλος, ότι παρά την αύξηση του ποσού των καθυστερημένων πληρωμών, ο Οργανισμός δεν κατέβαλε τόκους υπερημερίας· καλεί τον Οργανισμό να λάβει πλήρως υπόψη την παρατήρηση αυτή, αντιμετωπίζοντας τις τεχνικές δυσκολίες στην επεξεργασία των συναλλαγών και να υποβάλει έκθεση στην αρμόδια για την απαλλαγή αρχή σχετικά με την πρόοδο που έχει επιτευχθεί·</w:t>
      </w:r>
    </w:p>
    <w:p w:rsidR="003C0768" w:rsidRPr="007F3B6B" w:rsidRDefault="003C0768" w:rsidP="001E7250">
      <w:pPr>
        <w:pStyle w:val="Normal12Hanging"/>
        <w:widowControl/>
        <w:rPr>
          <w:b/>
          <w:i/>
          <w:szCs w:val="24"/>
          <w:lang w:val="el-GR"/>
        </w:rPr>
      </w:pPr>
      <w:r w:rsidRPr="007F3B6B">
        <w:rPr>
          <w:b/>
          <w:i/>
          <w:lang w:val="el-GR"/>
        </w:rPr>
        <w:t>Επιδόσεις</w:t>
      </w:r>
    </w:p>
    <w:p w:rsidR="003C0768" w:rsidRPr="007F3B6B" w:rsidRDefault="007F3B6B" w:rsidP="007F3B6B">
      <w:pPr>
        <w:pStyle w:val="NormalHanging12a"/>
        <w:widowControl/>
        <w:ind w:left="570" w:hanging="570"/>
        <w:rPr>
          <w:szCs w:val="24"/>
        </w:rPr>
      </w:pPr>
      <w:r w:rsidRPr="007F3B6B">
        <w:rPr>
          <w:szCs w:val="24"/>
        </w:rPr>
        <w:t>5.</w:t>
      </w:r>
      <w:r w:rsidRPr="007F3B6B">
        <w:rPr>
          <w:szCs w:val="24"/>
        </w:rPr>
        <w:tab/>
      </w:r>
      <w:r w:rsidR="003C0768" w:rsidRPr="007F3B6B">
        <w:t xml:space="preserve">σημειώνει ότι ο Οργανισμός χρησιμοποιεί βασικούς δείκτες επιδόσεων (ΒΔΕ) για την αξιολόγηση της προστιθέμενης αξίας των δραστηριοτήτων του και για τη βελτίωση της δημοσιονομικής του διαχείρισης· επισημαίνει τη νέα πολυετή στρατηγική 2022-2024 του Οργανισμού, η οποία θέτει πέντε στόχους, καθένας από τους οποίους καλύπτει διάφορους τομείς στρατηγικής δράσης· παρατηρεί ότι ο Οργανισμός καθόρισε 67 ΒΔΕ στο ετήσιο πρόγραμμα εργασίας του για το 2022 και 14 πολυετείς ΒΔΕ για την πολυετή στρατηγική· σημειώνει ότι, εξαιρουμένων των ΒΔΕ που θεωρούνται μη μετρήσιμοι ή μη σχετικοί, ο Οργανισμός πέτυχε τους στόχους για 47 από τους 59 ΒΔΕ (88 %), το οποίο συνιστά αύξηση σε σύγκριση με το 2021 (73 %)· σημειώνει ότι το 2022 ο Οργανισμός σημείωσε σταθερή πρόοδο όσον αφορά την επίτευξη των πολυετών ΒΔΕ του, με δέκα από αυτούς (72 %) να βρίσκονται σε καλό δρόμο για την επίτευξη του στόχου τους και τρεις (21 %) να χρήζουν περαιτέρω προσοχής, ενώ τα τελικά </w:t>
      </w:r>
      <w:r w:rsidR="003C0768" w:rsidRPr="007F3B6B">
        <w:lastRenderedPageBreak/>
        <w:t>αποτελέσματα για τους ΒΔΕ της πολυετούς στρατηγικής θα υποβληθούν στο τέλος του 2024·</w:t>
      </w:r>
    </w:p>
    <w:p w:rsidR="003C0768" w:rsidRPr="007F3B6B" w:rsidRDefault="007F3B6B" w:rsidP="007F3B6B">
      <w:pPr>
        <w:pStyle w:val="NormalHanging12a"/>
        <w:widowControl/>
        <w:ind w:left="570" w:hanging="570"/>
      </w:pPr>
      <w:r w:rsidRPr="007F3B6B">
        <w:t>6.</w:t>
      </w:r>
      <w:r w:rsidRPr="007F3B6B">
        <w:tab/>
      </w:r>
      <w:r w:rsidR="003C0768" w:rsidRPr="007F3B6B">
        <w:t xml:space="preserve">σημειώνει ότι ο αριθμός των υποθέσεων που παραπέμφθηκαν στον Οργανισμό από τα κράτη μέλη συνέχισε να αυξάνεται, με συνολικά 11 544 υποθέσεις να διεκπεραιώνονται το 2022 (εκ των οποίων οι 5 227 ήταν νέες), αριθμός που αντιπροσωπεύει αύξηση κατά 14 % σε σύγκριση με το 2021· επικροτεί, στο πλαίσιο αυτό, τη συμβολή του Οργανισμού στην παροχή νομικών συμβουλών, ανάλυσης και επιχειρησιακής συνδρομής, η οποία είχε ως αποτέλεσμα 941 επιχειρησιακά παραδοτέα για τη στήριξη 528 υποθέσεων, μεταξύ άλλων όσον αφορά πολύπλοκες υποθέσεις που οδήγησαν στη σύλληψη διακινητών ανθρώπων (συμπεριλαμβανομένων μεταναστών), καθώς και την πάταξη ή τις δράσεις κατά εγκληματικών δικτύων σε τομείς όπως η νομιμοποίηση εσόδων από παράνομες δραστηριότητες, η σεξουαλική εκμετάλλευση, η διαδικτυακή επενδυτική απάτη ή το λαθρεμπόριο ναρκωτικών· σημειώνει με ικανοποίηση, επιπλέον, ότι το 2022 ο Οργανισμός στήριξε 265 κοινές ομάδες έρευνας (ΚΟΕ) (εκ των οποίων 78 </w:t>
      </w:r>
      <w:proofErr w:type="spellStart"/>
      <w:r w:rsidR="003C0768" w:rsidRPr="007F3B6B">
        <w:t>νεοσυσταθείσες</w:t>
      </w:r>
      <w:proofErr w:type="spellEnd"/>
      <w:r w:rsidR="003C0768" w:rsidRPr="007F3B6B">
        <w:t xml:space="preserve">), διοργάνωσε 528 συνεδριάσεις συντονισμού και 22 κέντρα συντονισμού, διευκόλυνε την εκτέλεση 1 262 ευρωπαϊκών ενταλμάτων σύλληψης (εκ των οποίων 504 αφορούσαν νέες υποθέσεις) και κατέστησε δυνατή τη χρήση 5 415 ευρωπαϊκών εντολών έρευνας (εκ των οποίων οι μισές περίπου ήταν νέες)· σημειώνει ότι ο Οργανισμός διατηρεί σχέσεις συνεργασίας με την </w:t>
      </w:r>
      <w:r w:rsidR="00054A85" w:rsidRPr="007F3B6B">
        <w:t>Ευρωπαϊκή Υπηρεσία Καταπολέμησης της Απάτης (</w:t>
      </w:r>
      <w:r w:rsidR="003C0768" w:rsidRPr="007F3B6B">
        <w:t>OLAF</w:t>
      </w:r>
      <w:r w:rsidR="00054A85" w:rsidRPr="007F3B6B">
        <w:t>)</w:t>
      </w:r>
      <w:r w:rsidR="003C0768" w:rsidRPr="007F3B6B">
        <w:t xml:space="preserve">, με σκοπό την ενίσχυση της καταπολέμησης των εγκλημάτων που θίγουν τα οικονομικά συμφέροντα της </w:t>
      </w:r>
      <w:r w:rsidR="00054A85" w:rsidRPr="007F3B6B">
        <w:t>Ένωσης</w:t>
      </w:r>
      <w:r w:rsidR="003C0768" w:rsidRPr="007F3B6B">
        <w:t>·</w:t>
      </w:r>
    </w:p>
    <w:p w:rsidR="003C0768" w:rsidRPr="007F3B6B" w:rsidRDefault="007F3B6B" w:rsidP="007F3B6B">
      <w:pPr>
        <w:pStyle w:val="NormalHanging12a"/>
        <w:widowControl/>
        <w:ind w:left="570" w:hanging="570"/>
        <w:rPr>
          <w:szCs w:val="24"/>
        </w:rPr>
      </w:pPr>
      <w:r w:rsidRPr="007F3B6B">
        <w:rPr>
          <w:szCs w:val="24"/>
        </w:rPr>
        <w:t>7.</w:t>
      </w:r>
      <w:r w:rsidRPr="007F3B6B">
        <w:rPr>
          <w:szCs w:val="24"/>
        </w:rPr>
        <w:tab/>
      </w:r>
      <w:r w:rsidR="003C0768" w:rsidRPr="007F3B6B">
        <w:t>συγχαίρει τον Οργανισμό για τις δράσεις που ανέλαβε ως απάντηση στη ρωσική παράνομη και απρόκλητη εισβολή στην Ουκρανία το 2022· σημειώνει ότι τρεις εβδομάδες μετά την έναρξη του πολέμου, ο Οργανισμός υποστήριξε τη σύσταση της ΚΟΕ για βασικά διεθνή εγκλήματα που καταγγέλλεται ότι διαπράττονται στην Ουκρανία με στόχο τη διευκόλυνση των ερευνών και των διώξεων στα οικεία κράτη· σημειώνει ότι ο Οργανισμός παρείχε νομική και επιχειρησιακή στήριξη στα εθνικά γραφεία σχετικά με την επέκταση της συμφωνίας ΚΟΕ σε νέα μέρη (Εσθονία, Λετονία, Ρουμανία και Σλοβακία), καθώς και νομικές αναλύσεις και γνωμοδοτήσεις σχετικά με τη συμμετοχή του Διεθνούς Ποινικού Δικαστηρίου στην ΚΟΕ· σημειώνει περαιτέρω ότι ο Οργανισμός παρέχει επιχειρησιακή στήριξη στην ειδική ομάδα «</w:t>
      </w:r>
      <w:proofErr w:type="spellStart"/>
      <w:r w:rsidR="003C0768" w:rsidRPr="007F3B6B">
        <w:t>Freeze</w:t>
      </w:r>
      <w:proofErr w:type="spellEnd"/>
      <w:r w:rsidR="003C0768" w:rsidRPr="007F3B6B">
        <w:t xml:space="preserve"> and </w:t>
      </w:r>
      <w:proofErr w:type="spellStart"/>
      <w:r w:rsidR="003C0768" w:rsidRPr="007F3B6B">
        <w:t>Seize</w:t>
      </w:r>
      <w:proofErr w:type="spellEnd"/>
      <w:r w:rsidR="003C0768" w:rsidRPr="007F3B6B">
        <w:t>» της ΕΕ που συστάθηκε από την Επιτροπή, συντονίζοντας την επιβολή των κυρώσεων της Ένωσης από τα κράτη μέλη στο πλαίσιο του ποινικού δικαίου, και δη μέσω διαφόρων δράσεων, όπως η τακτική διασταύρωση του καταλόγου των ατόμων και των εταιρειών που υπόκεινται σε κυρώσεις από την Ένωση με τα δεδομένα του Οργανισμού σχετικά με υφιστάμενες υποθέσεις που χειρίζεται ο Οργανισμός και η συλλογή σχετικών πληροφοριών σε εθνικό επίπεδο σχετικά με προηγούμενες και εν εξελίξει έρευνες που σχετίζονται με τις υποθέσεις που περιλαμβάνονται στον κατάλογο κυρώσεων για τη διευκόλυνση των ποινικών διαδικασιών·</w:t>
      </w:r>
    </w:p>
    <w:p w:rsidR="003C0768" w:rsidRPr="007F3B6B" w:rsidRDefault="007F3B6B" w:rsidP="007F3B6B">
      <w:pPr>
        <w:pStyle w:val="NormalHanging12a"/>
        <w:widowControl/>
        <w:ind w:left="570" w:hanging="570"/>
      </w:pPr>
      <w:r w:rsidRPr="007F3B6B">
        <w:t>8.</w:t>
      </w:r>
      <w:r w:rsidRPr="007F3B6B">
        <w:tab/>
      </w:r>
      <w:r w:rsidR="003C0768" w:rsidRPr="007F3B6B">
        <w:t xml:space="preserve">εκφράζει την ικανοποίησή του για το γεγονός ότι το 2022 ο Οργανισμός ενίσχυσε την επιχειρησιακή και στρατηγική συνεργασία του με διάφορα ενδιαφερόμενα μέρη, όπως τις ευρωπαϊκές υπηρεσίες στους τομείς της δικαιοσύνης και των εσωτερικών υποθέσεων (ΔΕΥ), τα θεσμικά όργανα της Ένωσης, την OLAF, την Ευρωπαϊκή Εισαγγελία, καθώς και δίκτυα επαγγελματιών του δικαστικού κλάδου, τρίτες χώρες και διεθνείς οργανισμούς· σημειώνει ειδικότερα τη συνεργασία του Οργανισμού με τον Οργανισμό </w:t>
      </w:r>
      <w:r w:rsidR="00054A85" w:rsidRPr="007F3B6B">
        <w:t xml:space="preserve">της Ευρωπαϊκής Ένωσης </w:t>
      </w:r>
      <w:r w:rsidR="003C0768" w:rsidRPr="007F3B6B">
        <w:t>για τη Λειτουργική Διαχείριση Συστημάτων ΤΠ Μεγάλης Κλίμακας στον Χώρο Ελευθερίας, Ασφάλειας και Δικαιοσύνης (</w:t>
      </w:r>
      <w:proofErr w:type="spellStart"/>
      <w:r w:rsidR="003C0768" w:rsidRPr="007F3B6B">
        <w:t>eu</w:t>
      </w:r>
      <w:proofErr w:type="spellEnd"/>
      <w:r w:rsidR="003C0768" w:rsidRPr="007F3B6B">
        <w:t xml:space="preserve">-LISA) επί μιας κοινής έκθεσης για την τεχνητή νοημοσύνη (ΤΝ) για τη στήριξης της </w:t>
      </w:r>
      <w:r w:rsidR="003C0768" w:rsidRPr="007F3B6B">
        <w:lastRenderedPageBreak/>
        <w:t xml:space="preserve">διασυνοριακής συνεργασίας στον τομέα της ποινικής δικαιοσύνης, με τον Οργανισμό </w:t>
      </w:r>
      <w:r w:rsidR="00054A85" w:rsidRPr="007F3B6B">
        <w:t xml:space="preserve">της Ευρωπαϊκής Ένωσης </w:t>
      </w:r>
      <w:r w:rsidR="003C0768" w:rsidRPr="007F3B6B">
        <w:t xml:space="preserve">για την Κατάρτιση στον Τομέα της Επιβολής του Νόμου (CEPOL) επί 16 μαθημάτων που καλύπτουν τη δικαστική συνεργασία και με τον Οργανισμό </w:t>
      </w:r>
      <w:r w:rsidR="00054A85" w:rsidRPr="007F3B6B">
        <w:t xml:space="preserve">της Ευρωπαϊκής Ένωσης </w:t>
      </w:r>
      <w:r w:rsidR="003C0768" w:rsidRPr="007F3B6B">
        <w:t>για τη Συνεργασία στον Τομέα της Επιβολής του Νόμου (Ευρωπόλ) επί του έργου SIRIUS και του συστήματος «</w:t>
      </w:r>
      <w:proofErr w:type="spellStart"/>
      <w:r w:rsidR="003C0768" w:rsidRPr="007F3B6B">
        <w:t>hit</w:t>
      </w:r>
      <w:proofErr w:type="spellEnd"/>
      <w:r w:rsidR="003C0768" w:rsidRPr="007F3B6B">
        <w:t>/</w:t>
      </w:r>
      <w:proofErr w:type="spellStart"/>
      <w:r w:rsidR="003C0768" w:rsidRPr="007F3B6B">
        <w:t>no-hit</w:t>
      </w:r>
      <w:proofErr w:type="spellEnd"/>
      <w:r w:rsidR="003C0768" w:rsidRPr="007F3B6B">
        <w:t xml:space="preserve">» της Ευρωπόλ, με τις εθνικές αρχές από 20 κράτη μέλη, την Ευρωπόλ, την OLAF και την Ευρωπαϊκή Εισαγγελία επί της επιχείρησης SENTINAL που στοχεύει τις περιπτώσεις απάτης εις βάρος των κονδυλίων για την ανάκαμψη από την πανδημία </w:t>
      </w:r>
      <w:r w:rsidR="001E7250" w:rsidRPr="007F3B6B">
        <w:t xml:space="preserve">της </w:t>
      </w:r>
      <w:r w:rsidR="003C0768" w:rsidRPr="007F3B6B">
        <w:t xml:space="preserve">COVID-19· επισημαίνει τη συμβολή του Οργανισμού στις πρωτοβουλίες της Επιτροπής στον τομέα της ψηφιοποίησης της δικαιοσύνης (SIS II, CMS, ECRIS-TCN, μεταξύ άλλων)· σημειώνει ότι ο Οργανισμός βασίζεται σε ένα συνεχώς αναπτυσσόμενο δίκτυο σημείων επαφής με τις αρμόδιες αρχές τρίτων χωρών, ενώ το 2022 ο συνολικός αριθμός σημείων επαφής του Οργανισμού αυξήθηκε ώστε να συμπεριλάβει την Αυστραλία, το Μπαχρέιν και το Μαρόκο· επαινεί την επέκταση της συνεργασίας του Οργανισμού σε ποινικές υποθέσεις σε διεθνές επίπεδο, ιδίως μέσω του προγράμματος </w:t>
      </w:r>
      <w:proofErr w:type="spellStart"/>
      <w:r w:rsidR="003C0768" w:rsidRPr="007F3B6B">
        <w:t>EuroMed</w:t>
      </w:r>
      <w:proofErr w:type="spellEnd"/>
      <w:r w:rsidR="003C0768" w:rsidRPr="007F3B6B">
        <w:t xml:space="preserve"> Justice με τις νότιες χώρες εταίρους και ενός χρηματοδοτούμενου από την ΕΕ έργου που επικεντρώνεται στη διασυνοριακή συνεργασία στον τομέα της ποινικής δικαιοσύνης στα Δυτικά Βαλκάνια·</w:t>
      </w:r>
    </w:p>
    <w:p w:rsidR="003C0768" w:rsidRPr="007F3B6B" w:rsidRDefault="007F3B6B" w:rsidP="007F3B6B">
      <w:pPr>
        <w:pStyle w:val="NormalHanging12a"/>
        <w:widowControl/>
        <w:ind w:left="570" w:hanging="570"/>
      </w:pPr>
      <w:r w:rsidRPr="007F3B6B">
        <w:t>9.</w:t>
      </w:r>
      <w:r w:rsidRPr="007F3B6B">
        <w:tab/>
      </w:r>
      <w:r w:rsidR="003C0768" w:rsidRPr="007F3B6B">
        <w:t xml:space="preserve">εκτιμά τη διακρατική συνεργασία μεταξύ των δικαστικών αρχών που διευκολύνεται από τον Οργανισμό και τη στενή συνεργασία με όλους τους παράγοντες της αλυσίδας ποινικής δικαιοσύνης, η οποία συνέβαλε στη σύλληψη περισσότερων από 4 000 υπόπτων, στην κατάσχεση και/ή δέσμευση περιουσιακών στοιχείων εγκληματικής προέλευσης αξίας σχεδόν 3 </w:t>
      </w:r>
      <w:r w:rsidR="001E7250" w:rsidRPr="007F3B6B">
        <w:t>δισεκατομμυρίων</w:t>
      </w:r>
      <w:r w:rsidR="003C0768" w:rsidRPr="007F3B6B">
        <w:t xml:space="preserve"> EUR και στην κατάσχεση ναρκωτικών αξίας σχεδόν 12 </w:t>
      </w:r>
      <w:r w:rsidR="001E7250" w:rsidRPr="007F3B6B">
        <w:t>δισεκατομμυρίων</w:t>
      </w:r>
      <w:r w:rsidR="003C0768" w:rsidRPr="007F3B6B">
        <w:t> EUR·</w:t>
      </w:r>
    </w:p>
    <w:p w:rsidR="003C0768" w:rsidRPr="007F3B6B" w:rsidRDefault="003C0768" w:rsidP="001E7250">
      <w:pPr>
        <w:pStyle w:val="NormalHanging12a"/>
        <w:widowControl/>
        <w:rPr>
          <w:b/>
          <w:i/>
          <w:szCs w:val="24"/>
        </w:rPr>
      </w:pPr>
      <w:r w:rsidRPr="007F3B6B">
        <w:rPr>
          <w:b/>
          <w:i/>
        </w:rPr>
        <w:t>Αποδοτικότητα και οφέλη</w:t>
      </w:r>
    </w:p>
    <w:p w:rsidR="003C0768" w:rsidRPr="007F3B6B" w:rsidRDefault="007F3B6B" w:rsidP="007F3B6B">
      <w:pPr>
        <w:pStyle w:val="NormalHanging12a"/>
        <w:widowControl/>
        <w:ind w:left="570" w:hanging="570"/>
        <w:rPr>
          <w:szCs w:val="24"/>
        </w:rPr>
      </w:pPr>
      <w:r w:rsidRPr="007F3B6B">
        <w:rPr>
          <w:szCs w:val="24"/>
        </w:rPr>
        <w:t>10.</w:t>
      </w:r>
      <w:r w:rsidRPr="007F3B6B">
        <w:rPr>
          <w:szCs w:val="24"/>
        </w:rPr>
        <w:tab/>
      </w:r>
      <w:r w:rsidR="003C0768" w:rsidRPr="007F3B6B">
        <w:t>επισημαίνει ότι, εκτός από την ανάπτυξη του SUMMA, ο Οργανισμός βελτίωσε περαιτέρω τις διαδικασίες και τα εργαλεία διαχείρισης βάσει δραστηριοτήτων, αυξάνοντας την αποδοτικότητα, την ποιότητα/ακεραιότητα των δεδομένων και τη χρηστικότητα του εργαλείου σχεδιασμού του, εισάγοντας ένα νέο εργαλείο για την καταγραφή των δραστηριοτήτων και συνεχίζοντας τη σταδιακή του μετάβαση από ΒΔΕ εκροών σε ΒΔΕ αποτελεσμάτων· συγχαίρει τον Οργανισμό για την έναρξη συζήτησης με την Ευρωπόλ προκειμένου να διερευνηθεί η δυνατότητα ανταλλαγής ιατρικών υπηρεσιών στο μέλλον· επαινεί περαιτέρω την απόφαση του Οργανισμού να διατηρήσει ορισμένες βελτιώσεις της αποτελεσματικότητας που επιτεύχθηκαν κατά τη διάρκεια της πανδημίας</w:t>
      </w:r>
      <w:r w:rsidR="00054A85" w:rsidRPr="007F3B6B">
        <w:t xml:space="preserve"> της COVID-19</w:t>
      </w:r>
      <w:r w:rsidR="003C0768" w:rsidRPr="007F3B6B">
        <w:t>· σημειώνει, με βάση τις απαντήσεις του Οργανισμού στις γραπτές ερωτήσεις του Κοινοβουλίου, ότι το 2022 ο Οργανισμός διοργάνωσε το 47 % των συνεδριάσεων συντονισμού και όλες τις διαδικασίες κατάρτισης και επιλογής του προσωπικού διαδικτυακά και το 29 % όλων των συνεδριάσεων συντονισμού σε υβριδική μορφή, μειώνοντας έτσι σημαντικά τις σχετικές δαπάνες οικονομικών και ανθρώπινων πόρων·</w:t>
      </w:r>
    </w:p>
    <w:p w:rsidR="003C0768" w:rsidRPr="007F3B6B" w:rsidRDefault="007F3B6B" w:rsidP="007F3B6B">
      <w:pPr>
        <w:pStyle w:val="NormalHanging12a"/>
        <w:widowControl/>
        <w:ind w:left="570" w:hanging="570"/>
        <w:rPr>
          <w:szCs w:val="24"/>
        </w:rPr>
      </w:pPr>
      <w:r w:rsidRPr="007F3B6B">
        <w:rPr>
          <w:szCs w:val="24"/>
        </w:rPr>
        <w:t>11.</w:t>
      </w:r>
      <w:r w:rsidRPr="007F3B6B">
        <w:rPr>
          <w:szCs w:val="24"/>
        </w:rPr>
        <w:tab/>
      </w:r>
      <w:r w:rsidR="003C0768" w:rsidRPr="007F3B6B">
        <w:t xml:space="preserve">σημειώνει ότι, προκειμένου να αυξηθεί η αποτελεσματικότητα, το 2022 τέθηκαν σε λειτουργία δύο έργα σε επίπεδο οργάνωσης, η πύλη αυτοεξυπηρέτησης του Οργανισμού και το </w:t>
      </w:r>
      <w:proofErr w:type="spellStart"/>
      <w:r w:rsidR="003C0768" w:rsidRPr="007F3B6B">
        <w:t>Pexip</w:t>
      </w:r>
      <w:proofErr w:type="spellEnd"/>
      <w:r w:rsidR="003C0768" w:rsidRPr="007F3B6B">
        <w:t xml:space="preserve">, το νέο σύστημα βιντεοδιάσκεψης για τις συνεδριάσεις συντονισμού και τα κέντρα συντονισμού, με έως και 10 ταυτόχρονες διερμηνείες· σημειώνει περαιτέρω ότι η ανάλυση για τη μετάβαση του υφιστάμενου </w:t>
      </w:r>
      <w:proofErr w:type="spellStart"/>
      <w:r w:rsidR="003C0768" w:rsidRPr="007F3B6B">
        <w:t>Extranet</w:t>
      </w:r>
      <w:proofErr w:type="spellEnd"/>
      <w:r w:rsidR="003C0768" w:rsidRPr="007F3B6B">
        <w:t xml:space="preserve"> και η επιλογή παρόχων για την αντικατάσταση του συστήματος της Βιβλιοθήκης έχουν ολοκληρωθεί, ενώ ένα πιστοποιημένο εργαλείο ηλεκτρονικής υπογραφής βρίσκεται </w:t>
      </w:r>
      <w:r w:rsidR="003C0768" w:rsidRPr="007F3B6B">
        <w:lastRenderedPageBreak/>
        <w:t>ακόμη σε εξέλιξη και αναμένεται το 2024· συγχαίρει τον Οργανισμό για την εφαρμογή τεσσάρων νέων ενοτήτων SYSPER (αξιολόγηση, τίτλοι θέσεων εργασίας/περιγραφές θέσεων εργασίας, NDP, υποβολή εκθέσεων), επιπλέον των πέντε ενοτήτων που έχουν ήδη εφαρμοστεί τα προηγούμενα έτη· σημειώνει τη δέσμευση του Οργανισμού να εφαρμόσει πλήρως το SYSPER έως το 2024·</w:t>
      </w:r>
    </w:p>
    <w:p w:rsidR="003C0768" w:rsidRPr="007F3B6B" w:rsidRDefault="007F3B6B" w:rsidP="007F3B6B">
      <w:pPr>
        <w:pStyle w:val="NormalHanging12a"/>
        <w:widowControl/>
        <w:ind w:left="570" w:hanging="570"/>
        <w:rPr>
          <w:szCs w:val="24"/>
        </w:rPr>
      </w:pPr>
      <w:r w:rsidRPr="007F3B6B">
        <w:rPr>
          <w:szCs w:val="24"/>
        </w:rPr>
        <w:t>12.</w:t>
      </w:r>
      <w:r w:rsidRPr="007F3B6B">
        <w:rPr>
          <w:szCs w:val="24"/>
        </w:rPr>
        <w:tab/>
      </w:r>
      <w:r w:rsidR="003C0768" w:rsidRPr="007F3B6B">
        <w:t xml:space="preserve">σημειώνει, με βάση την έκθεση του Ελεγκτικού Συνεδρίου, ότι ο Οργανισμός δεν συγκαταλέγεται ακόμη μεταξύ των οργανισμών που έχουν καταρτίσει επιχειρησιακά σχέδια για τη βελτίωση της ενεργειακής απόδοσης και της κλιματικής ουδετερότητας των δραστηριοτήτων τους, έχουν ενσωματώσει στις ετήσιες εκθέσεις δραστηριοτήτων τους κάποια μορφή αναφοράς περιβαλλοντικών στοιχείων ή έχουν λάβει καταχώριση στο </w:t>
      </w:r>
      <w:r w:rsidR="00054A85" w:rsidRPr="007F3B6B">
        <w:t>σύστημα οικολογικής διαχείρισης και οικολογικού ελέγχου (</w:t>
      </w:r>
      <w:r w:rsidR="003C0768" w:rsidRPr="007F3B6B">
        <w:t>EMAS</w:t>
      </w:r>
      <w:r w:rsidR="00054A85" w:rsidRPr="007F3B6B">
        <w:t>)</w:t>
      </w:r>
      <w:r w:rsidR="003C0768" w:rsidRPr="007F3B6B">
        <w:t>· υπενθυμίζει ότι το 2021 ο Οργανισμός άρχισε να εφαρμόζει το πλαίσιο συμμόρφωσης EMAS/ISO 14001· σημειώνει, στο πλαίσιο αυτό, ότι ο Οργανισμός έλαβε την τελική έκθεση από την εξωτερική εταιρεία συμβούλων το 2022, η οποία περιλάμβανε όλες τις σχετικές πληροφορίες για τους περιβαλλοντικούς κανονισμούς στις Κάτω Χώρες· σημειώνει περαιτέρω ότι, κατά τη διάρκεια του 2022, ο Οργανισμός συμμετείχε στον δημόσιο διαγωνισμό για την παροχή συμβουλευτικών υπηρεσιών στον τομέα των συστημάτων περιβαλλοντικής διαχείρισης και της μείωση και αντιστάθμισης των εκπομπών αερίων του θερμοκηπίου·</w:t>
      </w:r>
    </w:p>
    <w:p w:rsidR="003C0768" w:rsidRPr="007F3B6B" w:rsidRDefault="003C0768" w:rsidP="001E7250">
      <w:pPr>
        <w:pStyle w:val="Normal12Hanging"/>
        <w:widowControl/>
        <w:rPr>
          <w:b/>
          <w:i/>
          <w:szCs w:val="24"/>
          <w:lang w:val="el-GR"/>
        </w:rPr>
      </w:pPr>
      <w:r w:rsidRPr="007F3B6B">
        <w:rPr>
          <w:b/>
          <w:i/>
          <w:lang w:val="el-GR"/>
        </w:rPr>
        <w:t>Πολιτική προσωπικού</w:t>
      </w:r>
    </w:p>
    <w:p w:rsidR="003C0768" w:rsidRPr="007F3B6B" w:rsidRDefault="007F3B6B" w:rsidP="007F3B6B">
      <w:pPr>
        <w:pStyle w:val="Normal12Hanging"/>
        <w:widowControl/>
        <w:ind w:left="570" w:hanging="570"/>
        <w:rPr>
          <w:szCs w:val="24"/>
          <w:lang w:val="el-GR"/>
        </w:rPr>
      </w:pPr>
      <w:r w:rsidRPr="007F3B6B">
        <w:rPr>
          <w:szCs w:val="24"/>
          <w:lang w:val="el-GR"/>
        </w:rPr>
        <w:t>13.</w:t>
      </w:r>
      <w:r w:rsidRPr="007F3B6B">
        <w:rPr>
          <w:szCs w:val="24"/>
          <w:lang w:val="el-GR"/>
        </w:rPr>
        <w:tab/>
      </w:r>
      <w:r w:rsidR="003C0768" w:rsidRPr="007F3B6B">
        <w:rPr>
          <w:lang w:val="el-GR"/>
        </w:rPr>
        <w:t>σημειώνει ότι, στις 31 Δεκεμβρίου 2022, το οργανόγραμμα του Οργανισμού εκτελέστηκε σε ποσοστό 100 % (όπως το 2021) με την κάλυψη του συνόλου των 221 θέσεων εκτάκτων υπαλλήλων που είχαν εγκριθεί στο πλαίσιο του προϋπολογισμού της Ένωσης για το 2022, με 209 από τους 221 έκτακτους υπαλλήλους να είναι ήδη εν ενεργεία και 12 επιστολές διορισμού να έχουν αποσταλεί· σημειώνει ότι, επιπλέον, το 2022 εργάστηκαν για τον Οργανισμό 18 συμβασιούχοι υπάλληλοι και 22 αποσπασμένοι εθνικοί εμπειρογνώμονες· σημειώνει περαιτέρω ότι πραγματοποιήθηκε διαδικασία ανακατάταξης, η οποία είχε ως αποτέλεσμα την ανακατάταξη 53 μελών του προσωπικού·</w:t>
      </w:r>
    </w:p>
    <w:p w:rsidR="003C0768" w:rsidRPr="007F3B6B" w:rsidRDefault="007F3B6B" w:rsidP="007F3B6B">
      <w:pPr>
        <w:pStyle w:val="NormalHanging12a"/>
        <w:widowControl/>
        <w:ind w:left="570" w:hanging="570"/>
      </w:pPr>
      <w:r w:rsidRPr="007F3B6B">
        <w:t>14.</w:t>
      </w:r>
      <w:r w:rsidRPr="007F3B6B">
        <w:tab/>
      </w:r>
      <w:r w:rsidR="003C0768" w:rsidRPr="007F3B6B">
        <w:t>σημειώνει την εκπροσώπηση των φύλων στον Οργανισμό για το 2022 με 6 άνδρες (60 %) και 4 γυναίκες (40 %) σε ανώτερες και μεσαίες διευθυντικές θέσεις, 16 άνδρες (64 %) και 9 γυναίκες (36 %) στο διοικητικό συμβούλιο του Οργανισμού και 85 άνδρες (33 %) και 175 γυναίκες (67 %) στο συνολικό προσωπικό· καλεί τον Οργανισμό να διασφαλίσει καλύτερη ισορροπία μεταξύ των φύλων σε όλα τα επίπεδα του προσωπικού και να ενθαρρύνει περαιτέρω τις γυναίκες υποψήφιες να υποβάλουν αίτηση για διευθυντικές θέσεις και τους άνδρες υποψηφίους να υποβάλουν αίτηση στο πλαίσιο διαδικασιών εξωτερικής επιλογής για τις υπόλοιπες θέσεις προσωπικού· αναγνωρίζει ότι ο Οργανισμός δεν είναι υπεύθυνος για τη σύνθεση του διοικητικού συμβουλίου του (στο εξής: Συλλογικό Όργανο), δεδομένου ότι τα εθνικά μέλη του Συλλογικού Οργάνου διορίζονται απευθείας από τα αντίστοιχα κράτη μέλη· ζητεί από την Επιτροπή και τα κράτη μέλη να λαμβάνουν υπόψη τη σημασία που έχει η εξασφάλιση της ισόρροπης εκπροσώπησης των φύλων όταν υποβάλλουν τις προτάσεις τους για τον διορισμό των μελών του Συλλογικού Οργάνου·</w:t>
      </w:r>
    </w:p>
    <w:p w:rsidR="003C0768" w:rsidRPr="007F3B6B" w:rsidRDefault="007F3B6B" w:rsidP="007F3B6B">
      <w:pPr>
        <w:pStyle w:val="NormalHanging12a"/>
        <w:widowControl/>
        <w:ind w:left="570" w:hanging="570"/>
        <w:rPr>
          <w:szCs w:val="24"/>
        </w:rPr>
      </w:pPr>
      <w:r w:rsidRPr="007F3B6B">
        <w:rPr>
          <w:szCs w:val="24"/>
        </w:rPr>
        <w:t>15.</w:t>
      </w:r>
      <w:r w:rsidRPr="007F3B6B">
        <w:rPr>
          <w:szCs w:val="24"/>
        </w:rPr>
        <w:tab/>
      </w:r>
      <w:r w:rsidR="003C0768" w:rsidRPr="007F3B6B">
        <w:t xml:space="preserve">σημειώνει ότι, μεταξύ 2017 και 2022, ο Οργανισμός ζήτησε τις συμβουλές εξωτερικής δικηγορικής εταιρείας με ειδίκευση στο υπαλληλικό δίκαιο της Ένωσης σε σχέση με πολλά αιτήματα συνδρομής σε περιπτώσεις φερόμενης ηθικής παρενόχλησης· </w:t>
      </w:r>
      <w:r w:rsidR="003C0768" w:rsidRPr="007F3B6B">
        <w:lastRenderedPageBreak/>
        <w:t>σημειώνει ότι ένα αίτημα συνδρομής που ελήφθη το 2021 οδήγησε στην κίνηση δύο χωριστών διοικητικών ερευνών στις οποίες ο Οργανισμός ζήτησε την υποστήριξη δύο εξωτερικών ερευνητών· σημειώνει ότι και στις δύο περιπτώσεις οι έρευνες περατώθηκαν χωρίς περαιτέρω ενέργειες, ενώ μία από αυτές οδηγήθηκε στο δικαστήριο· καλεί τον Οργανισμό να ενημερώσει την αρμόδια για την απαλλαγή αρχή σχετικά με την έκβαση αυτής της υπόθεσης·</w:t>
      </w:r>
    </w:p>
    <w:p w:rsidR="003C0768" w:rsidRPr="007F3B6B" w:rsidRDefault="007F3B6B" w:rsidP="007F3B6B">
      <w:pPr>
        <w:pStyle w:val="NormalHanging12a"/>
        <w:widowControl/>
        <w:ind w:left="570" w:hanging="570"/>
        <w:rPr>
          <w:szCs w:val="24"/>
        </w:rPr>
      </w:pPr>
      <w:r w:rsidRPr="007F3B6B">
        <w:rPr>
          <w:szCs w:val="24"/>
        </w:rPr>
        <w:t>16.</w:t>
      </w:r>
      <w:r w:rsidRPr="007F3B6B">
        <w:rPr>
          <w:szCs w:val="24"/>
        </w:rPr>
        <w:tab/>
      </w:r>
      <w:r w:rsidR="003C0768" w:rsidRPr="007F3B6B">
        <w:t>επισημαίνει ότι το 2022 ο Οργανισμός θέσπισε κανόνες εφαρμογής του κανονισμού υπηρεσιακής κατάστασης όσον αφορά, μεταξύ άλλων, τη διεξαγωγή διοικητικών ερευνών και πειθαρχικών διαδικασιών, την άδεια επίσκεψης τόπου καταγωγής για το προσωπικό που υπηρετεί σε τρίτη χώρα και την καταβολή του σχολικού επιδόματος που χορηγείται στο προσωπικό υπό ορισμένες προϋποθέσεις· εκφράζει την ικανοποίησή του για τα μέτρα που έλαβε ο Οργανισμός για την ένταξη των ατόμων με αναπηρία, καθώς και για τη δέσμευση του Οργανισμού να υιοθετήσει, στο πλαίσιο της εφαρμογής της στρατηγικής για τους ανθρώπινους πόρους, τον «Χάρτη για τη διαφορετικότητα και τη συμπερίληψη» που εγκρίθηκε από την ομάδα εργασίας του δικτύου ΔΕΥ για τη διαφορετικότητα και τη συμπερίληψη·</w:t>
      </w:r>
    </w:p>
    <w:p w:rsidR="003C0768" w:rsidRPr="007F3B6B" w:rsidRDefault="007F3B6B" w:rsidP="007F3B6B">
      <w:pPr>
        <w:pStyle w:val="NormalHanging12a"/>
        <w:widowControl/>
        <w:ind w:left="570" w:hanging="570"/>
      </w:pPr>
      <w:r w:rsidRPr="007F3B6B">
        <w:t>17.</w:t>
      </w:r>
      <w:r w:rsidRPr="007F3B6B">
        <w:tab/>
      </w:r>
      <w:r w:rsidR="003C0768" w:rsidRPr="007F3B6B">
        <w:t xml:space="preserve">σημειώνει ότι το προσωπικό του Οργανισμού κυρίως </w:t>
      </w:r>
      <w:proofErr w:type="spellStart"/>
      <w:r w:rsidR="003C0768" w:rsidRPr="007F3B6B">
        <w:t>τηλεργαζόταν</w:t>
      </w:r>
      <w:proofErr w:type="spellEnd"/>
      <w:r w:rsidR="003C0768" w:rsidRPr="007F3B6B">
        <w:t xml:space="preserve"> έως τον Μάρτιο του 2022· σημειώνει ότι, από τον Απρίλιο του 2022, όλο το προσωπικό επέστρεψε στις εγκαταστάσεις του Οργανισμού· σημειώνει, στο πλαίσιο αυτό, ότι ο Οργανισμός έθεσε σε εφαρμογή μεταβατικά μέτρα σχετικά με την εργασία στο γραφείο και την τηλεργασία και διοργάνωσε εργαστήρια για να βοηθήσει το προσωπικό να προσαρμοστεί ψυχικά στην επιστροφή στο γραφείο μετά από δύο χρόνια συνεχούς τηλεργασίας· σημειώνει επίσης ότι τα αποτελέσματα της έρευνας προσωπικού του Οργανισμού του 2023 δείχνουν ότι τα μέτρα ευημερίας που έλαβε ο Οργανισμός το 2022 μετρίασαν αποτελεσματικά τον αντίκτυπο που είχε η μακροχρόνια τηλεργασία στο προσωπικό· σημειώνει, ειδικότερα, ότι το 96 % των ερωτηθέντων ήταν θετικοί ως προς τη δυνατότητα συνεργασίας με τα μέλη της ομάδας παρά το γεγονός ότι εργάζονταν από διαφορετικές τοποθεσίες·</w:t>
      </w:r>
    </w:p>
    <w:p w:rsidR="003C0768" w:rsidRPr="007F3B6B" w:rsidRDefault="007F3B6B" w:rsidP="007F3B6B">
      <w:pPr>
        <w:pStyle w:val="NormalHanging12a"/>
        <w:widowControl/>
        <w:ind w:left="570" w:hanging="570"/>
      </w:pPr>
      <w:r w:rsidRPr="007F3B6B">
        <w:t>18.</w:t>
      </w:r>
      <w:r w:rsidRPr="007F3B6B">
        <w:tab/>
      </w:r>
      <w:r w:rsidR="003C0768" w:rsidRPr="007F3B6B">
        <w:t>σημειώνει με ικανοποίηση ότι, στις 31 Δεκεμβρίου 2022, ο Οργανισμός απασχολούσε προσωπικό από 26 κράτη μέλη· σημειώνει ότι οι εθνικότητες με τη μεγαλύτερη εκπροσώπηση στο προσωπικό του Οργανισμού ήταν οι Κάτω Χώρες, η Ιταλία, η Ισπανία και η Ρουμανία· υπενθυμίζει τη σημασία της γεωγραφικής ισορροπίας, και ενθαρρύνει τον Οργανισμό να συνεχίσει να λαμβάνει τα αναγκαία μέτρα για την ισόρροπη και δίκαιη γεωγραφική εκπροσώπηση·</w:t>
      </w:r>
    </w:p>
    <w:p w:rsidR="003C0768" w:rsidRPr="007F3B6B" w:rsidRDefault="003C0768" w:rsidP="001E7250">
      <w:pPr>
        <w:pStyle w:val="Normal12Hanging"/>
        <w:widowControl/>
        <w:rPr>
          <w:b/>
          <w:i/>
          <w:szCs w:val="24"/>
          <w:lang w:val="el-GR"/>
        </w:rPr>
      </w:pPr>
      <w:r w:rsidRPr="007F3B6B">
        <w:rPr>
          <w:b/>
          <w:i/>
          <w:lang w:val="el-GR"/>
        </w:rPr>
        <w:t>Σύναψη συμβάσεων</w:t>
      </w:r>
    </w:p>
    <w:p w:rsidR="003C0768" w:rsidRPr="007F3B6B" w:rsidRDefault="007F3B6B" w:rsidP="007F3B6B">
      <w:pPr>
        <w:pStyle w:val="NormalHanging12a"/>
        <w:widowControl/>
        <w:ind w:left="570" w:hanging="570"/>
      </w:pPr>
      <w:r w:rsidRPr="007F3B6B">
        <w:t>19.</w:t>
      </w:r>
      <w:r w:rsidRPr="007F3B6B">
        <w:tab/>
      </w:r>
      <w:r w:rsidR="003C0768" w:rsidRPr="007F3B6B">
        <w:t>υπενθυμίζει την παρατήρηση της έκθεσης του Ελεγκτικού Συνεδρίου για το 2020 ότι μια σύμβαση-πλαίσιο για τη μίσθωση οχημάτων με έναν μόνο οικονομικό φορέα δεν ήταν κατάλληλη για τη φύση των απαιτούμενων υπηρεσιών και ότι η σύμβαση που ανατέθηκε ως αποτέλεσμα της διαδικασίας και όλες οι σχετικές πληρωμές ήταν παράτυπες· σημειώνει, με βάση την έκθεση του Ελεγκτικού Συνεδρίου, ότι το 2022 ο Οργανισμός κατέβαλε παράτυπα 59 281 EUR στο πλαίσιο της εν λόγω σύμβασης και η σχετική παρατήρηση παραμένει ανοικτή· καλεί τον Οργανισμό να εξετάσει τη δυνατότητα καταγγελίας αυτής της σύμβασης-πλαισίου και της δρομολόγησης νέας διαδικασίας με εκ νέου διεξαγωγή διαγωνισμού, όπως κρίνει σκόπιμο το Ελεγκτικό Συνέδριο στην περίπτωση χρηματοδοτικής μίσθωσης οχημάτων·</w:t>
      </w:r>
    </w:p>
    <w:p w:rsidR="003C0768" w:rsidRPr="007F3B6B" w:rsidRDefault="007F3B6B" w:rsidP="007F3B6B">
      <w:pPr>
        <w:pStyle w:val="NormalHanging12a"/>
        <w:widowControl/>
        <w:ind w:left="570" w:hanging="570"/>
        <w:rPr>
          <w:szCs w:val="24"/>
        </w:rPr>
      </w:pPr>
      <w:r w:rsidRPr="007F3B6B">
        <w:rPr>
          <w:szCs w:val="24"/>
        </w:rPr>
        <w:lastRenderedPageBreak/>
        <w:t>20.</w:t>
      </w:r>
      <w:r w:rsidRPr="007F3B6B">
        <w:rPr>
          <w:szCs w:val="24"/>
        </w:rPr>
        <w:tab/>
      </w:r>
      <w:r w:rsidR="003C0768" w:rsidRPr="007F3B6B">
        <w:t>σημειώνει, με βάση την έκθεση παρακολούθησης της απαλλαγής του Οργανισμού για το 2021 (</w:t>
      </w:r>
      <w:r w:rsidR="001E7250" w:rsidRPr="007F3B6B">
        <w:t>«</w:t>
      </w:r>
      <w:r w:rsidR="003C0768" w:rsidRPr="007F3B6B">
        <w:t>έκθεση παρακολούθησης</w:t>
      </w:r>
      <w:r w:rsidR="001E7250" w:rsidRPr="007F3B6B">
        <w:t>»</w:t>
      </w:r>
      <w:r w:rsidR="003C0768" w:rsidRPr="007F3B6B">
        <w:t>), ότι ο Οργανισμός συνεχίζει τις δοκιμές του εργαλείου διαχείρισης δημόσιων συμβάσεων (PPMT), με σκοπό να το χρησιμοποιήσει για όλες τις νέες διαδικασίες σύναψης συμβάσεων που θα ξεκινήσουν από το 2024 και μετά·</w:t>
      </w:r>
    </w:p>
    <w:p w:rsidR="003C0768" w:rsidRPr="007F3B6B" w:rsidRDefault="003C0768" w:rsidP="001E7250">
      <w:pPr>
        <w:pStyle w:val="Normal12Hanging"/>
        <w:widowControl/>
        <w:rPr>
          <w:b/>
          <w:i/>
          <w:szCs w:val="24"/>
          <w:lang w:val="el-GR"/>
        </w:rPr>
      </w:pPr>
      <w:r w:rsidRPr="007F3B6B">
        <w:rPr>
          <w:b/>
          <w:i/>
          <w:lang w:val="el-GR"/>
        </w:rPr>
        <w:t>Πρόληψη και διαχείριση συγκρούσεων συμφερόντων και διαφάνεια</w:t>
      </w:r>
    </w:p>
    <w:p w:rsidR="003C0768" w:rsidRPr="007F3B6B" w:rsidRDefault="007F3B6B" w:rsidP="007F3B6B">
      <w:pPr>
        <w:pStyle w:val="Normal12Hanging"/>
        <w:widowControl/>
        <w:ind w:left="570" w:hanging="570"/>
        <w:rPr>
          <w:szCs w:val="24"/>
          <w:lang w:val="el-GR"/>
        </w:rPr>
      </w:pPr>
      <w:r w:rsidRPr="007F3B6B">
        <w:rPr>
          <w:szCs w:val="24"/>
          <w:lang w:val="el-GR"/>
        </w:rPr>
        <w:t>21.</w:t>
      </w:r>
      <w:r w:rsidRPr="007F3B6B">
        <w:rPr>
          <w:szCs w:val="24"/>
          <w:lang w:val="el-GR"/>
        </w:rPr>
        <w:tab/>
      </w:r>
      <w:r w:rsidR="003C0768" w:rsidRPr="007F3B6B">
        <w:rPr>
          <w:lang w:val="el-GR"/>
        </w:rPr>
        <w:t xml:space="preserve">σημειώνει την τυποποιημένη διαδικασία λειτουργίας του Οργανισμού όσον αφορά τη διαχείριση των συγκρούσεων συμφερόντων, η οποία ισχύει για όλους τους υποψηφίους στους οποίους προσφέρεται θέση στον Οργανισμό, τους </w:t>
      </w:r>
      <w:proofErr w:type="spellStart"/>
      <w:r w:rsidR="003C0768" w:rsidRPr="007F3B6B">
        <w:rPr>
          <w:lang w:val="el-GR"/>
        </w:rPr>
        <w:t>νεοπροσληφθέντες</w:t>
      </w:r>
      <w:proofErr w:type="spellEnd"/>
      <w:r w:rsidR="003C0768" w:rsidRPr="007F3B6B">
        <w:rPr>
          <w:lang w:val="el-GR"/>
        </w:rPr>
        <w:t xml:space="preserve">, το προσωπικό που αλλάζει θέση εργασίας και το προσωπικό που αποχωρεί από τον Οργανισμό· επισημαίνει ότι ο Οργανισμός έχει θεσπίσει κώδικα δεοντολογίας για τα μέλη του Συλλογικού Οργάνου και του εκτελεστικού συμβουλίου, χωρίς ωστόσο πολιτική στον τομέα της μεταπήδησης προς ή από τον δημόσιο στον ιδιωτικό τομέα· σημειώνει ότι, το 2022, αναφέρθηκαν και αντιμετωπίστηκαν περιπτώσεις σύγκρουσης συμφερόντων, ιδίως όσον αφορά τη συμμετοχή μελών του Συλλογικού Οργάνου σε διαδικασίες που σχετίζονται με το προσωπικό· σημειώνει με ικανοποίηση ότι τα ενδιαφερόμενα πρόσωπα </w:t>
      </w:r>
      <w:proofErr w:type="spellStart"/>
      <w:r w:rsidR="003C0768" w:rsidRPr="007F3B6B">
        <w:rPr>
          <w:lang w:val="el-GR"/>
        </w:rPr>
        <w:t>αυτοεξαιρέθηκαν</w:t>
      </w:r>
      <w:proofErr w:type="spellEnd"/>
      <w:r w:rsidR="003C0768" w:rsidRPr="007F3B6B">
        <w:rPr>
          <w:lang w:val="el-GR"/>
        </w:rPr>
        <w:t xml:space="preserve"> και δεν συμμετείχαν στις σχετικές συζητήσεις και στη λήψη αποφάσεων του Συλλογικού Οργάνου·</w:t>
      </w:r>
    </w:p>
    <w:p w:rsidR="003C0768" w:rsidRPr="007F3B6B" w:rsidRDefault="007F3B6B" w:rsidP="007F3B6B">
      <w:pPr>
        <w:pStyle w:val="Normal12Hanging"/>
        <w:widowControl/>
        <w:ind w:left="570" w:hanging="570"/>
        <w:rPr>
          <w:szCs w:val="24"/>
          <w:lang w:val="el-GR"/>
        </w:rPr>
      </w:pPr>
      <w:r w:rsidRPr="007F3B6B">
        <w:rPr>
          <w:szCs w:val="24"/>
          <w:lang w:val="el-GR"/>
        </w:rPr>
        <w:t>22.</w:t>
      </w:r>
      <w:r w:rsidRPr="007F3B6B">
        <w:rPr>
          <w:szCs w:val="24"/>
          <w:lang w:val="el-GR"/>
        </w:rPr>
        <w:tab/>
      </w:r>
      <w:r w:rsidR="003C0768" w:rsidRPr="007F3B6B">
        <w:rPr>
          <w:lang w:val="el-GR"/>
        </w:rPr>
        <w:t xml:space="preserve">σημειώνει ότι, παρόλο που ο Οργανισμός δεν πραγματοποιεί συναντήσεις με εκπροσώπους ομάδων συμφερόντων, οι συναντήσεις του εκτελεστικού συμβουλίου του Οργανισμού με εξωτερικούς προσκεκλημένους που επισκέπτονται τον Οργανισμό δημοσιεύθηκαν στον λογαριασμό Twitter του Οργανισμού το 2022 και, από το 2023, δημοσιεύονται στον δημόσιο ιστότοπο του Οργανισμού· εκφράζει τη βαθιά του λύπη για το γεγονός ότι, παρά τις επανειλημμένες εκκλήσεις του Κοινοβουλίου σε διάφορα ψηφίσματα απαλλαγής, ο Οργανισμός εξακολουθεί να μην δημοσιεύει στον </w:t>
      </w:r>
      <w:proofErr w:type="spellStart"/>
      <w:r w:rsidR="003C0768" w:rsidRPr="007F3B6B">
        <w:rPr>
          <w:lang w:val="el-GR"/>
        </w:rPr>
        <w:t>ιστότοπό</w:t>
      </w:r>
      <w:proofErr w:type="spellEnd"/>
      <w:r w:rsidR="003C0768" w:rsidRPr="007F3B6B">
        <w:rPr>
          <w:lang w:val="el-GR"/>
        </w:rPr>
        <w:t xml:space="preserve"> του τα βιογραφικά σημειώματα όλων των ανώτερων διοικητικών στελεχών του, καθώς και των εσωτερικών εμπειρογνωμόνων και εξωτερικών εμπειρογνωμόνων· παροτρύνει τον Οργανισμό να δημοσιεύσει τα εν λόγω βιογραφικά σημειώματα και/ή να εξηγήσει τους λόγους για τους οποίους δεν το έχει πράξει ακόμη·</w:t>
      </w:r>
    </w:p>
    <w:p w:rsidR="003C0768" w:rsidRPr="007F3B6B" w:rsidRDefault="003C0768" w:rsidP="001E7250">
      <w:pPr>
        <w:pStyle w:val="Normal12Hanging"/>
        <w:widowControl/>
        <w:rPr>
          <w:b/>
          <w:i/>
          <w:szCs w:val="24"/>
          <w:lang w:val="el-GR"/>
        </w:rPr>
      </w:pPr>
      <w:r w:rsidRPr="007F3B6B">
        <w:rPr>
          <w:b/>
          <w:i/>
          <w:lang w:val="el-GR"/>
        </w:rPr>
        <w:t>Εσωτερικός έλεγχος</w:t>
      </w:r>
    </w:p>
    <w:p w:rsidR="003C0768" w:rsidRPr="007F3B6B" w:rsidRDefault="007F3B6B" w:rsidP="007F3B6B">
      <w:pPr>
        <w:pStyle w:val="NormalHanging12a"/>
        <w:widowControl/>
        <w:ind w:left="570" w:hanging="570"/>
        <w:rPr>
          <w:szCs w:val="24"/>
        </w:rPr>
      </w:pPr>
      <w:r w:rsidRPr="007F3B6B">
        <w:rPr>
          <w:szCs w:val="24"/>
        </w:rPr>
        <w:t>23.</w:t>
      </w:r>
      <w:r w:rsidRPr="007F3B6B">
        <w:rPr>
          <w:szCs w:val="24"/>
        </w:rPr>
        <w:tab/>
      </w:r>
      <w:r w:rsidR="003C0768" w:rsidRPr="007F3B6B">
        <w:t>υπενθυμίζει ότι το 2021 βρισκόταν σε εξέλιξη έρευνα της OLAF, κατόπιν ανώνυμης καταγγελίας σχετικά με εικαζόμενες παρατυπίες στις διαδικασίες πρόσληψης· σημειώνει ότι το 2022 η OLAF ανέφερε ότι δεν διαπιστώθηκαν παρατυπίες· σημειώνει περαιτέρω, στο πλαίσιο αυτό, ότι, επειδή η εν λόγω έρευνα εξακολουθούσε να εκκρεμεί εν μέρει στο τέλος του 2022 και για λόγους εμπιστευτικότητας, η OLAF αποφάσισε να μην κοινοποιήσει περισσότερες λεπτομέρειες σε αυτό το στάδιο· εκφράζει την ικανοποίησή του για το γεγονός ότι, σύμφωνα με την έκθεση παρακολούθησης, ο Οργανισμός δεσμεύτηκε να ενημερώνει εγκαίρως την αρμόδια για την απαλλαγή αρχή σχετικά με οποιαδήποτε εξέλιξη επί αυτού του θέματος·</w:t>
      </w:r>
    </w:p>
    <w:p w:rsidR="003C0768" w:rsidRPr="007F3B6B" w:rsidRDefault="007F3B6B" w:rsidP="007F3B6B">
      <w:pPr>
        <w:pStyle w:val="NormalHanging12a"/>
        <w:widowControl/>
        <w:ind w:left="570" w:hanging="570"/>
        <w:rPr>
          <w:szCs w:val="24"/>
        </w:rPr>
      </w:pPr>
      <w:r w:rsidRPr="007F3B6B">
        <w:rPr>
          <w:szCs w:val="24"/>
        </w:rPr>
        <w:t>24.</w:t>
      </w:r>
      <w:r w:rsidRPr="007F3B6B">
        <w:rPr>
          <w:szCs w:val="24"/>
        </w:rPr>
        <w:tab/>
      </w:r>
      <w:r w:rsidR="003C0768" w:rsidRPr="007F3B6B">
        <w:t xml:space="preserve">σημειώνει ότι, στο τέλος του 2022, υπήρχαν τέσσερις συστάσεις από την Υπηρεσία Εσωτερικού Λογιστικού Ελέγχου της Επιτροπής του 2019 και του 2021 που είχαν καθυστερήσει σημαντικά· σημειώνει, στο πλαίσιο αυτό, ότι, όσον αφορά τη σύσταση της Υπηρεσίας Εσωτερικού Λογιστικού Ελέγχου του 2021 για ίδια πρωτοβουλία στον τομέα των επιχειρησιακών καθηκόντων, η αρμόδια εσωτερική ομάδα εργασίας του Οργανισμού συμφώνησε επί στρατηγικού εγγράφου και σχεδίου δράσης, με </w:t>
      </w:r>
      <w:r w:rsidR="003C0768" w:rsidRPr="007F3B6B">
        <w:lastRenderedPageBreak/>
        <w:t xml:space="preserve">βραχυπρόθεσμες και μεσοπρόθεσμες δράσεις, ορισμένες από τις οποίες έχουν ήδη εφαρμοστεί το 2023, με τον Οργανισμό να ταξινομεί την εν λόγω σύσταση ως </w:t>
      </w:r>
      <w:proofErr w:type="spellStart"/>
      <w:r w:rsidR="003C0768" w:rsidRPr="007F3B6B">
        <w:t>εφαρμοσθείσα</w:t>
      </w:r>
      <w:proofErr w:type="spellEnd"/>
      <w:r w:rsidR="003C0768" w:rsidRPr="007F3B6B">
        <w:t xml:space="preserve">, με την επιφύλαξη της τελικής αξιολόγησης της Υπηρεσίας Εσωτερικού Λογιστικού Ελέγχου· σημειώνει περαιτέρω, με βάση την έκθεση παρακολούθησης σε σχέση με τη σύσταση της Υπηρεσίας Εσωτερικού Λογιστικού Ελέγχου του 2021 να διενεργήσει ο Οργανισμός έρευνα </w:t>
      </w:r>
      <w:proofErr w:type="spellStart"/>
      <w:r w:rsidR="003C0768" w:rsidRPr="007F3B6B">
        <w:t>iCAT</w:t>
      </w:r>
      <w:proofErr w:type="spellEnd"/>
      <w:r w:rsidR="003C0768" w:rsidRPr="007F3B6B">
        <w:t xml:space="preserve"> για την ενίσχυση της αξιολόγησης των ήπιων ελέγχων, ότι η έναρξη της εν λόγω έρευνας, η οποία είχε προγραμματιστεί για το τέταρτο τρίμηνο του 2022, καθυστέρησε λόγω της υλοποίησης μεγάλων οργανωτικών έργων (π.χ. SUMMA), της αύξησης του φόρτου εργασίας λόγω νέων προτεραιοτήτων που σχετίζονται με τον πόλεμο στην Ουκρανία και της μεταβατικής περιόδου μεταξύ της αποχώρησης του προηγούμενου διοικητικού διευθυντή και του διορισμού του νέου διευθυντή· σημειώνει, στο πλαίσιο αυτό, ότι οι σχετικές ερωτήσεις της </w:t>
      </w:r>
      <w:proofErr w:type="spellStart"/>
      <w:r w:rsidR="003C0768" w:rsidRPr="007F3B6B">
        <w:t>iCAT</w:t>
      </w:r>
      <w:proofErr w:type="spellEnd"/>
      <w:r w:rsidR="003C0768" w:rsidRPr="007F3B6B">
        <w:t xml:space="preserve"> ενσωματώθηκαν στην έρευνα εμπλοκής του Οργανισμού που ξεκίνησε το δεύτερο τρίμηνο του 2023· σημειώνει, τέλος, ότι, με την επιφύλαξη της τελικής αξιολόγησης της Υπηρεσίας Εσωτερικού Λογιστικού Ελέγχου, η σύσταση αυτή θεωρείται επίσης ότι έχει εφαρμοστεί από τον Οργανισμό· καλεί τον Οργανισμό να επιταχύνει την εφαρμογή των υπόλοιπων εκκρεμών συστάσεων της Υπηρεσίας Εσωτερικού Λογιστικού Ελέγχου, ιδίως εκείνων που έχουν καθυστερήσει σημαντικά·</w:t>
      </w:r>
    </w:p>
    <w:p w:rsidR="003C0768" w:rsidRPr="007F3B6B" w:rsidRDefault="007F3B6B" w:rsidP="007F3B6B">
      <w:pPr>
        <w:pStyle w:val="NormalHanging12a"/>
        <w:widowControl/>
        <w:ind w:left="570" w:hanging="570"/>
      </w:pPr>
      <w:r w:rsidRPr="007F3B6B">
        <w:t>25.</w:t>
      </w:r>
      <w:r w:rsidRPr="007F3B6B">
        <w:tab/>
      </w:r>
      <w:r w:rsidR="003C0768" w:rsidRPr="007F3B6B">
        <w:t>σημειώνει με ανησυχία ότι ο αριθμός και η αξία των περιστατικών μη συμμόρφωσης αυξήθηκαν σημαντικά το 2022 (43 περιστατικά αξίας 294 000 EUR) σε σύγκριση με το 2021 (33 περιστατικά αξίας 18 000 EUR), τα οποία περιστατικά συνδέονταν κυρίως με ζητήματα όπως υψηλότερα τιμολόγια από τα νομίμως συμφωνηθέντα, τη δέσμευση κεφαλαίων μετά τη μεταβίβαση της νομικής υποχρέωσης ή την απουσία εντολής αγοράς ή ειδικής σύμβασης· σημειώνει ότι ο Οργανισμός εξηγεί ότι η αύξηση αυτή συνδέεται με τις δυσκολίες που ανέκυψαν στη δημοσιονομική και χρηματοοικονομική διαχείριση το 2022, λόγω της εισαγωγής του SUMMA· καλεί τον Οργανισμό να διευθετήσει αυτές τις παρατηρήσεις και να διερευνήσει μοντέλα ώστε να μην εμφανίζονται πλέον τέτοιου είδους καταστάσεις στο μέλλον·</w:t>
      </w:r>
    </w:p>
    <w:p w:rsidR="003C0768" w:rsidRPr="007F3B6B" w:rsidRDefault="007F3B6B" w:rsidP="007F3B6B">
      <w:pPr>
        <w:pStyle w:val="NormalHanging12a"/>
        <w:widowControl/>
        <w:ind w:left="570" w:hanging="570"/>
        <w:rPr>
          <w:szCs w:val="24"/>
        </w:rPr>
      </w:pPr>
      <w:r w:rsidRPr="007F3B6B">
        <w:rPr>
          <w:szCs w:val="24"/>
        </w:rPr>
        <w:t>26.</w:t>
      </w:r>
      <w:r w:rsidRPr="007F3B6B">
        <w:rPr>
          <w:szCs w:val="24"/>
        </w:rPr>
        <w:tab/>
      </w:r>
      <w:r w:rsidR="003C0768" w:rsidRPr="007F3B6B">
        <w:t>σημειώνει ότι το 2022 είχαν τεθεί σε εφαρμογή και λειτουργούσαν οι συνιστώσες και οι αρχές του πλαισίου εσωτερικού ελέγχου του Οργανισμού, και ότι το σύστημα ήταν μεν εν γένει αποτελεσματικό, πλην όμως απαιτούνταν ορισμένες βελτιώσεις όσον αφορά, π.χ., την εφαρμογή του SUMMA και την ανάγκη να εγκριθεί σχέδιο αποκατάστασης της λειτουργίας έπειτα από καταστροφή· συγχαίρει τον Οργανισμό για τη υιοθέτηση πολιτικής σχετικά με τα ευαίσθητα καθήκοντα, το σχέδιο αξιολόγησης της σχέσης κόστους-αποτελεσματικότητας και του οφέλους του ορισμού κλιμακίου εσωτερικού ελέγχου (IAC), και την απουσία κρίσιμων συστάσεων ή παρατηρήσεων ελέγχου το 2022· καλεί τον Οργανισμό να ενημερώσει την αρμόδια για την απαλλαγή αρχή σχετικά με το αποτέλεσμα της αξιολόγησης σχετικά με το κλιμάκιο εσωτερικού ελέγχου· επαινεί, τέλος, τις περαιτέρω ενέργειες του Οργανισμού σε συνέχεια της υιοθέτησης, το 2021, της στρατηγικής του Οργανισμού για την καταπολέμηση της απάτης· σημειώνει, στο πλαίσιο αυτό, ότι ο Οργανισμός θέσπισε το 2022 νέες εσωτερικές διαδικασίες για τη διαχείριση αποθεμάτων και περιουσιακών στοιχείων·</w:t>
      </w:r>
    </w:p>
    <w:p w:rsidR="003C0768" w:rsidRPr="007F3B6B" w:rsidRDefault="003C0768" w:rsidP="001E7250">
      <w:pPr>
        <w:pStyle w:val="Normal12Hanging"/>
        <w:widowControl/>
        <w:rPr>
          <w:b/>
          <w:i/>
          <w:szCs w:val="24"/>
          <w:lang w:val="el-GR"/>
        </w:rPr>
      </w:pPr>
      <w:r w:rsidRPr="007F3B6B">
        <w:rPr>
          <w:b/>
          <w:i/>
          <w:lang w:val="el-GR"/>
        </w:rPr>
        <w:t>Λοιπές παρατηρήσεις</w:t>
      </w:r>
    </w:p>
    <w:p w:rsidR="003C0768" w:rsidRPr="007F3B6B" w:rsidRDefault="007F3B6B" w:rsidP="007F3B6B">
      <w:pPr>
        <w:pStyle w:val="Normal12Hanging"/>
        <w:widowControl/>
        <w:ind w:left="570" w:hanging="570"/>
        <w:rPr>
          <w:szCs w:val="24"/>
          <w:lang w:val="el-GR"/>
        </w:rPr>
      </w:pPr>
      <w:r w:rsidRPr="007F3B6B">
        <w:rPr>
          <w:szCs w:val="24"/>
          <w:lang w:val="el-GR"/>
        </w:rPr>
        <w:t>27.</w:t>
      </w:r>
      <w:r w:rsidRPr="007F3B6B">
        <w:rPr>
          <w:szCs w:val="24"/>
          <w:lang w:val="el-GR"/>
        </w:rPr>
        <w:tab/>
      </w:r>
      <w:r w:rsidR="003C0768" w:rsidRPr="007F3B6B">
        <w:rPr>
          <w:lang w:val="el-GR"/>
        </w:rPr>
        <w:t xml:space="preserve">συγχαίρει τον Οργανισμό για την επένδυση στις επικοινωνιακές του δραστηριότητες προκειμένου να αυξήσει την προβολή και την κατανόηση του έργου του ώστε να προσεγγίσει ευρύ κοινό· σημειώνει συνεπώς ότι, σε σύγκριση με το 2021, το 2022 οι μετρήσεις του Οργανισμού στα μέσα κοινωνικής δικτύωσης αυξήθηκαν κατά 40 %, ο </w:t>
      </w:r>
      <w:r w:rsidR="003C0768" w:rsidRPr="007F3B6B">
        <w:rPr>
          <w:lang w:val="el-GR"/>
        </w:rPr>
        <w:lastRenderedPageBreak/>
        <w:t>αριθμός των επισκεπτών στον ιστότοπο του Οργανισμού κατά σχεδόν 100 % και ο αριθμός των δελτίων Τύπου και των ειδήσεων κατά 16 %, με τον τελευταίο δείκτη να οδηγεί σε αύξηση σχεδόν πενταπλάσιων αναφορών σε σύγκριση με το 2021·</w:t>
      </w:r>
    </w:p>
    <w:p w:rsidR="003C0768" w:rsidRPr="007F3B6B" w:rsidRDefault="007F3B6B" w:rsidP="007F3B6B">
      <w:pPr>
        <w:pStyle w:val="Normal12Hanging"/>
        <w:widowControl/>
        <w:ind w:left="570" w:hanging="570"/>
        <w:rPr>
          <w:szCs w:val="24"/>
          <w:lang w:val="el-GR"/>
        </w:rPr>
      </w:pPr>
      <w:r w:rsidRPr="007F3B6B">
        <w:rPr>
          <w:szCs w:val="24"/>
          <w:lang w:val="el-GR"/>
        </w:rPr>
        <w:t>28.</w:t>
      </w:r>
      <w:r w:rsidRPr="007F3B6B">
        <w:rPr>
          <w:szCs w:val="24"/>
          <w:lang w:val="el-GR"/>
        </w:rPr>
        <w:tab/>
      </w:r>
      <w:r w:rsidR="003C0768" w:rsidRPr="007F3B6B">
        <w:rPr>
          <w:lang w:val="el-GR"/>
        </w:rPr>
        <w:t>επαινεί τις συνεχείς προσπάθειες του Οργανισμού το 2022 για την ενίσχυση της συμμόρφωσής του όσον αφορά την προστασία των δεδομένων· εκφράζει την ικανοποίησή του για την ενίσχυση της ομάδας του υπευθύνου προστασίας δεδομένων του Οργανισμού με δύο επιπλέον υπαλλήλους για τα νέα καθήκοντα που σχετίζονται με τον κανονισμό (ΕΕ) 2018/1725</w:t>
      </w:r>
      <w:r w:rsidR="00054A85" w:rsidRPr="007F3B6B">
        <w:rPr>
          <w:rStyle w:val="FootnoteReference"/>
          <w:lang w:val="el-GR"/>
        </w:rPr>
        <w:footnoteReference w:id="12"/>
      </w:r>
      <w:r w:rsidR="003C0768" w:rsidRPr="007F3B6B">
        <w:rPr>
          <w:lang w:val="el-GR"/>
        </w:rPr>
        <w:t xml:space="preserve"> και την επέκταση της εντολής του Οργανισμού για βασικά διεθνή εγκλήματα, γεγονός που συνεπάγεται αυξημένες απαιτήσεις προστασίας δεδομένων· σημειώνει ότι το 2022 ο υπεύθυνος προστασίας δεδομένων και ο Ευρωπαίος Επόπτης Προστασίας Δεδομένων συνέχισαν να πραγματοποιούν τακτικές (διμηνιαίες) συνεδριάσεις, καθώς και ad hoc συνεδριάσεις, και διαβουλεύσεις για διάφορα ζητήματα προστασίας δεδομένων, όπως, μεταξύ άλλων, για παραβιάσεις δεδομένων και καταγγελίες·</w:t>
      </w:r>
    </w:p>
    <w:p w:rsidR="003C0768" w:rsidRPr="007F3B6B" w:rsidRDefault="007F3B6B" w:rsidP="007F3B6B">
      <w:pPr>
        <w:pStyle w:val="Normal12Hanging"/>
        <w:widowControl/>
        <w:ind w:left="570" w:hanging="570"/>
        <w:rPr>
          <w:szCs w:val="24"/>
          <w:lang w:val="el-GR"/>
        </w:rPr>
      </w:pPr>
      <w:r w:rsidRPr="007F3B6B">
        <w:rPr>
          <w:szCs w:val="24"/>
          <w:lang w:val="el-GR"/>
        </w:rPr>
        <w:t>29.</w:t>
      </w:r>
      <w:r w:rsidRPr="007F3B6B">
        <w:rPr>
          <w:szCs w:val="24"/>
          <w:lang w:val="el-GR"/>
        </w:rPr>
        <w:tab/>
      </w:r>
      <w:r w:rsidR="003C0768" w:rsidRPr="007F3B6B">
        <w:rPr>
          <w:lang w:val="el-GR"/>
        </w:rPr>
        <w:t>συγχαίρει περαιτέρω τον Οργανισμό για την εφαρμογή, το 2022, διαφόρων μέτρων για την αύξηση της ασφάλειας στον κυβερνοχώρο και την προστασία των ψηφιακών αρχείων που έχει στην κατοχή του, όπως η διάθεση κεντρικά διαχειριζόμενων και ασφαλών εταιρικών κινητών τηλεφώνων, η καθιέρωση εσωτερικών συνεδριών ευαισθητοποίησης (</w:t>
      </w:r>
      <w:proofErr w:type="spellStart"/>
      <w:r w:rsidR="003C0768" w:rsidRPr="007F3B6B">
        <w:rPr>
          <w:lang w:val="el-GR"/>
        </w:rPr>
        <w:t>CyberCafe</w:t>
      </w:r>
      <w:proofErr w:type="spellEnd"/>
      <w:r w:rsidR="003C0768" w:rsidRPr="007F3B6B">
        <w:rPr>
          <w:lang w:val="el-GR"/>
        </w:rPr>
        <w:t>) και η εφαρμογή της προστασίας από κατανεμημένες επιθέσεις άρνησης εξυπηρέτησης, μεταξύ άλλων·</w:t>
      </w:r>
    </w:p>
    <w:p w:rsidR="003C0768" w:rsidRPr="007F3B6B" w:rsidRDefault="003C0768" w:rsidP="001E7250">
      <w:pPr>
        <w:pStyle w:val="NormalCenter12a"/>
        <w:widowControl/>
        <w:ind w:left="567" w:hanging="567"/>
      </w:pPr>
      <w:r w:rsidRPr="007F3B6B">
        <w:t>°</w:t>
      </w:r>
    </w:p>
    <w:p w:rsidR="003C0768" w:rsidRPr="007F3B6B" w:rsidRDefault="003C0768" w:rsidP="001E7250">
      <w:pPr>
        <w:pStyle w:val="NormalCenter12a"/>
        <w:widowControl/>
        <w:ind w:left="567" w:hanging="567"/>
      </w:pPr>
      <w:r w:rsidRPr="007F3B6B">
        <w:t>°</w:t>
      </w:r>
      <w:r w:rsidRPr="007F3B6B">
        <w:tab/>
        <w:t>°</w:t>
      </w:r>
    </w:p>
    <w:p w:rsidR="003C0768" w:rsidRPr="007F3B6B" w:rsidRDefault="007F3B6B" w:rsidP="007F3B6B">
      <w:pPr>
        <w:widowControl/>
        <w:spacing w:after="240"/>
        <w:ind w:left="570" w:hanging="570"/>
      </w:pPr>
      <w:r w:rsidRPr="007F3B6B">
        <w:t>30.</w:t>
      </w:r>
      <w:r w:rsidRPr="007F3B6B">
        <w:tab/>
      </w:r>
      <w:r w:rsidR="003C0768" w:rsidRPr="007F3B6B">
        <w:t xml:space="preserve">παραπέμπει, όσον αφορά τις άλλες παρατηρήσεις οριζόντιου χαρακτήρα που συνοδεύουν την απόφαση απαλλαγής, στο ψήφισμά του της </w:t>
      </w:r>
      <w:r w:rsidR="001E7250" w:rsidRPr="007F3B6B">
        <w:t xml:space="preserve">11ης Απριλίου </w:t>
      </w:r>
      <w:r w:rsidR="003C0768" w:rsidRPr="007F3B6B">
        <w:t>2024</w:t>
      </w:r>
      <w:r w:rsidR="003C0768" w:rsidRPr="007F3B6B">
        <w:rPr>
          <w:rStyle w:val="FootnoteReference"/>
        </w:rPr>
        <w:footnoteReference w:id="13"/>
      </w:r>
      <w:r w:rsidR="003C0768" w:rsidRPr="007F3B6B">
        <w:t xml:space="preserve"> σχετικά με τις επιδόσεις, τη χρηματοοικονομική διαχείριση και τον έλεγχο των οργανισμών.</w:t>
      </w:r>
    </w:p>
    <w:p w:rsidR="001E7250" w:rsidRPr="007F3B6B" w:rsidRDefault="001E7250" w:rsidP="001E7250">
      <w:pPr>
        <w:widowControl/>
        <w:spacing w:after="240"/>
        <w:ind w:left="567" w:hanging="567"/>
      </w:pPr>
    </w:p>
    <w:sectPr w:rsidR="001E7250" w:rsidRPr="007F3B6B" w:rsidSect="002A6B5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451" w:rsidRPr="002A6B5E" w:rsidRDefault="00950451">
      <w:r w:rsidRPr="002A6B5E">
        <w:separator/>
      </w:r>
    </w:p>
  </w:endnote>
  <w:endnote w:type="continuationSeparator" w:id="0">
    <w:p w:rsidR="00950451" w:rsidRPr="002A6B5E" w:rsidRDefault="00950451">
      <w:r w:rsidRPr="002A6B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768" w:rsidRPr="002A6B5E" w:rsidRDefault="003C0768" w:rsidP="00544CCF">
    <w:pPr>
      <w:pStyle w:val="EPFooter"/>
    </w:pPr>
    <w:r w:rsidRPr="002A6B5E">
      <w:t>PE</w:t>
    </w:r>
    <w:r w:rsidRPr="002A6B5E">
      <w:rPr>
        <w:rStyle w:val="HideTWBExt"/>
      </w:rPr>
      <w:t>&lt;NoPE&gt;</w:t>
    </w:r>
    <w:r w:rsidRPr="002A6B5E">
      <w:t>753.539</w:t>
    </w:r>
    <w:r w:rsidRPr="002A6B5E">
      <w:rPr>
        <w:rStyle w:val="HideTWBExt"/>
      </w:rPr>
      <w:t>&lt;/NoPE&gt;&lt;Version&gt;</w:t>
    </w:r>
    <w:r w:rsidRPr="002A6B5E">
      <w:t>v02-00</w:t>
    </w:r>
    <w:r w:rsidRPr="002A6B5E">
      <w:rPr>
        <w:rStyle w:val="HideTWBExt"/>
      </w:rPr>
      <w:t>&lt;/Version&gt;</w:t>
    </w:r>
    <w:r w:rsidRPr="002A6B5E">
      <w:tab/>
    </w:r>
    <w:r w:rsidRPr="002A6B5E">
      <w:fldChar w:fldCharType="begin"/>
    </w:r>
    <w:r w:rsidRPr="002A6B5E">
      <w:instrText xml:space="preserve"> PAGE  \* MERGEFORMAT </w:instrText>
    </w:r>
    <w:r w:rsidRPr="002A6B5E">
      <w:fldChar w:fldCharType="separate"/>
    </w:r>
    <w:r w:rsidR="002A6B5E" w:rsidRPr="002A6B5E">
      <w:rPr>
        <w:noProof/>
      </w:rPr>
      <w:t>2</w:t>
    </w:r>
    <w:r w:rsidRPr="002A6B5E">
      <w:fldChar w:fldCharType="end"/>
    </w:r>
    <w:r w:rsidRPr="002A6B5E">
      <w:t>/</w:t>
    </w:r>
    <w:fldSimple w:instr=" NUMPAGES  \* MERGEFORMAT ">
      <w:r w:rsidR="002A6B5E" w:rsidRPr="002A6B5E">
        <w:rPr>
          <w:noProof/>
        </w:rPr>
        <w:t>4</w:t>
      </w:r>
    </w:fldSimple>
    <w:r w:rsidRPr="002A6B5E">
      <w:tab/>
    </w:r>
    <w:r w:rsidRPr="002A6B5E">
      <w:rPr>
        <w:rStyle w:val="HideTWBExt"/>
      </w:rPr>
      <w:t>&lt;PathFdR&gt;</w:t>
    </w:r>
    <w:r w:rsidRPr="002A6B5E">
      <w:t>RR\1298768EL.docx</w:t>
    </w:r>
    <w:r w:rsidRPr="002A6B5E">
      <w:rPr>
        <w:rStyle w:val="HideTWBExt"/>
      </w:rPr>
      <w:t>&lt;/PathFdR&gt;</w:t>
    </w:r>
  </w:p>
  <w:p w:rsidR="003C0768" w:rsidRPr="002A6B5E" w:rsidRDefault="003C0768" w:rsidP="00544CCF">
    <w:pPr>
      <w:pStyle w:val="EPFooter2"/>
    </w:pPr>
    <w:r w:rsidRPr="002A6B5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768" w:rsidRPr="002A6B5E" w:rsidRDefault="003C0768" w:rsidP="00544CCF">
    <w:pPr>
      <w:pStyle w:val="EPFooter"/>
    </w:pPr>
    <w:r w:rsidRPr="002A6B5E">
      <w:rPr>
        <w:rStyle w:val="HideTWBExt"/>
      </w:rPr>
      <w:t>&lt;PathFdR&gt;</w:t>
    </w:r>
    <w:r w:rsidRPr="002A6B5E">
      <w:t>RR\1298768EL.docx</w:t>
    </w:r>
    <w:r w:rsidRPr="002A6B5E">
      <w:rPr>
        <w:rStyle w:val="HideTWBExt"/>
      </w:rPr>
      <w:t>&lt;/PathFdR&gt;</w:t>
    </w:r>
    <w:r w:rsidRPr="002A6B5E">
      <w:tab/>
    </w:r>
    <w:r w:rsidRPr="002A6B5E">
      <w:tab/>
      <w:t>PE</w:t>
    </w:r>
    <w:r w:rsidRPr="002A6B5E">
      <w:rPr>
        <w:rStyle w:val="HideTWBExt"/>
      </w:rPr>
      <w:t>&lt;NoPE&gt;</w:t>
    </w:r>
    <w:r w:rsidRPr="002A6B5E">
      <w:t>753.539</w:t>
    </w:r>
    <w:r w:rsidRPr="002A6B5E">
      <w:rPr>
        <w:rStyle w:val="HideTWBExt"/>
      </w:rPr>
      <w:t>&lt;/NoPE&gt;&lt;Version&gt;</w:t>
    </w:r>
    <w:r w:rsidRPr="002A6B5E">
      <w:t>v02-00</w:t>
    </w:r>
    <w:r w:rsidRPr="002A6B5E">
      <w:rPr>
        <w:rStyle w:val="HideTWBExt"/>
      </w:rPr>
      <w:t>&lt;/Version&gt;</w:t>
    </w:r>
  </w:p>
  <w:p w:rsidR="003C0768" w:rsidRPr="002A6B5E" w:rsidRDefault="003C0768" w:rsidP="00544CCF">
    <w:pPr>
      <w:pStyle w:val="EPFooter2"/>
    </w:pPr>
    <w:r w:rsidRPr="002A6B5E">
      <w:t>EL</w:t>
    </w:r>
    <w:r w:rsidRPr="002A6B5E">
      <w:tab/>
    </w:r>
    <w:r w:rsidRPr="002A6B5E">
      <w:rPr>
        <w:b w:val="0"/>
        <w:i/>
        <w:color w:val="C0C0C0"/>
        <w:sz w:val="22"/>
      </w:rPr>
      <w:t>Ενωμένη στην πολυμορφία</w:t>
    </w:r>
    <w:r w:rsidRPr="002A6B5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B5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B5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B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451" w:rsidRPr="002A6B5E" w:rsidRDefault="00950451">
      <w:r w:rsidRPr="002A6B5E">
        <w:separator/>
      </w:r>
    </w:p>
  </w:footnote>
  <w:footnote w:type="continuationSeparator" w:id="0">
    <w:p w:rsidR="00950451" w:rsidRPr="002A6B5E" w:rsidRDefault="00950451">
      <w:r w:rsidRPr="002A6B5E">
        <w:continuationSeparator/>
      </w:r>
    </w:p>
  </w:footnote>
  <w:footnote w:id="1">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C, C/2023/594, 27.10.2023.</w:t>
      </w:r>
    </w:p>
  </w:footnote>
  <w:footnote w:id="2">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C, C/2023/112, 12.10.2023.</w:t>
      </w:r>
    </w:p>
  </w:footnote>
  <w:footnote w:id="3">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L 193 της 30.7.2018, σ. 1.</w:t>
      </w:r>
    </w:p>
  </w:footnote>
  <w:footnote w:id="4">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L 295 της 21.11.2018, σ. 138.</w:t>
      </w:r>
    </w:p>
  </w:footnote>
  <w:footnote w:id="5">
    <w:p w:rsidR="003C0768" w:rsidRPr="002A6B5E" w:rsidRDefault="003C0768" w:rsidP="001E7250">
      <w:pPr>
        <w:pStyle w:val="FootnoteText"/>
        <w:spacing w:line="240" w:lineRule="auto"/>
        <w:ind w:left="567" w:hanging="567"/>
        <w:rPr>
          <w:sz w:val="24"/>
          <w:szCs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L 122 της 10.5.2019, σ. 1.</w:t>
      </w:r>
    </w:p>
  </w:footnote>
  <w:footnote w:id="6">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C, C/2023/594, 27.10.2023.</w:t>
      </w:r>
    </w:p>
  </w:footnote>
  <w:footnote w:id="7">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C, C/2023/112, 12.10.2023.</w:t>
      </w:r>
    </w:p>
  </w:footnote>
  <w:footnote w:id="8">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L 193 της 30.7.2018, σ. 1.</w:t>
      </w:r>
    </w:p>
  </w:footnote>
  <w:footnote w:id="9">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L 295 της 21.11.2018, σ. 138.</w:t>
      </w:r>
    </w:p>
  </w:footnote>
  <w:footnote w:id="10">
    <w:p w:rsidR="003C0768" w:rsidRPr="002A6B5E" w:rsidRDefault="003C0768" w:rsidP="001E7250">
      <w:pPr>
        <w:pStyle w:val="FootnoteText"/>
        <w:spacing w:line="240" w:lineRule="auto"/>
        <w:ind w:left="567" w:hanging="567"/>
        <w:rPr>
          <w:sz w:val="24"/>
          <w:szCs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L 122 της 10.5.2019, σ. 1.</w:t>
      </w:r>
    </w:p>
  </w:footnote>
  <w:footnote w:id="11">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ΕΕ C 38 της 31.1.2023, σ. 194.</w:t>
      </w:r>
    </w:p>
  </w:footnote>
  <w:footnote w:id="12">
    <w:p w:rsidR="00054A85" w:rsidRPr="007F3B6B" w:rsidRDefault="00054A85" w:rsidP="007F3B6B">
      <w:pPr>
        <w:pStyle w:val="FootnoteText"/>
        <w:ind w:left="567" w:hanging="567"/>
        <w:rPr>
          <w:sz w:val="24"/>
          <w:lang w:val="el-GR"/>
        </w:rPr>
      </w:pPr>
      <w:r w:rsidRPr="007F3B6B">
        <w:rPr>
          <w:rStyle w:val="FootnoteReference"/>
          <w:sz w:val="24"/>
        </w:rPr>
        <w:footnoteRef/>
      </w:r>
      <w:r w:rsidRPr="007F3B6B">
        <w:rPr>
          <w:sz w:val="24"/>
          <w:lang w:val="el-GR"/>
        </w:rPr>
        <w:t xml:space="preserve"> </w:t>
      </w:r>
      <w:r w:rsidRPr="007F3B6B">
        <w:rPr>
          <w:sz w:val="24"/>
          <w:lang w:val="el-GR"/>
        </w:rPr>
        <w:tab/>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footnote>
  <w:footnote w:id="13">
    <w:p w:rsidR="003C0768" w:rsidRPr="002A6B5E" w:rsidRDefault="003C0768" w:rsidP="001E7250">
      <w:pPr>
        <w:pStyle w:val="FootnoteText"/>
        <w:spacing w:line="240" w:lineRule="auto"/>
        <w:ind w:left="567" w:hanging="567"/>
        <w:rPr>
          <w:sz w:val="24"/>
          <w:lang w:val="el-GR"/>
        </w:rPr>
      </w:pPr>
      <w:r w:rsidRPr="002A6B5E">
        <w:rPr>
          <w:rStyle w:val="FootnoteReference"/>
          <w:sz w:val="24"/>
          <w:lang w:val="el-GR"/>
        </w:rPr>
        <w:footnoteRef/>
      </w:r>
      <w:r w:rsidR="002A6B5E" w:rsidRPr="002A6B5E">
        <w:rPr>
          <w:sz w:val="24"/>
          <w:lang w:val="el-GR"/>
        </w:rPr>
        <w:t xml:space="preserve"> </w:t>
      </w:r>
      <w:r w:rsidR="002A6B5E" w:rsidRPr="002A6B5E">
        <w:rPr>
          <w:sz w:val="24"/>
          <w:lang w:val="el-GR"/>
        </w:rPr>
        <w:tab/>
      </w:r>
      <w:r w:rsidRPr="002A6B5E">
        <w:rPr>
          <w:sz w:val="24"/>
          <w:lang w:val="el-GR"/>
        </w:rPr>
        <w:t>Κείμενα που εγκρίθηκαν, P9_TA(2024)0</w:t>
      </w:r>
      <w:r w:rsidR="007F3B6B">
        <w:rPr>
          <w:sz w:val="24"/>
          <w:lang w:val="el-GR"/>
        </w:rPr>
        <w:t>28</w:t>
      </w:r>
      <w:r w:rsidRPr="002A6B5E">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B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B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6B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79E2B97"/>
    <w:multiLevelType w:val="multilevel"/>
    <w:tmpl w:val="0BE6CF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3A205A4"/>
    <w:multiLevelType w:val="hybridMultilevel"/>
    <w:tmpl w:val="F0465382"/>
    <w:lvl w:ilvl="0" w:tplc="C1C410D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2"/>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EL"/>
    <w:docVar w:name="dvnumam" w:val="0"/>
    <w:docVar w:name="dvpe" w:val="753.539"/>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Eurojust) για το οικονομικό έτος 2022(2023/2168(DEC))"/>
  </w:docVars>
  <w:rsids>
    <w:rsidRoot w:val="00950451"/>
    <w:rsid w:val="00002272"/>
    <w:rsid w:val="00054A85"/>
    <w:rsid w:val="00064002"/>
    <w:rsid w:val="000677B9"/>
    <w:rsid w:val="000831BA"/>
    <w:rsid w:val="000A42CC"/>
    <w:rsid w:val="000E7DD9"/>
    <w:rsid w:val="0010095E"/>
    <w:rsid w:val="00125B37"/>
    <w:rsid w:val="00187494"/>
    <w:rsid w:val="001E7250"/>
    <w:rsid w:val="001F32AE"/>
    <w:rsid w:val="002767FF"/>
    <w:rsid w:val="002A6B5E"/>
    <w:rsid w:val="002B18FE"/>
    <w:rsid w:val="002B5493"/>
    <w:rsid w:val="00343214"/>
    <w:rsid w:val="00361C00"/>
    <w:rsid w:val="00395FA1"/>
    <w:rsid w:val="003C076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73F1"/>
    <w:rsid w:val="00731ADD"/>
    <w:rsid w:val="00734777"/>
    <w:rsid w:val="00747932"/>
    <w:rsid w:val="00751A4A"/>
    <w:rsid w:val="00756632"/>
    <w:rsid w:val="00762C74"/>
    <w:rsid w:val="00786EC0"/>
    <w:rsid w:val="007D1690"/>
    <w:rsid w:val="007E22AD"/>
    <w:rsid w:val="007F3B6B"/>
    <w:rsid w:val="00817416"/>
    <w:rsid w:val="00842779"/>
    <w:rsid w:val="00865F67"/>
    <w:rsid w:val="00881A7B"/>
    <w:rsid w:val="008840E5"/>
    <w:rsid w:val="00887B3E"/>
    <w:rsid w:val="008C2AC6"/>
    <w:rsid w:val="00930C23"/>
    <w:rsid w:val="0093193B"/>
    <w:rsid w:val="0095045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847E9"/>
  <w15:chartTrackingRefBased/>
  <w15:docId w15:val="{201BDA99-1A38-47A0-BF23-F31EE621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07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0768"/>
    <w:pPr>
      <w:spacing w:before="480" w:after="240"/>
    </w:pPr>
  </w:style>
  <w:style w:type="paragraph" w:customStyle="1" w:styleId="PageHeading">
    <w:name w:val="PageHeading"/>
    <w:basedOn w:val="Normal"/>
    <w:rsid w:val="003C0768"/>
    <w:pPr>
      <w:keepNext/>
      <w:spacing w:after="480"/>
      <w:jc w:val="center"/>
    </w:pPr>
    <w:rPr>
      <w:rFonts w:ascii="Arial" w:hAnsi="Arial" w:cs="Arial"/>
      <w:b/>
    </w:rPr>
  </w:style>
  <w:style w:type="paragraph" w:customStyle="1" w:styleId="NormalBold">
    <w:name w:val="NormalBold"/>
    <w:basedOn w:val="Normal"/>
    <w:rsid w:val="003C0768"/>
    <w:rPr>
      <w:b/>
    </w:rPr>
  </w:style>
  <w:style w:type="paragraph" w:customStyle="1" w:styleId="NormalHanging12a">
    <w:name w:val="NormalHanging12a"/>
    <w:basedOn w:val="Normal"/>
    <w:link w:val="NormalHanging12aChar"/>
    <w:rsid w:val="003C0768"/>
    <w:pPr>
      <w:spacing w:after="240"/>
      <w:ind w:left="567" w:hanging="567"/>
    </w:pPr>
  </w:style>
  <w:style w:type="paragraph" w:customStyle="1" w:styleId="NormalCenter12a">
    <w:name w:val="NormalCenter12a"/>
    <w:basedOn w:val="Normal"/>
    <w:rsid w:val="003C0768"/>
    <w:pPr>
      <w:spacing w:after="240"/>
      <w:jc w:val="center"/>
    </w:pPr>
  </w:style>
  <w:style w:type="paragraph" w:styleId="Header">
    <w:name w:val="header"/>
    <w:basedOn w:val="Normal"/>
    <w:link w:val="HeaderChar"/>
    <w:rsid w:val="003C0768"/>
    <w:pPr>
      <w:tabs>
        <w:tab w:val="center" w:pos="4513"/>
        <w:tab w:val="right" w:pos="9026"/>
      </w:tabs>
    </w:pPr>
  </w:style>
  <w:style w:type="character" w:customStyle="1" w:styleId="HeaderChar">
    <w:name w:val="Header Char"/>
    <w:basedOn w:val="DefaultParagraphFont"/>
    <w:link w:val="Header"/>
    <w:rsid w:val="003C0768"/>
    <w:rPr>
      <w:sz w:val="24"/>
      <w:lang w:val="el-GR"/>
    </w:rPr>
  </w:style>
  <w:style w:type="paragraph" w:customStyle="1" w:styleId="EPFooter">
    <w:name w:val="EPFooter"/>
    <w:basedOn w:val="Normal"/>
    <w:rsid w:val="003C076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C0768"/>
    <w:rPr>
      <w:sz w:val="24"/>
      <w:lang w:val="el-GR"/>
    </w:rPr>
  </w:style>
  <w:style w:type="character" w:customStyle="1" w:styleId="Normal12HangingChar">
    <w:name w:val="Normal12Hanging Char"/>
    <w:link w:val="Normal12Hanging"/>
    <w:locked/>
    <w:rsid w:val="003C0768"/>
    <w:rPr>
      <w:sz w:val="24"/>
    </w:rPr>
  </w:style>
  <w:style w:type="paragraph" w:customStyle="1" w:styleId="Normal12Hanging">
    <w:name w:val="Normal12Hanging"/>
    <w:basedOn w:val="Normal"/>
    <w:link w:val="Normal12HangingChar"/>
    <w:rsid w:val="003C0768"/>
    <w:pPr>
      <w:spacing w:after="240"/>
      <w:ind w:left="567" w:hanging="567"/>
    </w:pPr>
    <w:rPr>
      <w:lang w:val="en-GB"/>
    </w:rPr>
  </w:style>
  <w:style w:type="paragraph" w:styleId="Footer">
    <w:name w:val="footer"/>
    <w:basedOn w:val="Normal"/>
    <w:link w:val="FooterChar"/>
    <w:rsid w:val="001E7250"/>
    <w:pPr>
      <w:tabs>
        <w:tab w:val="center" w:pos="4513"/>
        <w:tab w:val="right" w:pos="9026"/>
      </w:tabs>
    </w:pPr>
  </w:style>
  <w:style w:type="character" w:customStyle="1" w:styleId="FooterChar">
    <w:name w:val="Footer Char"/>
    <w:basedOn w:val="DefaultParagraphFont"/>
    <w:link w:val="Footer"/>
    <w:rsid w:val="001E7250"/>
    <w:rPr>
      <w:sz w:val="24"/>
      <w:lang w:val="el-GR"/>
    </w:rPr>
  </w:style>
  <w:style w:type="paragraph" w:styleId="ListParagraph">
    <w:name w:val="List Paragraph"/>
    <w:basedOn w:val="Normal"/>
    <w:uiPriority w:val="34"/>
    <w:qFormat/>
    <w:rsid w:val="001E7250"/>
    <w:pPr>
      <w:ind w:left="720"/>
      <w:contextualSpacing/>
    </w:pPr>
  </w:style>
  <w:style w:type="paragraph" w:styleId="BalloonText">
    <w:name w:val="Balloon Text"/>
    <w:basedOn w:val="Normal"/>
    <w:link w:val="BalloonTextChar"/>
    <w:rsid w:val="001E7250"/>
    <w:rPr>
      <w:rFonts w:ascii="Segoe UI" w:hAnsi="Segoe UI" w:cs="Segoe UI"/>
      <w:sz w:val="18"/>
      <w:szCs w:val="18"/>
    </w:rPr>
  </w:style>
  <w:style w:type="character" w:customStyle="1" w:styleId="BalloonTextChar">
    <w:name w:val="Balloon Text Char"/>
    <w:basedOn w:val="DefaultParagraphFont"/>
    <w:link w:val="BalloonText"/>
    <w:rsid w:val="001E725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E9EA1-714D-4E88-A5F2-7334A9C61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5072</Words>
  <Characters>30115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2024-04-11T11:45:00Z</dcterms:created>
  <dcterms:modified xsi:type="dcterms:W3CDTF">2024-04-11T11:45:00Z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A9-0099/2024</vt:lpwstr>
  </property>
  <property fmtid="{D5CDD505-2E9C-101B-9397-08002B2CF9AE}" pid="4" name="&lt;Type&gt;">
    <vt:lpwstr>RR</vt:lpwstr>
  </property>
</Properties>
</file>