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13E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13E2" w:rsidRDefault="001B1CCA" w:rsidP="0010095E">
            <w:pPr>
              <w:pStyle w:val="EPName"/>
            </w:pPr>
            <w:r w:rsidRPr="008B13E2">
              <w:t>Europski parlament</w:t>
            </w:r>
          </w:p>
          <w:p w:rsidR="00751A4A" w:rsidRPr="008B13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13E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B13E2" w:rsidRDefault="00187494" w:rsidP="0010095E">
            <w:pPr>
              <w:pStyle w:val="EPLogo"/>
            </w:pPr>
            <w:r w:rsidRPr="008B13E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13E2" w:rsidRDefault="00D058B8" w:rsidP="004C5D52">
      <w:pPr>
        <w:pStyle w:val="LineTop"/>
      </w:pPr>
    </w:p>
    <w:p w:rsidR="00680577" w:rsidRPr="008B13E2" w:rsidRDefault="001B1CCA" w:rsidP="00680577">
      <w:pPr>
        <w:pStyle w:val="EPBodyTA1"/>
      </w:pPr>
      <w:r w:rsidRPr="008B13E2">
        <w:t>USVOJENI TEKSTOVI</w:t>
      </w:r>
    </w:p>
    <w:p w:rsidR="00D058B8" w:rsidRPr="008B13E2" w:rsidRDefault="00D058B8" w:rsidP="00D058B8">
      <w:pPr>
        <w:pStyle w:val="LineBottom"/>
      </w:pPr>
    </w:p>
    <w:p w:rsidR="001B1CCA" w:rsidRPr="008B13E2" w:rsidRDefault="001B1CCA" w:rsidP="001B1CCA">
      <w:pPr>
        <w:pStyle w:val="ATHeading1"/>
      </w:pPr>
      <w:bookmarkStart w:id="0" w:name="TANumber"/>
      <w:r w:rsidRPr="008B13E2">
        <w:t>P9_TA(2024)0</w:t>
      </w:r>
      <w:r w:rsidR="008B13E2" w:rsidRPr="008B13E2">
        <w:t>246</w:t>
      </w:r>
      <w:bookmarkEnd w:id="0"/>
    </w:p>
    <w:p w:rsidR="001B1CCA" w:rsidRPr="008B13E2" w:rsidRDefault="001B1CCA" w:rsidP="001B1CCA">
      <w:pPr>
        <w:pStyle w:val="ATHeading2"/>
      </w:pPr>
      <w:bookmarkStart w:id="1" w:name="title"/>
      <w:r w:rsidRPr="008B13E2">
        <w:t>Razrješnica za 2022.: Agencija Europske unije za suradnju u kaznenom pravosuđu (</w:t>
      </w:r>
      <w:proofErr w:type="spellStart"/>
      <w:r w:rsidRPr="008B13E2">
        <w:t>Eurojust</w:t>
      </w:r>
      <w:proofErr w:type="spellEnd"/>
      <w:r w:rsidRPr="008B13E2">
        <w:t>)</w:t>
      </w:r>
      <w:bookmarkEnd w:id="1"/>
    </w:p>
    <w:p w:rsidR="001B1CCA" w:rsidRPr="008B13E2" w:rsidRDefault="001B1CCA" w:rsidP="001B1CCA">
      <w:pPr>
        <w:rPr>
          <w:i/>
          <w:vanish/>
        </w:rPr>
      </w:pPr>
      <w:r w:rsidRPr="008B13E2">
        <w:rPr>
          <w:i/>
        </w:rPr>
        <w:fldChar w:fldCharType="begin"/>
      </w:r>
      <w:r w:rsidRPr="008B13E2">
        <w:rPr>
          <w:i/>
        </w:rPr>
        <w:instrText xml:space="preserve"> TC"(</w:instrText>
      </w:r>
      <w:bookmarkStart w:id="2" w:name="DocNumber"/>
      <w:r w:rsidRPr="008B13E2">
        <w:rPr>
          <w:i/>
        </w:rPr>
        <w:instrText>A9-0099/2024</w:instrText>
      </w:r>
      <w:bookmarkEnd w:id="2"/>
      <w:r w:rsidRPr="008B13E2">
        <w:rPr>
          <w:i/>
        </w:rPr>
        <w:instrText xml:space="preserve"> - Izvjestitelj: Petri Sarvamaa)"\l3 \n&gt; \* MERGEFORMAT </w:instrText>
      </w:r>
      <w:r w:rsidRPr="008B13E2">
        <w:rPr>
          <w:i/>
        </w:rPr>
        <w:fldChar w:fldCharType="end"/>
      </w:r>
    </w:p>
    <w:p w:rsidR="001B1CCA" w:rsidRPr="008B13E2" w:rsidRDefault="001B1CCA" w:rsidP="001B1CCA">
      <w:pPr>
        <w:rPr>
          <w:vanish/>
        </w:rPr>
      </w:pPr>
      <w:bookmarkStart w:id="3" w:name="Commission"/>
      <w:r w:rsidRPr="008B13E2">
        <w:rPr>
          <w:vanish/>
        </w:rPr>
        <w:t>Odbor za proračunski nadzor</w:t>
      </w:r>
      <w:bookmarkEnd w:id="3"/>
    </w:p>
    <w:p w:rsidR="001B1CCA" w:rsidRPr="008B13E2" w:rsidRDefault="001B1CCA" w:rsidP="001B1CCA">
      <w:pPr>
        <w:rPr>
          <w:vanish/>
        </w:rPr>
      </w:pPr>
      <w:bookmarkStart w:id="4" w:name="PE"/>
      <w:r w:rsidRPr="008B13E2">
        <w:rPr>
          <w:vanish/>
        </w:rPr>
        <w:t>PE753.539</w:t>
      </w:r>
      <w:bookmarkEnd w:id="4"/>
    </w:p>
    <w:p w:rsidR="001B1CCA" w:rsidRPr="008B13E2" w:rsidRDefault="00F928A8" w:rsidP="001B1CCA">
      <w:pPr>
        <w:pStyle w:val="ATHeading3"/>
      </w:pPr>
      <w:bookmarkStart w:id="5" w:name="Sujet"/>
      <w:r w:rsidRPr="008B13E2">
        <w:t xml:space="preserve">1. </w:t>
      </w:r>
      <w:r w:rsidR="001B1CCA" w:rsidRPr="008B13E2">
        <w:t>Odl</w:t>
      </w:r>
      <w:r w:rsidRPr="008B13E2">
        <w:t>uka Europskog parlamenta od 11. travnja</w:t>
      </w:r>
      <w:r w:rsidR="001B1CCA" w:rsidRPr="008B13E2">
        <w:t xml:space="preserve"> 2024. o razrješnici za izvršenje proračuna Agencije Europske unije za suradnju u kaznenom pravosuđu (</w:t>
      </w:r>
      <w:proofErr w:type="spellStart"/>
      <w:r w:rsidR="001B1CCA" w:rsidRPr="008B13E2">
        <w:t>Eurojust</w:t>
      </w:r>
      <w:proofErr w:type="spellEnd"/>
      <w:r w:rsidR="001B1CCA" w:rsidRPr="008B13E2">
        <w:t>) za financijsku godinu 2022.</w:t>
      </w:r>
      <w:bookmarkEnd w:id="5"/>
      <w:r w:rsidR="001B1CCA" w:rsidRPr="008B13E2">
        <w:t xml:space="preserve"> </w:t>
      </w:r>
      <w:bookmarkStart w:id="6" w:name="References"/>
      <w:r w:rsidR="001B1CCA" w:rsidRPr="008B13E2">
        <w:t>(2023/2168(DEC))</w:t>
      </w:r>
      <w:bookmarkEnd w:id="6"/>
    </w:p>
    <w:p w:rsidR="002B5E2E" w:rsidRPr="008B13E2" w:rsidRDefault="002B5E2E" w:rsidP="002B5E2E">
      <w:pPr>
        <w:pStyle w:val="EPComma"/>
      </w:pPr>
      <w:bookmarkStart w:id="7" w:name="TextBodyBegin"/>
      <w:bookmarkEnd w:id="7"/>
      <w:r w:rsidRPr="008B13E2">
        <w:rPr>
          <w:i/>
        </w:rPr>
        <w:t>Europski parlament</w:t>
      </w:r>
      <w:r w:rsidRPr="008B13E2">
        <w:t>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završnu godišnju računovodstvenu dokumentaciju Agencije Europske unije za suradnju u kaznenom pravosuđu (</w:t>
      </w:r>
      <w:proofErr w:type="spellStart"/>
      <w:r w:rsidRPr="008B13E2">
        <w:t>Eurojust</w:t>
      </w:r>
      <w:proofErr w:type="spellEnd"/>
      <w:r w:rsidRPr="008B13E2">
        <w:t>) za financijsku godinu 2022.,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godišnje izvješće Revizorskog suda o agencijama EU-a za financijsku godinu 2022., kojemu su priloženi odgovori agencija</w:t>
      </w:r>
      <w:r w:rsidRPr="008B13E2">
        <w:rPr>
          <w:rStyle w:val="FootnoteReference"/>
        </w:rPr>
        <w:footnoteReference w:id="1"/>
      </w:r>
      <w:r w:rsidRPr="008B13E2">
        <w:t>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izjavu o jamstvu</w:t>
      </w:r>
      <w:r w:rsidRPr="008B13E2">
        <w:rPr>
          <w:rStyle w:val="FootnoteReference"/>
        </w:rPr>
        <w:footnoteReference w:id="2"/>
      </w:r>
      <w:r w:rsidRPr="008B13E2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preporuku Vijeća od 22. veljače 2024. o razrješnici koju Agencija treba dobiti za izvršenje proračuna za</w:t>
      </w:r>
      <w:r w:rsidR="00F928A8" w:rsidRPr="008B13E2">
        <w:t xml:space="preserve"> financijsku godinu 2022. (06180/2024 – C9</w:t>
      </w:r>
      <w:r w:rsidR="00F928A8" w:rsidRPr="008B13E2">
        <w:noBreakHyphen/>
        <w:t>0106</w:t>
      </w:r>
      <w:r w:rsidRPr="008B13E2">
        <w:t>/2024),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članak 319. Ugovora o funkcioniranju Europske unije,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8B13E2">
        <w:rPr>
          <w:rStyle w:val="FootnoteReference"/>
        </w:rPr>
        <w:footnoteReference w:id="3"/>
      </w:r>
      <w:r w:rsidRPr="008B13E2">
        <w:t>, a posebno njezin članak 70.,</w:t>
      </w:r>
    </w:p>
    <w:p w:rsidR="002B5E2E" w:rsidRPr="008B13E2" w:rsidRDefault="002B5E2E" w:rsidP="002B5E2E">
      <w:pPr>
        <w:pStyle w:val="NormalHanging12a"/>
      </w:pPr>
      <w:r w:rsidRPr="008B13E2">
        <w:lastRenderedPageBreak/>
        <w:t>–</w:t>
      </w:r>
      <w:r w:rsidRPr="008B13E2">
        <w:tab/>
        <w:t>uzimajući u obzir Uredbu (EU) 2018/1727 Europskog parlamenta i Vijeća od 14. studenoga 2018. o Agenciji Europske unije za suradnju u kaznenom pravosuđu (</w:t>
      </w:r>
      <w:proofErr w:type="spellStart"/>
      <w:r w:rsidRPr="008B13E2">
        <w:t>Eurojust</w:t>
      </w:r>
      <w:proofErr w:type="spellEnd"/>
      <w:r w:rsidRPr="008B13E2">
        <w:t>) te zamjeni i stavljanju izvan snage Odluke Vijeća 2002/187/PUP</w:t>
      </w:r>
      <w:r w:rsidRPr="008B13E2">
        <w:rPr>
          <w:rStyle w:val="FootnoteReference"/>
        </w:rPr>
        <w:footnoteReference w:id="4"/>
      </w:r>
      <w:r w:rsidRPr="008B13E2">
        <w:t>, a posebno njezin članak 63.,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8B13E2">
        <w:t>Euratomu</w:t>
      </w:r>
      <w:proofErr w:type="spellEnd"/>
      <w:r w:rsidRPr="008B13E2">
        <w:t xml:space="preserve"> na koja se upućuje u članku 70. Uredbe (EU, Euratom) 2018/1046 Europskog parlamenta i Vijeća</w:t>
      </w:r>
      <w:r w:rsidRPr="008B13E2">
        <w:rPr>
          <w:rStyle w:val="FootnoteReference"/>
        </w:rPr>
        <w:footnoteReference w:id="5"/>
      </w:r>
      <w:r w:rsidRPr="008B13E2">
        <w:t>, a posebno njezin članak 105.,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članak 100. Poslovnika i Prilog V. Poslovniku,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mišljenje Odbora za građanske slobode, pravosuđe i unutarnje poslove,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izvješće Odbora za proračunski nadzor (A9</w:t>
      </w:r>
      <w:r w:rsidRPr="008B13E2">
        <w:noBreakHyphen/>
        <w:t>0099/2024),</w:t>
      </w:r>
    </w:p>
    <w:p w:rsidR="002B5E2E" w:rsidRPr="008B13E2" w:rsidRDefault="002B5E2E" w:rsidP="002B5E2E">
      <w:pPr>
        <w:pStyle w:val="NormalHanging12a"/>
      </w:pPr>
      <w:r w:rsidRPr="008B13E2">
        <w:t>1.</w:t>
      </w:r>
      <w:r w:rsidRPr="008B13E2">
        <w:tab/>
        <w:t>daje razrješnicu upravnom direktoru Agencije Europske unije za suradnju u kaznenom pravosuđu (</w:t>
      </w:r>
      <w:proofErr w:type="spellStart"/>
      <w:r w:rsidRPr="008B13E2">
        <w:t>Eurojust</w:t>
      </w:r>
      <w:proofErr w:type="spellEnd"/>
      <w:r w:rsidRPr="008B13E2">
        <w:t>) za izvršenje proračuna Agencije za financijsku godinu 2022.;</w:t>
      </w:r>
    </w:p>
    <w:p w:rsidR="002B5E2E" w:rsidRPr="008B13E2" w:rsidRDefault="002B5E2E" w:rsidP="002B5E2E">
      <w:pPr>
        <w:pStyle w:val="NormalHanging12a"/>
      </w:pPr>
      <w:r w:rsidRPr="008B13E2">
        <w:t>2.</w:t>
      </w:r>
      <w:r w:rsidRPr="008B13E2">
        <w:tab/>
        <w:t>iznosi svoje primjedbe u Rezoluciji u nastavku;</w:t>
      </w:r>
    </w:p>
    <w:p w:rsidR="002B5E2E" w:rsidRPr="008B13E2" w:rsidRDefault="002B5E2E" w:rsidP="002B5E2E">
      <w:pPr>
        <w:pStyle w:val="NormalHanging12a"/>
      </w:pPr>
      <w:r w:rsidRPr="008B13E2">
        <w:t>3.</w:t>
      </w:r>
      <w:r w:rsidRPr="008B13E2">
        <w:tab/>
        <w:t>nalaže svojoj predsjednici da ovu Odluku i Rezoluciju, koja je njezin sastavni dio, proslijedi upravnom direktoru Agencije Europske unije za suradnju u kaznenom pravosuđu (</w:t>
      </w:r>
      <w:proofErr w:type="spellStart"/>
      <w:r w:rsidRPr="008B13E2">
        <w:t>Eurojust</w:t>
      </w:r>
      <w:proofErr w:type="spellEnd"/>
      <w:r w:rsidRPr="008B13E2">
        <w:t xml:space="preserve">), Vijeću, Komisiji i Revizorskom sudu te da ih da na objavu u </w:t>
      </w:r>
      <w:r w:rsidRPr="008B13E2">
        <w:rPr>
          <w:i/>
        </w:rPr>
        <w:t>Službenom listu Europske unije</w:t>
      </w:r>
      <w:r w:rsidRPr="008B13E2">
        <w:t xml:space="preserve"> (serija L).</w:t>
      </w:r>
    </w:p>
    <w:p w:rsidR="002B5E2E" w:rsidRPr="008B13E2" w:rsidRDefault="002B5E2E" w:rsidP="002B5E2E"/>
    <w:p w:rsidR="002B5E2E" w:rsidRPr="008B13E2" w:rsidRDefault="002B5E2E" w:rsidP="002B5E2E">
      <w:pPr>
        <w:pStyle w:val="PageHeading"/>
        <w:sectPr w:rsidR="002B5E2E" w:rsidRPr="008B13E2" w:rsidSect="00440D3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B5E2E" w:rsidRPr="008B13E2" w:rsidRDefault="00F928A8" w:rsidP="00F928A8">
      <w:pPr>
        <w:pStyle w:val="PageHeading"/>
        <w:jc w:val="left"/>
        <w:rPr>
          <w:rFonts w:ascii="Times New Roman" w:hAnsi="Times New Roman" w:cs="Times New Roman"/>
        </w:rPr>
      </w:pPr>
      <w:bookmarkStart w:id="8" w:name="_Toc161397186"/>
      <w:r w:rsidRPr="008B13E2">
        <w:rPr>
          <w:rFonts w:ascii="Times New Roman" w:hAnsi="Times New Roman" w:cs="Times New Roman"/>
        </w:rPr>
        <w:lastRenderedPageBreak/>
        <w:t>2. Odluka Europskog parlamenta</w:t>
      </w:r>
      <w:bookmarkEnd w:id="8"/>
      <w:r w:rsidRPr="008B13E2">
        <w:rPr>
          <w:rFonts w:ascii="Times New Roman" w:hAnsi="Times New Roman" w:cs="Times New Roman"/>
        </w:rPr>
        <w:t xml:space="preserve"> od 11. travnja 2024. </w:t>
      </w:r>
      <w:r w:rsidR="002B5E2E" w:rsidRPr="008B13E2">
        <w:rPr>
          <w:rFonts w:ascii="Times New Roman" w:hAnsi="Times New Roman" w:cs="Times New Roman"/>
        </w:rPr>
        <w:t>o zaključenju poslovnih knjiga Agencije Europske unije za suradnju u kaznenom pravosuđu (</w:t>
      </w:r>
      <w:proofErr w:type="spellStart"/>
      <w:r w:rsidR="002B5E2E" w:rsidRPr="008B13E2">
        <w:rPr>
          <w:rFonts w:ascii="Times New Roman" w:hAnsi="Times New Roman" w:cs="Times New Roman"/>
        </w:rPr>
        <w:t>Eurojust</w:t>
      </w:r>
      <w:proofErr w:type="spellEnd"/>
      <w:r w:rsidR="002B5E2E" w:rsidRPr="008B13E2">
        <w:rPr>
          <w:rFonts w:ascii="Times New Roman" w:hAnsi="Times New Roman" w:cs="Times New Roman"/>
        </w:rPr>
        <w:t>) za financijsku godinu 2022.</w:t>
      </w:r>
      <w:r w:rsidRPr="008B13E2">
        <w:rPr>
          <w:rFonts w:ascii="Times New Roman" w:hAnsi="Times New Roman" w:cs="Times New Roman"/>
        </w:rPr>
        <w:t xml:space="preserve"> </w:t>
      </w:r>
      <w:r w:rsidR="002B5E2E" w:rsidRPr="008B13E2">
        <w:rPr>
          <w:rFonts w:ascii="Times New Roman" w:hAnsi="Times New Roman" w:cs="Times New Roman"/>
        </w:rPr>
        <w:t>(2023/2168(DEC))</w:t>
      </w:r>
    </w:p>
    <w:p w:rsidR="002B5E2E" w:rsidRPr="008B13E2" w:rsidRDefault="002B5E2E" w:rsidP="002B5E2E">
      <w:pPr>
        <w:pStyle w:val="EPComma"/>
      </w:pPr>
      <w:r w:rsidRPr="008B13E2">
        <w:rPr>
          <w:i/>
        </w:rPr>
        <w:t>Europski parlament</w:t>
      </w:r>
      <w:r w:rsidRPr="008B13E2">
        <w:t>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završnu godišnju računovodstvenu dokumentaciju Agencije Europske unije za suradnju u kaznenom pravosuđu (</w:t>
      </w:r>
      <w:proofErr w:type="spellStart"/>
      <w:r w:rsidRPr="008B13E2">
        <w:t>Eurojust</w:t>
      </w:r>
      <w:proofErr w:type="spellEnd"/>
      <w:r w:rsidRPr="008B13E2">
        <w:t>) za financijsku godinu 2022.,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godišnje izvješće Revizorskog suda o agencijama EU-a za financijsku godinu 2022., kojemu su priloženi odgovori agencija</w:t>
      </w:r>
      <w:r w:rsidRPr="008B13E2">
        <w:rPr>
          <w:rStyle w:val="FootnoteReference"/>
        </w:rPr>
        <w:footnoteReference w:id="6"/>
      </w:r>
      <w:r w:rsidRPr="008B13E2">
        <w:t>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izjavu o jamstvu</w:t>
      </w:r>
      <w:r w:rsidRPr="008B13E2">
        <w:rPr>
          <w:rStyle w:val="FootnoteReference"/>
        </w:rPr>
        <w:footnoteReference w:id="7"/>
      </w:r>
      <w:r w:rsidRPr="008B13E2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preporuku Vijeća od 22. veljače 2024. o razrješnici koju Agencija treba dobiti za izvršenje proračuna za</w:t>
      </w:r>
      <w:r w:rsidR="00F928A8" w:rsidRPr="008B13E2">
        <w:t xml:space="preserve"> financijsku godinu 2022. (06180/2024 – C9</w:t>
      </w:r>
      <w:r w:rsidR="00F928A8" w:rsidRPr="008B13E2">
        <w:noBreakHyphen/>
        <w:t>0106</w:t>
      </w:r>
      <w:r w:rsidRPr="008B13E2">
        <w:t>/2024),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članak 319. Ugovora o funkcioniranju Europske unije,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8B13E2">
        <w:rPr>
          <w:rStyle w:val="FootnoteReference"/>
        </w:rPr>
        <w:footnoteReference w:id="8"/>
      </w:r>
      <w:r w:rsidRPr="008B13E2">
        <w:t>, a posebno njezin članak 70.,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Uredbu (EU) 2018/1727 Europskog parlamenta i Vijeća od 14. studenoga 2018. o Agenciji Europske unije za suradnju u kaznenom pravosuđu (</w:t>
      </w:r>
      <w:proofErr w:type="spellStart"/>
      <w:r w:rsidRPr="008B13E2">
        <w:t>Eurojust</w:t>
      </w:r>
      <w:proofErr w:type="spellEnd"/>
      <w:r w:rsidRPr="008B13E2">
        <w:t>) te zamjeni i stavljanju izvan snage Odluke Vijeća 2002/187/PUP</w:t>
      </w:r>
      <w:r w:rsidRPr="008B13E2">
        <w:rPr>
          <w:rStyle w:val="FootnoteReference"/>
        </w:rPr>
        <w:footnoteReference w:id="9"/>
      </w:r>
      <w:r w:rsidRPr="008B13E2">
        <w:t>, a posebno njezin članak 63.,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8B13E2">
        <w:t>Euratomu</w:t>
      </w:r>
      <w:proofErr w:type="spellEnd"/>
      <w:r w:rsidRPr="008B13E2">
        <w:t xml:space="preserve"> na koja se upućuje u članku 70. Uredbe (EU, Euratom) 2018/1046 Europskog parlamenta i Vijeća</w:t>
      </w:r>
      <w:r w:rsidRPr="008B13E2">
        <w:rPr>
          <w:rStyle w:val="FootnoteReference"/>
        </w:rPr>
        <w:footnoteReference w:id="10"/>
      </w:r>
      <w:r w:rsidRPr="008B13E2">
        <w:t>, a posebno njezin članak 105.,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članak 100. Poslovnika i Prilog V. Poslovniku,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mišljenje Odbora za građanske slobode, pravosuđe i unutarnje poslove,</w:t>
      </w:r>
    </w:p>
    <w:p w:rsidR="002B5E2E" w:rsidRPr="008B13E2" w:rsidRDefault="002B5E2E" w:rsidP="002B5E2E">
      <w:pPr>
        <w:pStyle w:val="NormalHanging12a"/>
      </w:pPr>
      <w:r w:rsidRPr="008B13E2">
        <w:lastRenderedPageBreak/>
        <w:t>–</w:t>
      </w:r>
      <w:r w:rsidRPr="008B13E2">
        <w:tab/>
        <w:t>uzimajući u obzir izvješće Odbora za proračunski nadzor (A9</w:t>
      </w:r>
      <w:r w:rsidRPr="008B13E2">
        <w:noBreakHyphen/>
        <w:t>0099/2024),</w:t>
      </w:r>
    </w:p>
    <w:p w:rsidR="002B5E2E" w:rsidRPr="008B13E2" w:rsidRDefault="002B5E2E" w:rsidP="002B5E2E">
      <w:pPr>
        <w:pStyle w:val="NormalHanging12a"/>
      </w:pPr>
      <w:r w:rsidRPr="008B13E2">
        <w:t>1.</w:t>
      </w:r>
      <w:r w:rsidRPr="008B13E2">
        <w:tab/>
        <w:t>odobrava zaključenje poslovnih knjiga Agencije Europske unije za suradnju u kaznenom pravosuđu (</w:t>
      </w:r>
      <w:proofErr w:type="spellStart"/>
      <w:r w:rsidRPr="008B13E2">
        <w:t>Eurojust</w:t>
      </w:r>
      <w:proofErr w:type="spellEnd"/>
      <w:r w:rsidRPr="008B13E2">
        <w:t>) za financijsku godinu 2022.;</w:t>
      </w:r>
    </w:p>
    <w:p w:rsidR="002B5E2E" w:rsidRPr="008B13E2" w:rsidRDefault="002B5E2E" w:rsidP="002B5E2E">
      <w:pPr>
        <w:pStyle w:val="NormalHanging12a"/>
      </w:pPr>
      <w:r w:rsidRPr="008B13E2">
        <w:t>2.</w:t>
      </w:r>
      <w:r w:rsidRPr="008B13E2">
        <w:tab/>
        <w:t>nalaže svojoj predsjednici da ovu Odluku proslijedi upravnom direktoru Agencije Europske unije za suradnju u kaznenom pravosuđu (</w:t>
      </w:r>
      <w:proofErr w:type="spellStart"/>
      <w:r w:rsidRPr="008B13E2">
        <w:t>Eurojust</w:t>
      </w:r>
      <w:proofErr w:type="spellEnd"/>
      <w:r w:rsidRPr="008B13E2">
        <w:t xml:space="preserve">), Vijeću, Komisiji i Revizorskom sudu te da je da na objavu u </w:t>
      </w:r>
      <w:r w:rsidRPr="008B13E2">
        <w:rPr>
          <w:i/>
        </w:rPr>
        <w:t>Službenom listu Europske unije</w:t>
      </w:r>
      <w:r w:rsidRPr="008B13E2">
        <w:t xml:space="preserve"> (serija L).</w:t>
      </w:r>
    </w:p>
    <w:p w:rsidR="002B5E2E" w:rsidRPr="008B13E2" w:rsidRDefault="002B5E2E" w:rsidP="002B5E2E"/>
    <w:p w:rsidR="002B5E2E" w:rsidRPr="008B13E2" w:rsidRDefault="002B5E2E" w:rsidP="002B5E2E">
      <w:pPr>
        <w:pStyle w:val="PageHeading"/>
        <w:sectPr w:rsidR="002B5E2E" w:rsidRPr="008B13E2" w:rsidSect="00440D30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2B5E2E" w:rsidRPr="008B13E2" w:rsidRDefault="00F928A8" w:rsidP="00F928A8">
      <w:pPr>
        <w:pStyle w:val="PageHeading"/>
        <w:jc w:val="left"/>
        <w:rPr>
          <w:rFonts w:ascii="Times New Roman" w:hAnsi="Times New Roman" w:cs="Times New Roman"/>
        </w:rPr>
      </w:pPr>
      <w:bookmarkStart w:id="9" w:name="_Toc161397187"/>
      <w:r w:rsidRPr="008B13E2">
        <w:rPr>
          <w:rFonts w:ascii="Times New Roman" w:hAnsi="Times New Roman" w:cs="Times New Roman"/>
        </w:rPr>
        <w:lastRenderedPageBreak/>
        <w:t>3. Rezolucija Europskog parlamenta</w:t>
      </w:r>
      <w:bookmarkEnd w:id="9"/>
      <w:r w:rsidRPr="008B13E2">
        <w:rPr>
          <w:rFonts w:ascii="Times New Roman" w:hAnsi="Times New Roman" w:cs="Times New Roman"/>
        </w:rPr>
        <w:t xml:space="preserve"> od 11. travnja 2024. </w:t>
      </w:r>
      <w:r w:rsidR="002B5E2E" w:rsidRPr="008B13E2">
        <w:rPr>
          <w:rFonts w:ascii="Times New Roman" w:hAnsi="Times New Roman" w:cs="Times New Roman"/>
        </w:rPr>
        <w:t>s primjedbama koje su sastavni dio Odluke o razrješnici za izvršenje proračuna Agencije Europske unije za suradnju u kaznenom pravosuđu (</w:t>
      </w:r>
      <w:proofErr w:type="spellStart"/>
      <w:r w:rsidR="002B5E2E" w:rsidRPr="008B13E2">
        <w:rPr>
          <w:rFonts w:ascii="Times New Roman" w:hAnsi="Times New Roman" w:cs="Times New Roman"/>
        </w:rPr>
        <w:t>Eurojust</w:t>
      </w:r>
      <w:proofErr w:type="spellEnd"/>
      <w:r w:rsidR="002B5E2E" w:rsidRPr="008B13E2">
        <w:rPr>
          <w:rFonts w:ascii="Times New Roman" w:hAnsi="Times New Roman" w:cs="Times New Roman"/>
        </w:rPr>
        <w:t>) za financijsku godinu 2022.</w:t>
      </w:r>
      <w:r w:rsidRPr="008B13E2">
        <w:rPr>
          <w:rFonts w:ascii="Times New Roman" w:hAnsi="Times New Roman" w:cs="Times New Roman"/>
        </w:rPr>
        <w:t xml:space="preserve"> </w:t>
      </w:r>
      <w:r w:rsidR="002B5E2E" w:rsidRPr="008B13E2">
        <w:rPr>
          <w:rFonts w:ascii="Times New Roman" w:hAnsi="Times New Roman" w:cs="Times New Roman"/>
        </w:rPr>
        <w:t>(2023/2168(DEC))</w:t>
      </w:r>
    </w:p>
    <w:p w:rsidR="002B5E2E" w:rsidRPr="008B13E2" w:rsidRDefault="002B5E2E" w:rsidP="002B5E2E">
      <w:pPr>
        <w:pStyle w:val="EPComma"/>
      </w:pPr>
      <w:r w:rsidRPr="008B13E2">
        <w:rPr>
          <w:i/>
        </w:rPr>
        <w:t>Europski parlament</w:t>
      </w:r>
      <w:r w:rsidRPr="008B13E2">
        <w:t>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svoju Odluku o razrješnici za izvršenje proračuna Agencije Europske unije za suradnju u kaznenom pravosuđu (</w:t>
      </w:r>
      <w:proofErr w:type="spellStart"/>
      <w:r w:rsidRPr="008B13E2">
        <w:t>Eurojust</w:t>
      </w:r>
      <w:proofErr w:type="spellEnd"/>
      <w:r w:rsidRPr="008B13E2">
        <w:t>) za financijsku godinu 2022.,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članak 100. Poslovnika i Prilog V. Poslovniku,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mišljenje Odbora za građanske slobode, pravosuđe i unutarnje poslove,</w:t>
      </w:r>
    </w:p>
    <w:p w:rsidR="002B5E2E" w:rsidRPr="008B13E2" w:rsidRDefault="002B5E2E" w:rsidP="002B5E2E">
      <w:pPr>
        <w:pStyle w:val="NormalHanging12a"/>
      </w:pPr>
      <w:r w:rsidRPr="008B13E2">
        <w:t>–</w:t>
      </w:r>
      <w:r w:rsidRPr="008B13E2">
        <w:tab/>
        <w:t>uzimajući u obzir izvješće Odbora za proračunski nadzor (A9</w:t>
      </w:r>
      <w:r w:rsidRPr="008B13E2">
        <w:noBreakHyphen/>
        <w:t>0099/2024),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A.</w:t>
      </w:r>
      <w:r w:rsidRPr="008B13E2">
        <w:rPr>
          <w:lang w:val="hr-HR"/>
        </w:rPr>
        <w:tab/>
        <w:t>budući da je, prema njezinu izvještaju o prihodima i rashodima</w:t>
      </w:r>
      <w:r w:rsidRPr="008B13E2">
        <w:rPr>
          <w:rStyle w:val="FootnoteReference"/>
          <w:szCs w:val="24"/>
          <w:lang w:val="hr-HR"/>
        </w:rPr>
        <w:footnoteReference w:id="11"/>
      </w:r>
      <w:r w:rsidRPr="008B13E2">
        <w:rPr>
          <w:lang w:val="hr-HR"/>
        </w:rPr>
        <w:t>, konačni proračun Agencije Europske unije za suradnju u kaznenom pravosuđu (</w:t>
      </w:r>
      <w:proofErr w:type="spellStart"/>
      <w:r w:rsidRPr="008B13E2">
        <w:rPr>
          <w:lang w:val="hr-HR"/>
        </w:rPr>
        <w:t>Eurojust</w:t>
      </w:r>
      <w:proofErr w:type="spellEnd"/>
      <w:r w:rsidRPr="008B13E2">
        <w:rPr>
          <w:lang w:val="hr-HR"/>
        </w:rPr>
        <w:t>) („Agencija”) za financijsku godinu 2022. iznosio 50 183 522 EUR, što predstavlja smanjenje od 5,84 % u odnosu na 2021.; budući da proračun Agencije gotovo isključivo čine proračunska sredstva Unije;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B.</w:t>
      </w:r>
      <w:r w:rsidRPr="008B13E2">
        <w:rPr>
          <w:lang w:val="hr-HR"/>
        </w:rPr>
        <w:tab/>
        <w:t>budući da je Revizorski sud u svojem izvješću o godišnjoj računovodstvenoj dokumentaciji Agencije za financijsku godinu 2022. („izvješće Revizorskog suda”) izjavio da je dobio razumno jamstvo da je godišnja računovodstvena dokumentacija Agencije pouzdana te da su temeljne transakcije zakonite i pravilne;</w:t>
      </w:r>
    </w:p>
    <w:p w:rsidR="002B5E2E" w:rsidRPr="008B13E2" w:rsidRDefault="002B5E2E" w:rsidP="002B5E2E">
      <w:pPr>
        <w:pStyle w:val="Normal12Hanging"/>
        <w:rPr>
          <w:b/>
          <w:i/>
          <w:szCs w:val="24"/>
          <w:lang w:val="hr-HR"/>
        </w:rPr>
      </w:pPr>
      <w:r w:rsidRPr="008B13E2">
        <w:rPr>
          <w:b/>
          <w:i/>
          <w:lang w:val="hr-HR"/>
        </w:rPr>
        <w:t>Proračunsko i financijsko upravljanje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1.</w:t>
      </w:r>
      <w:r w:rsidRPr="008B13E2">
        <w:rPr>
          <w:lang w:val="hr-HR"/>
        </w:rPr>
        <w:tab/>
        <w:t>sa zadovoljstvom primjećuje da je praćenje proračuna rezultiralo stopom izvršenja proračuna za 2022. od 99,93 %; prima na znanje da je stopa izvršenja odobrenih sredstava za plaćanje za tekuću godinu iznosila 89,22 %, što predstavlja povećanje od 4,64 % u odnosu na 2021.;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2.</w:t>
      </w:r>
      <w:r w:rsidRPr="008B13E2">
        <w:rPr>
          <w:lang w:val="hr-HR"/>
        </w:rPr>
        <w:tab/>
        <w:t xml:space="preserve">napominje da su se tijekom 2022. pojavile razne nove potrebe za financiranjem, uključujući one povezane s infrastrukturom za novi sustav vođenja predmeta, pojačanjem povezanim s novim zadaćama CICED-a (Core International </w:t>
      </w:r>
      <w:proofErr w:type="spellStart"/>
      <w:r w:rsidRPr="008B13E2">
        <w:rPr>
          <w:lang w:val="hr-HR"/>
        </w:rPr>
        <w:t>Crime</w:t>
      </w:r>
      <w:proofErr w:type="spellEnd"/>
      <w:r w:rsidRPr="008B13E2">
        <w:rPr>
          <w:lang w:val="hr-HR"/>
        </w:rPr>
        <w:t xml:space="preserve"> </w:t>
      </w:r>
      <w:proofErr w:type="spellStart"/>
      <w:r w:rsidRPr="008B13E2">
        <w:rPr>
          <w:lang w:val="hr-HR"/>
        </w:rPr>
        <w:t>Evidence</w:t>
      </w:r>
      <w:proofErr w:type="spellEnd"/>
      <w:r w:rsidRPr="008B13E2">
        <w:rPr>
          <w:lang w:val="hr-HR"/>
        </w:rPr>
        <w:t xml:space="preserve"> </w:t>
      </w:r>
      <w:proofErr w:type="spellStart"/>
      <w:r w:rsidRPr="008B13E2">
        <w:rPr>
          <w:lang w:val="hr-HR"/>
        </w:rPr>
        <w:t>Database</w:t>
      </w:r>
      <w:proofErr w:type="spellEnd"/>
      <w:r w:rsidRPr="008B13E2">
        <w:rPr>
          <w:lang w:val="hr-HR"/>
        </w:rPr>
        <w:t>) i povećanjem plaća zbog visoke inflacije; napominje da su te potrebe za financiranjem pokrivene dvjema izmjenama proračuna (ukupno 5,7 milijuna EUR) i s nekoliko proračunskih prijenosa;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3.</w:t>
      </w:r>
      <w:r w:rsidRPr="008B13E2">
        <w:rPr>
          <w:lang w:val="hr-HR"/>
        </w:rPr>
        <w:tab/>
        <w:t xml:space="preserve">prima na znanje činjenicu da je Agencija 2022. uvela novi Komisijin sustav financijskog upravljanja i računovodstva (SUMMA) i povezana tehnička pitanja koja su utjecala na izvršenje proračuna i izvješćivanje Agencije; posebno prima na znanje stajalište Agencije da su ta pitanja utjecala i na visoku stopu plaćanja koja nisu izvršena na vrijeme (52,9 %) i zakomplicirala praćenje područja s visokom nestabilnošću troškova, kao što su koordinacijski sastanci; u tom kontekstu prima na znanje opažanje iz izvješća Revizorskog suda da Agencija, protivno nekim odredbama Financijske </w:t>
      </w:r>
      <w:r w:rsidRPr="008B13E2">
        <w:rPr>
          <w:lang w:val="hr-HR"/>
        </w:rPr>
        <w:lastRenderedPageBreak/>
        <w:t>uredbe, nije ažurirala svoju strategiju upravljanja rizicima i kontrole kako bi obuhvatila rizike povezane s</w:t>
      </w:r>
      <w:r w:rsidR="00F928A8" w:rsidRPr="008B13E2">
        <w:rPr>
          <w:lang w:val="hr-HR"/>
        </w:rPr>
        <w:t xml:space="preserve"> provedbom</w:t>
      </w:r>
      <w:r w:rsidRPr="008B13E2">
        <w:rPr>
          <w:lang w:val="hr-HR"/>
        </w:rPr>
        <w:t xml:space="preserve"> SUMMA</w:t>
      </w:r>
      <w:r w:rsidR="00F928A8" w:rsidRPr="008B13E2">
        <w:rPr>
          <w:lang w:val="hr-HR"/>
        </w:rPr>
        <w:t>-e</w:t>
      </w:r>
      <w:r w:rsidRPr="008B13E2">
        <w:rPr>
          <w:lang w:val="hr-HR"/>
        </w:rPr>
        <w:t xml:space="preserve">, kao ni svoje financijske tokove i strategiju ex </w:t>
      </w:r>
      <w:proofErr w:type="spellStart"/>
      <w:r w:rsidRPr="008B13E2">
        <w:rPr>
          <w:lang w:val="hr-HR"/>
        </w:rPr>
        <w:t>ante</w:t>
      </w:r>
      <w:proofErr w:type="spellEnd"/>
      <w:r w:rsidRPr="008B13E2">
        <w:rPr>
          <w:lang w:val="hr-HR"/>
        </w:rPr>
        <w:t xml:space="preserve"> i ex post provjera, te da ne provjerava posebno prava koja su dodijeljena korisniku u tom sustavu, što predstavlja rizik da korisničke uloge u SUMMA-i možda nisu pravilno dodijeljene i ažurirane;</w:t>
      </w:r>
    </w:p>
    <w:p w:rsidR="002B5E2E" w:rsidRPr="008B13E2" w:rsidRDefault="002B5E2E" w:rsidP="002B5E2E">
      <w:pPr>
        <w:pStyle w:val="NormalHanging12a"/>
      </w:pPr>
      <w:r w:rsidRPr="008B13E2">
        <w:t>4.</w:t>
      </w:r>
      <w:r w:rsidRPr="008B13E2">
        <w:tab/>
        <w:t>sa zabrinutošću prima na znanje opažanje iz izvješća Revizorskog suda da Agencija nije poštovala rokove za plaćanja predviđene Financijskom uredbom za 1 222 od ukupno 2 308 plaćanja (52,9 %); podsjeća i ističe da su u 720 slučajeva (31,5 %) plaćanja kasnila više od 30 dana; napominje da Agencija taj neuspjeh, koji prema mišljenju Revizorskog suda Agenciju izlaže financijskom i reputacijskom riziku te je u suprotnosti s načelom ekonomičnosti, pripisuje uvođenju SUMMA-e; prima na znanje odgovor Agencije da je SUMMA u pilot-fazi te da je došlo do kašnjenja i tehničkih poteškoća u obradi transakcija, što je utjecalo na osposobljavanje osoblja i stvorilo određene izazove u upravljanju proračunom; napominje da, unatoč većem iznosu zakašnjelih plaćanja, Agencija nije platila nikakve zatezne kamate; poziva Agenciju da poduzme sve potrebne mjere u pogledu tog opažanja i prevlada tehničke poteškoće u obradi transakcija te da izvijesti tijelo nadležno za davanje razrješnice o ostvarenom napretku;</w:t>
      </w:r>
    </w:p>
    <w:p w:rsidR="002B5E2E" w:rsidRPr="008B13E2" w:rsidRDefault="002B5E2E" w:rsidP="002B5E2E">
      <w:pPr>
        <w:pStyle w:val="Normal12Hanging"/>
        <w:rPr>
          <w:b/>
          <w:i/>
          <w:szCs w:val="24"/>
          <w:lang w:val="hr-HR"/>
        </w:rPr>
      </w:pPr>
      <w:r w:rsidRPr="008B13E2">
        <w:rPr>
          <w:b/>
          <w:i/>
          <w:lang w:val="hr-HR"/>
        </w:rPr>
        <w:t>Uspješnost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5.</w:t>
      </w:r>
      <w:r w:rsidRPr="008B13E2">
        <w:tab/>
        <w:t>primjećuje da Agencija i dalje primjenjuje ključne pokazatelje uspješnosti za procjenu dodane vrijednosti svojih aktivnosti i poboljšanje upravljanja proračunom; ističe novu višegodišnju strategiju Agencije za razdoblje 2022. – 2024. u kojoj se utvrđuje pet ciljeva koji obuhvaćaju niz strateških područja djelovanja; primjećuje da je Agencija utvrdila 67 ključnih pokazatelja uspješnosti u svojem godišnjem planu rada za 2022. i 14 višegodišnjih ključnih pokazatelja uspješnosti za višegodišnju strategiju; napominje da je Agencija, osim ključnih pokazatelja uspješnosti za koje se smatralo da nisu mjerljivi ili relevantni, ostvarila ciljeve za 47 od 59 ključnih pokazatelja uspješnosti (88 %), što je povećanje u odnosu na 2021. (73 %); napominje da je Agencija 2022. ostvarila stabilan napredak u postizanju svojih višegodišnjih ključnih pokazatelja uspješnosti, pri čemu je njih 10 (72 %) na dobrom putu da ostvare svoj cilj, a tri (21 %) trebaju dodatnu pozornost, dok će se o konačnim rezultatima za ključne pokazatelje uspješnosti višegodišnje strategije izvijestiti krajem 2024.;</w:t>
      </w:r>
    </w:p>
    <w:p w:rsidR="002B5E2E" w:rsidRPr="008B13E2" w:rsidRDefault="002B5E2E" w:rsidP="002B5E2E">
      <w:pPr>
        <w:pStyle w:val="NormalHanging12a"/>
      </w:pPr>
      <w:r w:rsidRPr="008B13E2">
        <w:t>6.</w:t>
      </w:r>
      <w:r w:rsidRPr="008B13E2">
        <w:tab/>
        <w:t xml:space="preserve">napominje da je broj predmeta koje su države članice uputile Agenciji nastavio rasti te da je 2022. riješeno ukupno 11 544 predmeta (od kojih je 5 227 novootvoreno), što je povećanje od 14 % u odnosu na 2021.; u tom kontekstu pohvaljuje doprinos Agencije pružanju pravnih savjeta, analiza i operativne pomoći, što je dovelo do 941 operativnog rezultata u 528 slučajeva, među ostalim u pogledu složenih slučajeva koji su doveli do uhićenja krijumčara ljudi (uključujući migranata), kao i suzbijanja kriminalnih mreža ili djelovanja protiv kriminalnih mreža u područjima kao što su pranje novca, seksualno iskorištavanje, prijevare povezane s ulaganjima na internetu ili trgovina drogom; nadalje napominje sa zadovoljstvom da je Agencija 2022. podržala 265 zajedničkih istražnih timova (od kojih je 78 novoosnovano), organizirala 528 koordinacijska sastanka i 22 koordinacijska centra, olakšala izvršenje 1 262 europska uhidbena naloga (od čega su 504 nova slučaja) i omogućila upotrebu 5 415 europskih istražnih naloga (od kojih je otprilike polovina novootvorena); napominje da Agencija održava suradnju s </w:t>
      </w:r>
      <w:r w:rsidR="00F928A8" w:rsidRPr="008B13E2">
        <w:t>Europskim uredom za borbu protiv prijevara (OLAF)</w:t>
      </w:r>
      <w:r w:rsidRPr="008B13E2">
        <w:t xml:space="preserve"> u cilju jačanja borbe protiv kaznenih djela koja utj</w:t>
      </w:r>
      <w:r w:rsidR="00F928A8" w:rsidRPr="008B13E2">
        <w:t>eču na financijske interese Unije</w:t>
      </w:r>
      <w:r w:rsidRPr="008B13E2">
        <w:t>;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lastRenderedPageBreak/>
        <w:t>7.</w:t>
      </w:r>
      <w:r w:rsidRPr="008B13E2">
        <w:tab/>
        <w:t>pohvaljuje Agenciju za mjere poduzete kao odgovor na rusku nezakonitu i ničim izazvanu invaziju na Ukrajinu 2022.; napominje da je tri tjedna nakon početka rata Agencija podržala osnivanje zajedničkog istražnog tima koji istražuje navodna najteža međunarodna kaznena djela počinjena u Ukrajini kako bi se olakšale istrage i kazneni progon u dotičnim državama; napominje da je Agencija pružila pravnu i operativnu potporu nacionalnim uredima u vezi s proširenjem sporazuma o zajedničkom istražnom timu na nove stranke (Estonija, Latvija, Rumunjska i Slovačka), kao i pravne analize i mišljenja povezana sa sudjelovanjem Međunarodnog kaznenog suda u zajedničkom istražnom timu; nadalje napominje da Agencija pruža operativnu potporu radnoj skupini EU-a za zamrzavanje i privremeno oduzimanje koju je osnovala Komisija koordiniranjem provedbe sankcija Unije u državama članicama putem kaznenog prava, koja se provodi putem nekoliko mjera, kao što su redovita unakrsna provjera popisa pojedinaca i poduzeća koje je Unija sankcionirala u odnosu na podatke Agencije o postojećim slučajevima kojima Agencija upravlja te prikupljanje relevantnih informacija na nacionalnoj razini o prošlim i tekućim istragama povezanima s istragama navedenima na popisu sankcija kako bi se olakšali kazneni postupci;</w:t>
      </w:r>
    </w:p>
    <w:p w:rsidR="002B5E2E" w:rsidRPr="008B13E2" w:rsidRDefault="002B5E2E" w:rsidP="002B5E2E">
      <w:pPr>
        <w:pStyle w:val="NormalHanging12a"/>
      </w:pPr>
      <w:r w:rsidRPr="008B13E2">
        <w:t>8.</w:t>
      </w:r>
      <w:r w:rsidRPr="008B13E2">
        <w:tab/>
        <w:t xml:space="preserve">pozdravlja činjenicu da je Agencija 2022. poboljšala svoju operativnu i stratešku suradnju s raznim dionicima, kao što su europske agencije za pravosuđe i unutarnje poslove (PUP), institucije Unije, OLAF, </w:t>
      </w:r>
      <w:r w:rsidR="00F928A8" w:rsidRPr="008B13E2">
        <w:t>Ured europskog javnog tužitelja (</w:t>
      </w:r>
      <w:r w:rsidRPr="008B13E2">
        <w:t>EPPO</w:t>
      </w:r>
      <w:r w:rsidR="00F928A8" w:rsidRPr="008B13E2">
        <w:t>)</w:t>
      </w:r>
      <w:r w:rsidRPr="008B13E2">
        <w:t xml:space="preserve">, kao i mreže pravosudnih djelatnika, treće zemlje i međunarodne organizacije; posebno prima na znanje suradnju Agencije s Agencijom </w:t>
      </w:r>
      <w:r w:rsidR="00F928A8" w:rsidRPr="008B13E2">
        <w:t xml:space="preserve">Europske unije </w:t>
      </w:r>
      <w:r w:rsidRPr="008B13E2">
        <w:t>za operativno upravljanje opsežnim informacijskim sustavima u području slobode, sigurnosti i pravde (</w:t>
      </w:r>
      <w:proofErr w:type="spellStart"/>
      <w:r w:rsidRPr="008B13E2">
        <w:t>eu</w:t>
      </w:r>
      <w:proofErr w:type="spellEnd"/>
      <w:r w:rsidRPr="008B13E2">
        <w:t xml:space="preserve">-LISA) na zajedničkom izvješću o umjetnoj inteligenciji kojim se podupire prekogranična suradnja u kaznenom pravosuđu, s Agencijom </w:t>
      </w:r>
      <w:r w:rsidR="00F928A8" w:rsidRPr="008B13E2">
        <w:t xml:space="preserve">Europske unije </w:t>
      </w:r>
      <w:r w:rsidRPr="008B13E2">
        <w:t xml:space="preserve">za osposobljavanje u području izvršavanja zakonodavstva (CEPOL) na 16 tečajeva o pravosudnoj suradnji i s Agencijom </w:t>
      </w:r>
      <w:r w:rsidR="00F928A8" w:rsidRPr="008B13E2">
        <w:t xml:space="preserve">Europske unije </w:t>
      </w:r>
      <w:r w:rsidRPr="008B13E2">
        <w:t>za suradnju tijela za izvršavanje zakonodavstva (</w:t>
      </w:r>
      <w:proofErr w:type="spellStart"/>
      <w:r w:rsidRPr="008B13E2">
        <w:t>Europol</w:t>
      </w:r>
      <w:proofErr w:type="spellEnd"/>
      <w:r w:rsidRPr="008B13E2">
        <w:t xml:space="preserve">) na projektu SIRIUS i </w:t>
      </w:r>
      <w:proofErr w:type="spellStart"/>
      <w:r w:rsidRPr="008B13E2">
        <w:t>Europolovu</w:t>
      </w:r>
      <w:proofErr w:type="spellEnd"/>
      <w:r w:rsidRPr="008B13E2">
        <w:t xml:space="preserve"> sustavu „pronađen rezultat/nema rezultata” (hit/no-hit system), s nacionalnim tijelima iz 20 država članica, </w:t>
      </w:r>
      <w:proofErr w:type="spellStart"/>
      <w:r w:rsidRPr="008B13E2">
        <w:t>Europolom</w:t>
      </w:r>
      <w:proofErr w:type="spellEnd"/>
      <w:r w:rsidRPr="008B13E2">
        <w:t xml:space="preserve">, OLAF-om i EPPO-om na Operaciji SENTINAL kojom se ciljano hvata u koštac s prijevarom u korištenju fondova za oporavak nakon krize uzrokovane bolešću COVID-19; ističe doprinos Agencije inicijativama Komisije u području digitalizacije pravosuđa (među ostalim SIS II, CMS, ECRIS-TCN); napominje da se Agencija oslanja na sve veću mrežu kontaktnih točaka s nadležnim tijelima u trećim zemljama, budući da se 2022. ukupni broj kontaktnih točaka Agencije povećao kako bi obuhvatio Australiju, Bahrein i Maroko; pohvaljuje širenje suradnje Agencije u kaznenim stvarima na međunarodnoj razini, posebno u okviru programa </w:t>
      </w:r>
      <w:proofErr w:type="spellStart"/>
      <w:r w:rsidRPr="008B13E2">
        <w:t>EuroMed</w:t>
      </w:r>
      <w:proofErr w:type="spellEnd"/>
      <w:r w:rsidRPr="008B13E2">
        <w:t xml:space="preserve"> </w:t>
      </w:r>
      <w:proofErr w:type="spellStart"/>
      <w:r w:rsidRPr="008B13E2">
        <w:t>Justice</w:t>
      </w:r>
      <w:proofErr w:type="spellEnd"/>
      <w:r w:rsidRPr="008B13E2">
        <w:t xml:space="preserve"> s južnim partnerskim zemljama i projekta koji financira EU usmjerenog na prekograničnu suradnju u kaznenom pravosuđu na zapadnom Balkanu;</w:t>
      </w:r>
    </w:p>
    <w:p w:rsidR="002B5E2E" w:rsidRPr="008B13E2" w:rsidRDefault="002B5E2E" w:rsidP="002B5E2E">
      <w:pPr>
        <w:pStyle w:val="NormalHanging12a"/>
        <w:jc w:val="both"/>
      </w:pPr>
      <w:r w:rsidRPr="008B13E2">
        <w:t>9.</w:t>
      </w:r>
      <w:r w:rsidRPr="008B13E2">
        <w:tab/>
        <w:t>cijeni transnacionalnu suradnju pravosudnih tijela koju je omogućila Agencija te blisku suradnju sa svim akterima u kaznenopravnom lancu, što je doprinijelo uhićenju više od 4000 osumnjičenika, zapljeni i/ili zamrzavanju imovine stečene kaznenim djelima u vrijednosti od gotovo 3 milijarde EUR te oduzimanju droge u vrijednosti od gotovo 12 milijardi EUR;</w:t>
      </w:r>
    </w:p>
    <w:p w:rsidR="002B5E2E" w:rsidRPr="008B13E2" w:rsidRDefault="002B5E2E" w:rsidP="002B5E2E">
      <w:pPr>
        <w:pStyle w:val="NormalHanging12a"/>
        <w:rPr>
          <w:b/>
          <w:i/>
          <w:szCs w:val="24"/>
        </w:rPr>
      </w:pPr>
      <w:r w:rsidRPr="008B13E2">
        <w:rPr>
          <w:b/>
          <w:i/>
        </w:rPr>
        <w:t>Učinkovitost i rezultati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10.</w:t>
      </w:r>
      <w:r w:rsidRPr="008B13E2">
        <w:tab/>
        <w:t xml:space="preserve">ističe da je Agencija, uz uvođenje SUMMA-e, dodatno poboljšala svoje postupke i alate za upravljanje na temelju aktivnosti povećanjem učinkovitosti, kvalitete/cjelovitosti podataka i upotrebljivosti svojeg alata za planiranje, uvođenjem novog alata za </w:t>
      </w:r>
      <w:r w:rsidRPr="008B13E2">
        <w:lastRenderedPageBreak/>
        <w:t xml:space="preserve">bilježenje aktivnosti i nastavkom postupnog prelaska s ključnih pokazatelja uspješnosti na ključne pokazatelje rezultata; pohvaljuje Agenciju za pokretanje rasprave s </w:t>
      </w:r>
      <w:proofErr w:type="spellStart"/>
      <w:r w:rsidRPr="008B13E2">
        <w:t>Europolom</w:t>
      </w:r>
      <w:proofErr w:type="spellEnd"/>
      <w:r w:rsidRPr="008B13E2">
        <w:t xml:space="preserve"> kako bi se istražila moguća razmjena zdravstvenih usluga u budućnosti; nadalje pohvaljuje odluku Agencije da zadrži određenu učinkovitost ostvarenu tijekom </w:t>
      </w:r>
      <w:proofErr w:type="spellStart"/>
      <w:r w:rsidRPr="008B13E2">
        <w:t>pandemije</w:t>
      </w:r>
      <w:proofErr w:type="spellEnd"/>
      <w:r w:rsidR="00F928A8" w:rsidRPr="008B13E2">
        <w:t xml:space="preserve"> bolesti </w:t>
      </w:r>
      <w:r w:rsidR="00F928A8" w:rsidRPr="003C7159">
        <w:t>COVID-19</w:t>
      </w:r>
      <w:r w:rsidRPr="008B13E2">
        <w:t>; prima na znanje iz odgovora Agencije na pisana pitanja Parlamenta da je 2022. organizirala 47 % koordinacijskih sastanaka i svih postupaka osposobljavanja i odabira osoblja na internetu, čime je znatno smanjila povezane financijske troškove i troškove za ljudske resurse, kao i 29 % svih koordinacijskih sastanaka u hibridnom obliku;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11.</w:t>
      </w:r>
      <w:r w:rsidRPr="008B13E2">
        <w:tab/>
        <w:t xml:space="preserve">napominje da su, u cilju povećanja učinkovitosti, 2022. pokrenuta dva projekta na razini cijele organizacije, </w:t>
      </w:r>
      <w:proofErr w:type="spellStart"/>
      <w:r w:rsidRPr="008B13E2">
        <w:t>samoposlužni</w:t>
      </w:r>
      <w:proofErr w:type="spellEnd"/>
      <w:r w:rsidRPr="008B13E2">
        <w:t xml:space="preserve"> portal Agencije i </w:t>
      </w:r>
      <w:proofErr w:type="spellStart"/>
      <w:r w:rsidRPr="008B13E2">
        <w:t>Pexip</w:t>
      </w:r>
      <w:proofErr w:type="spellEnd"/>
      <w:r w:rsidRPr="008B13E2">
        <w:t xml:space="preserve">, novi sustav videokonferencija za koordinacijske sastanke i koordinacijske centre, koji podržava do 10 simultanih prijevoda; nadalje napominje da je dovršena analiza migracije postojećeg </w:t>
      </w:r>
      <w:proofErr w:type="spellStart"/>
      <w:r w:rsidRPr="008B13E2">
        <w:t>Extraneta</w:t>
      </w:r>
      <w:proofErr w:type="spellEnd"/>
      <w:r w:rsidRPr="008B13E2">
        <w:t xml:space="preserve"> i odabira dobavljača za zamjenu knjižničnog sustava, dok je certificirani alat za e-potpis još uvijek u tijeku, s očekivanim završetkom 2024.; pohvaljuje Agenciju za provedbu četiriju novih modula SYSPER-a (procjena, nazivi radnih mjesta/opisi radnih mjesta, platne liste, izvješćivanje), uz pet modula koji su već provedeni prethodnih godina; prima na znanje predanost Agencije potpunoj provedbi programa SYSPER-a do 2024.;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12.</w:t>
      </w:r>
      <w:r w:rsidRPr="008B13E2">
        <w:tab/>
        <w:t xml:space="preserve">prima na znanje iz izvješća Revizorskog suda da Agencija još nije jedna od agencija koje su uspostavile korporativne planove za poboljšanje energetske učinkovitosti i klimatske neutralnosti svojeg poslovanja, koje imaju neki oblik izvješćivanja o okolišu integriran u svoja godišnja izvješća o radu ili su primile registraciju u </w:t>
      </w:r>
      <w:r w:rsidR="00F928A8" w:rsidRPr="008B13E2">
        <w:t>Sustavu ekološkog upravljanja i revizije (</w:t>
      </w:r>
      <w:r w:rsidRPr="008B13E2">
        <w:t>EMAS</w:t>
      </w:r>
      <w:r w:rsidR="00F928A8" w:rsidRPr="008B13E2">
        <w:t>)</w:t>
      </w:r>
      <w:r w:rsidRPr="008B13E2">
        <w:t>; podsjeća da je Agencija 2021. pokrenula provedbu okvira za usklađivanje sustava EMAS/ISO 14001; u tom kontekstu napominje da je Agencija 2022. primila završno izvješće od vanjskog konzultantskog poduzeća, uključujući sve relevantne informacije o propisima povezanima s okolišem u Nizozemskoj; nadalje napominje da se Agencija tijekom 2022. pridružila javnom natječaju za savjetovanje u području sustava upravljanja okolišem te smanjenja i neutralizacije emisija stakleničkih plinova;</w:t>
      </w:r>
    </w:p>
    <w:p w:rsidR="002B5E2E" w:rsidRPr="008B13E2" w:rsidRDefault="002B5E2E" w:rsidP="002B5E2E">
      <w:pPr>
        <w:pStyle w:val="Normal12Hanging"/>
        <w:rPr>
          <w:b/>
          <w:i/>
          <w:szCs w:val="24"/>
          <w:lang w:val="hr-HR"/>
        </w:rPr>
      </w:pPr>
      <w:r w:rsidRPr="008B13E2">
        <w:rPr>
          <w:b/>
          <w:i/>
          <w:lang w:val="hr-HR"/>
        </w:rPr>
        <w:t>Kadrovska politika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13.</w:t>
      </w:r>
      <w:r w:rsidRPr="008B13E2">
        <w:rPr>
          <w:lang w:val="hr-HR"/>
        </w:rPr>
        <w:tab/>
        <w:t>konstatira da je plan radnih mjesta Agencije 31. prosinca 2022. bio izvršen u mjeri od 100 % (isto kao i 2021.), odnosno da je od 221 odobrenog radnog mjesta privremenih djelatnika u okviru proračuna Unije za 2022. bilo popunjeno 221 radno mjesto, pri čemu je već zaposleno 209 djelatnika i poslano 12 pisama s ponudama; nadalje, konstatira da je 2022. za Agenciju radilo 18 ugovornih djelatnika i 22 upućena nacionalna stručnjaka; nadalje napominje da je provedena reklasifikacija, koja je utjecala na 53 člana osoblja;</w:t>
      </w:r>
    </w:p>
    <w:p w:rsidR="002B5E2E" w:rsidRPr="008B13E2" w:rsidRDefault="002B5E2E" w:rsidP="002B5E2E">
      <w:pPr>
        <w:pStyle w:val="NormalHanging12a"/>
      </w:pPr>
      <w:r w:rsidRPr="008B13E2">
        <w:t>14.</w:t>
      </w:r>
      <w:r w:rsidRPr="008B13E2">
        <w:tab/>
        <w:t>prima na znanje rodnu zastupljenost u Agenciji za 2022., sa šest muškaraca (60 %) i 4 žene (40 %) u višem i srednjem rukovodstvu, 16 muškaraca (64 %) i 9 žena (36 %) u upravnom odboru Agencije te 85 muškaraca (33 %) i 175 žena (67 %) za ukupno osoblje; poziva Agenciju da osigura bolju rodnu ravnotežu na svim razinama i dodatno potiče kandidatkinje da se prijavljuju na rukovodeće položaje, kao i prijave muških kandidata u vanjskim postupcima odabira za ostatak radnih mjesta; potvrđuje da Agencija nije odgovorna za sastav svojeg upravnog odbora (dalje u tekstu „Kolegij”) jer nacionalne članove Kolegija izravno imenuju dotične države članice; traži od Komisije i država članica da uzmu u obzir važnost osiguranja rodne ravnoteže pri imenovanju članova u Kolegij;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lastRenderedPageBreak/>
        <w:t>15.</w:t>
      </w:r>
      <w:r w:rsidRPr="008B13E2">
        <w:tab/>
        <w:t>napominje da je Agencija od 2017. do 2022. zatražila savjet od vanjskog odvjetničkog društva specijaliziranog za pravo javne službe Unije u pogledu nekoliko zahtjeva za pomoć u vezi s navodnim psihičkim uznemiravanjem; napominje da je zahtjev za pomoć primljen 2021. doveo do otvaranja dviju odvojenih administrativnih istraga u kojima je Agencija zatražila potporu dvaju vanjskih istražitelja; napominje da su u oba slučaja istrage zaključene bez poduzimanja daljnjih mjera, dok je jedan od njih doveo do sudskog postupka; poziva Agenciju da o ishodu tog postupka obavijesti tijelo nadležno za davanje razrješnice;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16.</w:t>
      </w:r>
      <w:r w:rsidRPr="008B13E2">
        <w:tab/>
        <w:t xml:space="preserve">ističe da je Agencija 2022. donijela provedbena pravila Pravilnika o osoblju koja se, među ostalim, odnose na provođenje administrativnih istraga i disciplinskih postupaka, dopust u matičnoj državi za osoblje koje radi u trećoj zemlji i isplatu naknade za obrazovanje koja se pod određenim uvjetima isplaćuje članovima osoblja; pozdravlja mjere koje je Agencija poduzela za integraciju osoba s invaliditetom, kao i predanost Agencije da u okviru provedbe strategije za ljudske resurse donese „Povelju o raznolikosti i </w:t>
      </w:r>
      <w:proofErr w:type="spellStart"/>
      <w:r w:rsidRPr="008B13E2">
        <w:t>uključivosti</w:t>
      </w:r>
      <w:proofErr w:type="spellEnd"/>
      <w:r w:rsidRPr="008B13E2">
        <w:t>” koju je podržala radna skupina mreže PUP-a za raznolikost i uključivanje;</w:t>
      </w:r>
    </w:p>
    <w:p w:rsidR="002B5E2E" w:rsidRPr="008B13E2" w:rsidRDefault="002B5E2E" w:rsidP="002B5E2E">
      <w:pPr>
        <w:pStyle w:val="NormalHanging12a"/>
      </w:pPr>
      <w:r w:rsidRPr="008B13E2">
        <w:t>17.</w:t>
      </w:r>
      <w:r w:rsidRPr="008B13E2">
        <w:tab/>
        <w:t>napominje da je osoblje Agencije uglavnom radilo na daljinu do ožujka 2022.; napominje da se od travnja 2022. sve osoblje vratilo u prostorije Agencije; u tom kontekstu napominje da je Agencija uvela prijelazne mjere u pogledu rada u uredu i rada na daljinu te organizirala radionice kako bi pomogla osoblju da se mentalno prilagodi povratku u ured nakon kontinuiranog rada na daljinu dvije godine; također napominje da rezultati ankete o osoblju Agencije za 2023. upućuju na to da su mjere u pogledu dobrobiti koje je Agencija poduzela 2022. učinkovito ublažile učinak produljenog rada na daljinu na osoblje; posebno napominje da je 96 % ispitanika pozitivno gledalo na mogućnost koordinacije s članovima tima, unatoč tome što rade s različitih lokacija;</w:t>
      </w:r>
    </w:p>
    <w:p w:rsidR="002B5E2E" w:rsidRPr="008B13E2" w:rsidRDefault="002B5E2E" w:rsidP="002B5E2E">
      <w:pPr>
        <w:pStyle w:val="NormalHanging12a"/>
        <w:rPr>
          <w:b/>
          <w:i/>
        </w:rPr>
      </w:pPr>
      <w:r w:rsidRPr="008B13E2">
        <w:t>18.</w:t>
      </w:r>
      <w:r w:rsidRPr="008B13E2">
        <w:tab/>
        <w:t>sa zadovoljstvom konstatira da je na dan 31. prosinca 2022. Agencija zapošljavala osoblje iz 26 država članica; primjećuje da su najzastupljenije nacionalnosti među osobljem Agencije bile nizozemska, talijanska, španjolska i rumunjska; podsjeća na važnost geografske ravnoteže i potiče Agenciju da nastavi poduzimati potrebne mjere za uravnoteženu i pravednu zemljopisnu zastupljenost;</w:t>
      </w:r>
    </w:p>
    <w:p w:rsidR="002B5E2E" w:rsidRPr="008B13E2" w:rsidRDefault="002B5E2E" w:rsidP="002B5E2E">
      <w:pPr>
        <w:pStyle w:val="Normal12Hanging"/>
        <w:rPr>
          <w:b/>
          <w:i/>
          <w:szCs w:val="24"/>
          <w:lang w:val="hr-HR"/>
        </w:rPr>
      </w:pPr>
      <w:r w:rsidRPr="008B13E2">
        <w:rPr>
          <w:b/>
          <w:i/>
          <w:lang w:val="hr-HR"/>
        </w:rPr>
        <w:t>Javna nabava</w:t>
      </w:r>
    </w:p>
    <w:p w:rsidR="002B5E2E" w:rsidRPr="008B13E2" w:rsidRDefault="002B5E2E" w:rsidP="002B5E2E">
      <w:pPr>
        <w:pStyle w:val="NormalHanging12a"/>
      </w:pPr>
      <w:r w:rsidRPr="008B13E2">
        <w:t>19.</w:t>
      </w:r>
      <w:r w:rsidRPr="008B13E2">
        <w:tab/>
        <w:t xml:space="preserve">podsjeća na opažanje iz izvješća Revizorskog suda za 2020. da okvirni ugovor o zakupu vozila s jednim gospodarskim subjektom nije bio primjeren prirodi potrebnih usluga te da su dodijeljeni ugovor kao rezultat postupka, kao i sva povezana plaćanja, neregularni; prima na znanje iz izvješća Revizorskog suda da je Agencija 2022. neregularno platila 59 281 EUR u okviru tog ugovora i da je opažanje i dalje otvoreno; poziva Agenciju da ispita mogućnost okončanja tog okvirnog ugovora i pokretanja novog postupka s ponovnim otvaranjem nadmetanja koje Revizorski sud smatra primjerenim u slučaju </w:t>
      </w:r>
      <w:proofErr w:type="spellStart"/>
      <w:r w:rsidRPr="008B13E2">
        <w:t>leasinga</w:t>
      </w:r>
      <w:proofErr w:type="spellEnd"/>
      <w:r w:rsidRPr="008B13E2">
        <w:t xml:space="preserve"> vozila;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20.</w:t>
      </w:r>
      <w:r w:rsidRPr="008B13E2">
        <w:tab/>
        <w:t>prima na znanje iz izvješća Agencije o daljnjem postupanju u vezi s razrješnicom za 2021. (dalje u tekstu „izvješće o daljnjim mjerama”) da Agencija nastavlja s testiranjem alata za upravljanje javnom nabavom s namjerom da ga koristi za sve nove postupke javne nabave pokrenute od 2024. nadalje;</w:t>
      </w:r>
    </w:p>
    <w:p w:rsidR="002B5E2E" w:rsidRPr="008B13E2" w:rsidRDefault="002B5E2E" w:rsidP="002B5E2E">
      <w:pPr>
        <w:pStyle w:val="Normal12Hanging"/>
        <w:rPr>
          <w:b/>
          <w:i/>
          <w:szCs w:val="24"/>
          <w:lang w:val="hr-HR"/>
        </w:rPr>
      </w:pPr>
      <w:r w:rsidRPr="008B13E2">
        <w:rPr>
          <w:b/>
          <w:i/>
          <w:lang w:val="hr-HR"/>
        </w:rPr>
        <w:lastRenderedPageBreak/>
        <w:t>Sprečavanje i postupanje u slučaju sukoba interesa te transparentnost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21.</w:t>
      </w:r>
      <w:r w:rsidRPr="008B13E2">
        <w:rPr>
          <w:lang w:val="hr-HR"/>
        </w:rPr>
        <w:tab/>
        <w:t>prima na znanje standardni operativni postupak Agencije u pogledu upravljanja sukobima interesa koji se primjenjuje na sve kandidate kojima je ponuđeno radno mjesto u Agenciji, nove zaposlenike, osoblje koje mijenja radno mjesto, kao i na sve članove osoblja koji napuštaju Agenciju; ističe da je Agencija uspostavila etički kodeks za članove Kolegija i izvršnog odbora, međutim bez politike u području „rotirajućih vrata”; napominje da je 2022. bilo prijavljenih i rješavanih slučajeva sukoba interesa, posebno u pogledu sudjelovanja članova Akademije u postupcima povezanima s osobljem; sa zadovoljstvom primjećuje da su se dotične osobe izuzele i da nisu sudjelovale u raspravama i donošenju odluka Akademije u tom pogledu;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22.</w:t>
      </w:r>
      <w:r w:rsidRPr="008B13E2">
        <w:rPr>
          <w:lang w:val="hr-HR"/>
        </w:rPr>
        <w:tab/>
        <w:t>napominje da su, iako Agencija nema sastanke s lobistima, sastanci Izvršnog odbora Agencije s vanjskim gostima koji posjećuju Agenciju objavljeni 2022. na njezinu profilu na Twitteru, a od 2023. na javnim internetskim stranicama Agencije; duboko žali zbog toga što, unatoč opetovanim pozivima Parlamenta u nekoliko rezolucija o razrješnici, Agencija na svojoj internetskoj stranici još uvijek ne objavljuje životopise svojeg višeg rukovodstva, internih stručnjaka i vanjskih stručnjaka; potiče Agenciju da objavi te životopise ili objasni razloge zbog kojih to još nije učinila;</w:t>
      </w:r>
    </w:p>
    <w:p w:rsidR="002B5E2E" w:rsidRPr="008B13E2" w:rsidRDefault="002B5E2E" w:rsidP="002B5E2E">
      <w:pPr>
        <w:pStyle w:val="Normal12Hanging"/>
        <w:rPr>
          <w:b/>
          <w:i/>
          <w:szCs w:val="24"/>
          <w:lang w:val="hr-HR"/>
        </w:rPr>
      </w:pPr>
      <w:r w:rsidRPr="008B13E2">
        <w:rPr>
          <w:b/>
          <w:i/>
          <w:lang w:val="hr-HR"/>
        </w:rPr>
        <w:t>Unutarnja kontrola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23.</w:t>
      </w:r>
      <w:r w:rsidRPr="008B13E2">
        <w:tab/>
        <w:t>podsjeća da je 2021. provedena istraga OLAF-a nakon anonimne pritužbe o nepravilnostima u postupcima zapošljavanja; prima na znanje da je OLAF 2022. izvijestio da u vezi s tim nisu pronađene nepravilnosti; u tom kontekstu nadalje napominje da je OLAF, s obzirom na to da je ta istraga djelomično bila u tijeku krajem 2022., i zbog razloga povezanih s povjerljivosti, odlučio da u toj fazi neće iznositi više pojedinosti; pozdravlja, na temelju izvješća o daljnjim mjerama, predanost Agencije pravodobnom obavješćivanju tijela nadležnog za davanje razrješnice o bilo kakvom razvoju događaja u vezi s tim pitanjem;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24.</w:t>
      </w:r>
      <w:r w:rsidRPr="008B13E2">
        <w:tab/>
        <w:t xml:space="preserve">napominje da je krajem 2022. Služba Komisije za unutarnju reviziju izdala četiri znatno zakašnjele preporuke za 2019. i 2021.; u tom kontekstu napominje da je, u pogledu preporuke Službe za unutarnju reviziju iz 2021. o operativnim zadaćama, relevantna interna radna skupina Agencije postigla dogovor o strateškom dokumentu i akcijskom planu, s kratkoročnim i srednjoročnim mjerama, od kojih su neke već provedene 2023., pri čemu je Agencija, podložno konačnoj procjeni Službe za unutarnju reviziju, tu preporuku označila kao provedenu; nadalje prima na znanje iz izvješća o daljnjim mjerama, u pogledu preporuke Službe za unutarnju reviziju iz 2021. da Agencija provede anketu </w:t>
      </w:r>
      <w:proofErr w:type="spellStart"/>
      <w:r w:rsidRPr="008B13E2">
        <w:t>iCAT</w:t>
      </w:r>
      <w:proofErr w:type="spellEnd"/>
      <w:r w:rsidRPr="008B13E2">
        <w:t xml:space="preserve"> kako bi se ojačala procjena neobvezujućih kontrola, da je pokretanje te ankete, koje je planirano za četvrto tromjesečje 2022., odgođeno zbog provedbe velikih </w:t>
      </w:r>
      <w:proofErr w:type="spellStart"/>
      <w:r w:rsidRPr="008B13E2">
        <w:t>međuorganizacijskih</w:t>
      </w:r>
      <w:proofErr w:type="spellEnd"/>
      <w:r w:rsidRPr="008B13E2">
        <w:t xml:space="preserve"> projekata (npr. SUMMA), povećanja radnog opterećenja zbog novih prioriteta povezanih s ratom u Ukrajini i prijelaznog razdoblja između odlaska prethodnog administrativnog direktora i imenovanja novog; u tom kontekstu napominje da su relevantna pitanja </w:t>
      </w:r>
      <w:proofErr w:type="spellStart"/>
      <w:r w:rsidRPr="008B13E2">
        <w:t>iCAT</w:t>
      </w:r>
      <w:proofErr w:type="spellEnd"/>
      <w:r w:rsidRPr="008B13E2">
        <w:t>-a integrirana u istraživanje o angažmanu Agencije koje je pokrenuto u drugom tromjesečju 2023.; naposljetku napominje da se, podložno konačnoj procjeni Službe za unutarnju reviziju, smatra da je Agencija provela tu preporuku; poziva Agenciju da ubrza provedbu preostalih otvorenih preporuka Službe za unutarnju reviziju, posebno onih koje su znatno odgođene;</w:t>
      </w:r>
    </w:p>
    <w:p w:rsidR="002B5E2E" w:rsidRPr="008B13E2" w:rsidRDefault="002B5E2E" w:rsidP="002B5E2E">
      <w:pPr>
        <w:pStyle w:val="NormalHanging12a"/>
      </w:pPr>
      <w:r w:rsidRPr="008B13E2">
        <w:t>25.</w:t>
      </w:r>
      <w:r w:rsidRPr="008B13E2">
        <w:tab/>
        <w:t xml:space="preserve">sa zabrinutošću prima na znanje znatno povećanje broja i vrijednosti neusklađenosti </w:t>
      </w:r>
      <w:r w:rsidRPr="008B13E2">
        <w:lastRenderedPageBreak/>
        <w:t>2022. (43 događaja u vrijednosti od 294 000 EUR) u odnosu na 2021. (33 događaja u vrijednosti od 18 000 EUR) i da su takvi događaji uglavnom bili povezani s pitanjima kao što su računi koji su veći od pravnih obveza, proračunske obveze nakon dodjele pravne obveze ili nepostojanje narudžbenice ili posebnog ugovora; prima na znanje da je to povećanje povezano s poteškoćama u proračunskom i financijskom upravljanju 2022. zbog uvođenja SUMMA-e; poziva Agenciju da poduzme korake u vezi s tim primjedbama i istraži modele da se takve situacije više ne događaju u budućnosti;</w:t>
      </w:r>
    </w:p>
    <w:p w:rsidR="002B5E2E" w:rsidRPr="008B13E2" w:rsidRDefault="002B5E2E" w:rsidP="002B5E2E">
      <w:pPr>
        <w:pStyle w:val="NormalHanging12a"/>
        <w:rPr>
          <w:szCs w:val="24"/>
        </w:rPr>
      </w:pPr>
      <w:r w:rsidRPr="008B13E2">
        <w:t>26.</w:t>
      </w:r>
      <w:r w:rsidRPr="008B13E2">
        <w:tab/>
        <w:t>napominje da su 2022. komponente i načela okvira unutarnje kontrole Agencije bili prisutni i funkcionirali te da je sustav općenito bio učinkovit, uz određena potrebna poboljšanja, npr. u pogledu provedbe sustava SUMMA i potrebe za donošenjem plana oporavka od katastrofa; pohvaljuje Agenciju zbog donošenja politike o osjetljivim funkcijama, nacrta procjene troškovne učinkovitosti i koristi imenovanja Odjela za unutarnju reviziju te zbog toga što nije bilo ključnih revizijskih preporuka ili opažanja za 2022.; poziva Agenciju da o ocjeni Odjela za unutarnju reviziju obavijesti tijelo nadležno za davanje razrješnice; naposljetku pohvaljuje daljnje mjere Agencije nakon donošenja strategije Agencije za borbu protiv prijevara 2021.; u tom smislu napominje da je Agencija 2022. usvojila nove interne postupke za upravljanje imovinom i inventarom;</w:t>
      </w:r>
    </w:p>
    <w:p w:rsidR="002B5E2E" w:rsidRPr="008B13E2" w:rsidRDefault="002B5E2E" w:rsidP="002B5E2E">
      <w:pPr>
        <w:pStyle w:val="Normal12Hanging"/>
        <w:rPr>
          <w:b/>
          <w:i/>
          <w:szCs w:val="24"/>
          <w:lang w:val="hr-HR"/>
        </w:rPr>
      </w:pPr>
      <w:r w:rsidRPr="008B13E2">
        <w:rPr>
          <w:b/>
          <w:i/>
          <w:lang w:val="hr-HR"/>
        </w:rPr>
        <w:t>Ostale primjedbe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27.</w:t>
      </w:r>
      <w:r w:rsidRPr="008B13E2">
        <w:rPr>
          <w:lang w:val="hr-HR"/>
        </w:rPr>
        <w:tab/>
        <w:t>pohvaljuje Agenciju zbog ulaganja u komunikacijske aktivnosti kako bi se povećala vidljivost Agencije i razumijevanje njezina rada u široj javnosti; kao rezultat toga prima na znanje povećanje pokazatelja Agencije na društvenim mrežama za 40 %, broja posjetitelja internetskih stranica Agencije za gotovo 100 % te broja priopćenja za medije i vijesti za 16 % 2022. u odnosu na 2021., pri čemu je potonji pokazatelj doveo do povećanja broja spominjanja Agencije od gotovo pet puta u odnosu na 2021.;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28.</w:t>
      </w:r>
      <w:r w:rsidRPr="008B13E2">
        <w:rPr>
          <w:lang w:val="hr-HR"/>
        </w:rPr>
        <w:tab/>
        <w:t>pohvaljuje stalne napore koje je Agencija 2022. uložila u jačanje usklađenosti sa zaštitom podataka; pozdravlja povećanje broja osoblja službenika Agencije za zaštitu podataka s još dva člana osoblja za nove zadaće povezane s Uredbom (EU) 2018/1725</w:t>
      </w:r>
      <w:r w:rsidR="00F928A8" w:rsidRPr="008B13E2">
        <w:rPr>
          <w:rStyle w:val="FootnoteReference"/>
          <w:lang w:val="hr-HR"/>
        </w:rPr>
        <w:footnoteReference w:id="12"/>
      </w:r>
      <w:r w:rsidRPr="008B13E2">
        <w:rPr>
          <w:lang w:val="hr-HR"/>
        </w:rPr>
        <w:t xml:space="preserve"> i proširenje mandata Agencije za najteža međunarodna kaznena djela, čime se dopunjuju zahtjevi u pogledu zaštite podataka; napominje da su 2022. službenik za zaštitu podataka i Europski nadzornik za zaštitu podataka nastavili održavati redovite (dvomjesečne) sastanke, kao i ad </w:t>
      </w:r>
      <w:proofErr w:type="spellStart"/>
      <w:r w:rsidRPr="008B13E2">
        <w:rPr>
          <w:lang w:val="hr-HR"/>
        </w:rPr>
        <w:t>hoc</w:t>
      </w:r>
      <w:proofErr w:type="spellEnd"/>
      <w:r w:rsidRPr="008B13E2">
        <w:rPr>
          <w:lang w:val="hr-HR"/>
        </w:rPr>
        <w:t xml:space="preserve"> sastanke, te savjetovanja o raznim pitanjima zaštite podataka kao što su, među ostalim, povrede podataka i pritužbe;</w:t>
      </w:r>
    </w:p>
    <w:p w:rsidR="002B5E2E" w:rsidRPr="008B13E2" w:rsidRDefault="002B5E2E" w:rsidP="002B5E2E">
      <w:pPr>
        <w:pStyle w:val="Normal12Hanging"/>
        <w:rPr>
          <w:szCs w:val="24"/>
          <w:lang w:val="hr-HR"/>
        </w:rPr>
      </w:pPr>
      <w:r w:rsidRPr="008B13E2">
        <w:rPr>
          <w:lang w:val="hr-HR"/>
        </w:rPr>
        <w:t>29.</w:t>
      </w:r>
      <w:r w:rsidRPr="008B13E2">
        <w:rPr>
          <w:lang w:val="hr-HR"/>
        </w:rPr>
        <w:tab/>
        <w:t xml:space="preserve">nadalje pohvaljuje Agenciju zbog toga što je 2022. provela nekoliko mjera kako bi se povećala </w:t>
      </w:r>
      <w:proofErr w:type="spellStart"/>
      <w:r w:rsidRPr="008B13E2">
        <w:rPr>
          <w:lang w:val="hr-HR"/>
        </w:rPr>
        <w:t>kibernetička</w:t>
      </w:r>
      <w:proofErr w:type="spellEnd"/>
      <w:r w:rsidRPr="008B13E2">
        <w:rPr>
          <w:lang w:val="hr-HR"/>
        </w:rPr>
        <w:t xml:space="preserve"> sigurnost i zaštita digitalnih zapisa koje posjeduje, kao što su, među ostalim, raspoređivanje korporativnih mobilnih telefona kojima se upravlja centralno i koji su osigurani, uvođenje internih sastanaka za podizanje razine osviještenosti o </w:t>
      </w:r>
      <w:proofErr w:type="spellStart"/>
      <w:r w:rsidRPr="008B13E2">
        <w:rPr>
          <w:lang w:val="hr-HR"/>
        </w:rPr>
        <w:t>kibernetikoj</w:t>
      </w:r>
      <w:proofErr w:type="spellEnd"/>
      <w:r w:rsidRPr="008B13E2">
        <w:rPr>
          <w:lang w:val="hr-HR"/>
        </w:rPr>
        <w:t xml:space="preserve"> sigurnosti i provedba zaštite od distribuiranih napada uskraćivanjem usluga;</w:t>
      </w:r>
    </w:p>
    <w:p w:rsidR="002B5E2E" w:rsidRPr="008B13E2" w:rsidRDefault="002B5E2E" w:rsidP="002B5E2E">
      <w:pPr>
        <w:pStyle w:val="NormalCenter12a"/>
      </w:pPr>
      <w:r w:rsidRPr="008B13E2">
        <w:lastRenderedPageBreak/>
        <w:t>°</w:t>
      </w:r>
    </w:p>
    <w:p w:rsidR="002B5E2E" w:rsidRPr="008B13E2" w:rsidRDefault="002B5E2E" w:rsidP="002B5E2E">
      <w:pPr>
        <w:pStyle w:val="NormalCenter12a"/>
      </w:pPr>
      <w:r w:rsidRPr="008B13E2">
        <w:t>°</w:t>
      </w:r>
      <w:r w:rsidRPr="008B13E2">
        <w:tab/>
        <w:t>°</w:t>
      </w:r>
    </w:p>
    <w:p w:rsidR="002B5E2E" w:rsidRPr="008B13E2" w:rsidRDefault="002B5E2E" w:rsidP="002B5E2E">
      <w:pPr>
        <w:pStyle w:val="NormalHanging12a"/>
      </w:pPr>
      <w:r w:rsidRPr="008B13E2">
        <w:t>30.</w:t>
      </w:r>
      <w:r w:rsidRPr="008B13E2">
        <w:tab/>
        <w:t xml:space="preserve">u vezi s drugim primjedbama koje su priložene Odluci o razrješnici i horizontalne su naravi upućuje na svoju Rezoluciju od </w:t>
      </w:r>
      <w:r w:rsidR="00083557" w:rsidRPr="008B13E2">
        <w:t>11. travnja</w:t>
      </w:r>
      <w:r w:rsidRPr="008B13E2">
        <w:t xml:space="preserve"> 2024.</w:t>
      </w:r>
      <w:r w:rsidRPr="008B13E2">
        <w:rPr>
          <w:rStyle w:val="FootnoteReference"/>
        </w:rPr>
        <w:footnoteReference w:id="13"/>
      </w:r>
      <w:r w:rsidRPr="008B13E2">
        <w:t xml:space="preserve"> o uspješnosti, financijskom upravljanju i nadzoru agencija.</w:t>
      </w:r>
    </w:p>
    <w:sectPr w:rsidR="002B5E2E" w:rsidRPr="008B13E2" w:rsidSect="00440D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CCA" w:rsidRPr="00440D30" w:rsidRDefault="001B1CCA">
      <w:r w:rsidRPr="00440D30">
        <w:separator/>
      </w:r>
    </w:p>
  </w:endnote>
  <w:endnote w:type="continuationSeparator" w:id="0">
    <w:p w:rsidR="001B1CCA" w:rsidRPr="00440D30" w:rsidRDefault="001B1CCA">
      <w:r w:rsidRPr="00440D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E2E" w:rsidRPr="00440D30" w:rsidRDefault="002B5E2E" w:rsidP="00621970">
    <w:pPr>
      <w:pStyle w:val="EPFooter"/>
    </w:pPr>
    <w:r w:rsidRPr="00440D30">
      <w:t>PE</w:t>
    </w:r>
    <w:r w:rsidRPr="00440D30">
      <w:rPr>
        <w:rStyle w:val="HideTWBExt"/>
      </w:rPr>
      <w:t>&lt;NoPE&gt;</w:t>
    </w:r>
    <w:r w:rsidRPr="00440D30">
      <w:t>753.539</w:t>
    </w:r>
    <w:r w:rsidRPr="00440D30">
      <w:rPr>
        <w:rStyle w:val="HideTWBExt"/>
      </w:rPr>
      <w:t>&lt;/NoPE&gt;&lt;Version&gt;</w:t>
    </w:r>
    <w:r w:rsidRPr="00440D30">
      <w:t>v02-00</w:t>
    </w:r>
    <w:r w:rsidRPr="00440D30">
      <w:rPr>
        <w:rStyle w:val="HideTWBExt"/>
      </w:rPr>
      <w:t>&lt;/Version&gt;</w:t>
    </w:r>
    <w:r w:rsidRPr="00440D30">
      <w:tab/>
    </w:r>
    <w:r w:rsidRPr="00440D30">
      <w:fldChar w:fldCharType="begin"/>
    </w:r>
    <w:r w:rsidRPr="00440D30">
      <w:instrText xml:space="preserve"> PAGE  \* MERGEFORMAT </w:instrText>
    </w:r>
    <w:r w:rsidRPr="00440D30">
      <w:fldChar w:fldCharType="separate"/>
    </w:r>
    <w:r w:rsidRPr="00440D30">
      <w:rPr>
        <w:noProof/>
      </w:rPr>
      <w:t>12</w:t>
    </w:r>
    <w:r w:rsidRPr="00440D30">
      <w:fldChar w:fldCharType="end"/>
    </w:r>
    <w:r w:rsidRPr="00440D30">
      <w:t>/</w:t>
    </w:r>
    <w:r w:rsidR="003C7159">
      <w:fldChar w:fldCharType="begin"/>
    </w:r>
    <w:r w:rsidR="003C7159">
      <w:instrText xml:space="preserve"> NUMPAGES  \* MERGEFORMAT </w:instrText>
    </w:r>
    <w:r w:rsidR="003C7159">
      <w:fldChar w:fldCharType="separate"/>
    </w:r>
    <w:r w:rsidRPr="00440D30">
      <w:rPr>
        <w:noProof/>
      </w:rPr>
      <w:t>12</w:t>
    </w:r>
    <w:r w:rsidR="003C7159">
      <w:rPr>
        <w:noProof/>
      </w:rPr>
      <w:fldChar w:fldCharType="end"/>
    </w:r>
    <w:r w:rsidRPr="00440D30">
      <w:tab/>
    </w:r>
    <w:r w:rsidRPr="00440D30">
      <w:rPr>
        <w:rStyle w:val="HideTWBExt"/>
      </w:rPr>
      <w:t>&lt;PathFdR&gt;</w:t>
    </w:r>
    <w:r w:rsidRPr="00440D30">
      <w:t>RR\1298768HR.docx</w:t>
    </w:r>
    <w:r w:rsidRPr="00440D30">
      <w:rPr>
        <w:rStyle w:val="HideTWBExt"/>
      </w:rPr>
      <w:t>&lt;/PathFdR&gt;</w:t>
    </w:r>
  </w:p>
  <w:p w:rsidR="002B5E2E" w:rsidRPr="00440D30" w:rsidRDefault="002B5E2E" w:rsidP="00621970">
    <w:pPr>
      <w:pStyle w:val="EPFooter2"/>
    </w:pPr>
    <w:r w:rsidRPr="00440D30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E2E" w:rsidRPr="00440D30" w:rsidRDefault="002B5E2E" w:rsidP="00621970">
    <w:pPr>
      <w:pStyle w:val="EPFooter"/>
    </w:pPr>
    <w:r w:rsidRPr="00440D30">
      <w:rPr>
        <w:rStyle w:val="HideTWBExt"/>
      </w:rPr>
      <w:t>&lt;PathFdR&gt;</w:t>
    </w:r>
    <w:r w:rsidRPr="00440D30">
      <w:t>RR\1298768HR.docx</w:t>
    </w:r>
    <w:r w:rsidRPr="00440D30">
      <w:rPr>
        <w:rStyle w:val="HideTWBExt"/>
      </w:rPr>
      <w:t>&lt;/PathFdR&gt;</w:t>
    </w:r>
    <w:r w:rsidRPr="00440D30">
      <w:tab/>
    </w:r>
    <w:r w:rsidRPr="00440D30">
      <w:tab/>
      <w:t>PE</w:t>
    </w:r>
    <w:r w:rsidRPr="00440D30">
      <w:rPr>
        <w:rStyle w:val="HideTWBExt"/>
      </w:rPr>
      <w:t>&lt;NoPE&gt;</w:t>
    </w:r>
    <w:r w:rsidRPr="00440D30">
      <w:t>753.539</w:t>
    </w:r>
    <w:r w:rsidRPr="00440D30">
      <w:rPr>
        <w:rStyle w:val="HideTWBExt"/>
      </w:rPr>
      <w:t>&lt;/NoPE&gt;&lt;Version&gt;</w:t>
    </w:r>
    <w:r w:rsidRPr="00440D30">
      <w:t>v02-00</w:t>
    </w:r>
    <w:r w:rsidRPr="00440D30">
      <w:rPr>
        <w:rStyle w:val="HideTWBExt"/>
      </w:rPr>
      <w:t>&lt;/Version&gt;</w:t>
    </w:r>
  </w:p>
  <w:p w:rsidR="002B5E2E" w:rsidRPr="00440D30" w:rsidRDefault="002B5E2E" w:rsidP="00621970">
    <w:pPr>
      <w:pStyle w:val="EPFooter2"/>
    </w:pPr>
    <w:r w:rsidRPr="00440D30">
      <w:t>HR</w:t>
    </w:r>
    <w:r w:rsidRPr="00440D30">
      <w:tab/>
    </w:r>
    <w:r w:rsidRPr="00440D30">
      <w:rPr>
        <w:b w:val="0"/>
        <w:i/>
        <w:color w:val="C0C0C0"/>
        <w:sz w:val="22"/>
      </w:rPr>
      <w:t>Ujedinjena u raznolikosti</w:t>
    </w:r>
    <w:r w:rsidRPr="00440D30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3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3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CCA" w:rsidRPr="00440D30" w:rsidRDefault="001B1CCA">
      <w:r w:rsidRPr="00440D30">
        <w:separator/>
      </w:r>
    </w:p>
  </w:footnote>
  <w:footnote w:type="continuationSeparator" w:id="0">
    <w:p w:rsidR="001B1CCA" w:rsidRPr="00440D30" w:rsidRDefault="001B1CCA">
      <w:r w:rsidRPr="00440D30">
        <w:continuationSeparator/>
      </w:r>
    </w:p>
  </w:footnote>
  <w:footnote w:id="1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C, C/2023/594, 27.10.2023.</w:t>
      </w:r>
    </w:p>
  </w:footnote>
  <w:footnote w:id="2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C, C/2023/112, 12.10.2023.</w:t>
      </w:r>
    </w:p>
  </w:footnote>
  <w:footnote w:id="3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L 193, 30.7.2018., str. 1.</w:t>
      </w:r>
    </w:p>
  </w:footnote>
  <w:footnote w:id="4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L 295, 21.11.2018., str. 138.</w:t>
      </w:r>
    </w:p>
  </w:footnote>
  <w:footnote w:id="5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L 122, 10.5.2019., str. 1.</w:t>
      </w:r>
    </w:p>
  </w:footnote>
  <w:footnote w:id="6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C, C/2023/594, 27.10.2023.</w:t>
      </w:r>
    </w:p>
  </w:footnote>
  <w:footnote w:id="7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C, C/2023/112, 12.10.2023.</w:t>
      </w:r>
    </w:p>
  </w:footnote>
  <w:footnote w:id="8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L 193, 30.7.2018., str. 1.</w:t>
      </w:r>
    </w:p>
  </w:footnote>
  <w:footnote w:id="9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L 295, 21.11.2018., str. 138.</w:t>
      </w:r>
    </w:p>
  </w:footnote>
  <w:footnote w:id="10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SL L 122, 10.5.2019., str. 1.</w:t>
      </w:r>
    </w:p>
  </w:footnote>
  <w:footnote w:id="11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="003C7159">
        <w:rPr>
          <w:sz w:val="24"/>
          <w:lang w:val="hr-HR"/>
        </w:rPr>
        <w:t>SL C 38, 31.1</w:t>
      </w:r>
      <w:r w:rsidRPr="00440D30">
        <w:rPr>
          <w:sz w:val="24"/>
          <w:lang w:val="hr-HR"/>
        </w:rPr>
        <w:t>.2023., str. 194.</w:t>
      </w:r>
    </w:p>
  </w:footnote>
  <w:footnote w:id="12">
    <w:p w:rsidR="00F928A8" w:rsidRPr="008B13E2" w:rsidRDefault="00F928A8" w:rsidP="003C7159">
      <w:pPr>
        <w:pStyle w:val="FootnoteText"/>
        <w:ind w:left="567" w:hanging="567"/>
        <w:rPr>
          <w:lang w:val="sl-SI"/>
        </w:rPr>
      </w:pPr>
      <w:r>
        <w:rPr>
          <w:rStyle w:val="FootnoteReference"/>
        </w:rPr>
        <w:footnoteRef/>
      </w:r>
      <w:r w:rsidRPr="003C7159">
        <w:rPr>
          <w:lang w:val="hr-HR"/>
        </w:rPr>
        <w:t xml:space="preserve"> </w:t>
      </w:r>
      <w:bookmarkStart w:id="10" w:name="https://eur-lex.europa.eu/legal-content/"/>
      <w:r w:rsidR="00083557" w:rsidRPr="003C7159">
        <w:rPr>
          <w:lang w:val="hr-HR"/>
        </w:rPr>
        <w:tab/>
      </w:r>
      <w:r w:rsidRPr="003C7159">
        <w:rPr>
          <w:sz w:val="24"/>
          <w:szCs w:val="24"/>
          <w:lang w:val="hr-HR"/>
        </w:rPr>
        <w:t>Uredba (EU) 2018/1725 Europskog parlamenta i Vijeća od 23. listo</w:t>
      </w:r>
      <w:bookmarkStart w:id="11" w:name="_GoBack"/>
      <w:bookmarkEnd w:id="11"/>
      <w:r w:rsidRPr="003C7159">
        <w:rPr>
          <w:sz w:val="24"/>
          <w:szCs w:val="24"/>
          <w:lang w:val="hr-HR"/>
        </w:rPr>
        <w:t xml:space="preserve">pada 2018. o zaštiti pojedinaca u vezi s obradom osobnih podataka u institucijama, tijelima, uredima i agencijama Unije i o slobodnom kretanju takvih podataka te o stavljanju izvan snage Uredbe (EZ) br. 45/2001 i Odluke br. 1247/2002/EZ </w:t>
      </w:r>
      <w:bookmarkEnd w:id="10"/>
      <w:r w:rsidR="00083557" w:rsidRPr="003C7159">
        <w:rPr>
          <w:sz w:val="24"/>
          <w:szCs w:val="24"/>
          <w:lang w:val="hr-HR"/>
        </w:rPr>
        <w:t>(</w:t>
      </w:r>
      <w:r w:rsidRPr="003C7159">
        <w:rPr>
          <w:iCs/>
          <w:sz w:val="24"/>
          <w:szCs w:val="24"/>
          <w:lang w:val="hr-HR"/>
        </w:rPr>
        <w:t>SL L 295, 21.11.2018., str. 39</w:t>
      </w:r>
      <w:r w:rsidR="00083557" w:rsidRPr="003C7159">
        <w:rPr>
          <w:iCs/>
          <w:sz w:val="24"/>
          <w:szCs w:val="24"/>
          <w:lang w:val="hr-HR"/>
        </w:rPr>
        <w:t>.).</w:t>
      </w:r>
    </w:p>
  </w:footnote>
  <w:footnote w:id="13">
    <w:p w:rsidR="002B5E2E" w:rsidRPr="00440D30" w:rsidRDefault="002B5E2E" w:rsidP="00440D30">
      <w:pPr>
        <w:pStyle w:val="FootnoteText"/>
        <w:ind w:left="567" w:hanging="567"/>
        <w:rPr>
          <w:sz w:val="24"/>
          <w:lang w:val="hr-HR"/>
        </w:rPr>
      </w:pPr>
      <w:r w:rsidRPr="00440D30">
        <w:rPr>
          <w:rStyle w:val="FootnoteReference"/>
          <w:sz w:val="24"/>
          <w:lang w:val="hr-HR"/>
        </w:rPr>
        <w:footnoteRef/>
      </w:r>
      <w:r w:rsidR="00440D30" w:rsidRPr="00440D30">
        <w:rPr>
          <w:sz w:val="24"/>
          <w:lang w:val="hr-HR"/>
        </w:rPr>
        <w:t xml:space="preserve"> </w:t>
      </w:r>
      <w:r w:rsidR="00440D30" w:rsidRPr="00440D30">
        <w:rPr>
          <w:sz w:val="24"/>
          <w:lang w:val="hr-HR"/>
        </w:rPr>
        <w:tab/>
      </w:r>
      <w:r w:rsidRPr="00440D30">
        <w:rPr>
          <w:sz w:val="24"/>
          <w:lang w:val="hr-HR"/>
        </w:rPr>
        <w:t>Usvojeni tekstovi, P9_TA(2024)0</w:t>
      </w:r>
      <w:r w:rsidR="008B13E2">
        <w:rPr>
          <w:sz w:val="24"/>
          <w:lang w:val="hr-HR"/>
        </w:rPr>
        <w:t>280</w:t>
      </w:r>
      <w:r w:rsidRPr="00440D30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D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4"/>
    <w:docVar w:name="dvlangue" w:val="HR"/>
    <w:docVar w:name="dvnumam" w:val="0"/>
    <w:docVar w:name="dvpe" w:val="753.539"/>
    <w:docVar w:name="dvrapporteur" w:val="Izvjestitelj: "/>
    <w:docVar w:name="dvtitre" w:val="Odluka Europskog parlamenta od .... 2024. o razrješnici za izvršenje proračuna Agencije Europske unije za suradnju u kaznenom pravosuđu (Eurojust) za financijsku godinu 2022.(2023/2168(DEC))"/>
  </w:docVars>
  <w:rsids>
    <w:rsidRoot w:val="001B1CCA"/>
    <w:rsid w:val="00002272"/>
    <w:rsid w:val="00064002"/>
    <w:rsid w:val="000677B9"/>
    <w:rsid w:val="000831BA"/>
    <w:rsid w:val="00083557"/>
    <w:rsid w:val="000A42CC"/>
    <w:rsid w:val="000E7DD9"/>
    <w:rsid w:val="0010095E"/>
    <w:rsid w:val="00125B37"/>
    <w:rsid w:val="00187494"/>
    <w:rsid w:val="001B1CCA"/>
    <w:rsid w:val="001F32AE"/>
    <w:rsid w:val="002767FF"/>
    <w:rsid w:val="002B18FE"/>
    <w:rsid w:val="002B5493"/>
    <w:rsid w:val="002B5E2E"/>
    <w:rsid w:val="00343214"/>
    <w:rsid w:val="00361C00"/>
    <w:rsid w:val="00395FA1"/>
    <w:rsid w:val="003C7159"/>
    <w:rsid w:val="003E15D4"/>
    <w:rsid w:val="00411CCE"/>
    <w:rsid w:val="0041666E"/>
    <w:rsid w:val="00421060"/>
    <w:rsid w:val="00440D3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3E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8A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7B32B"/>
  <w15:chartTrackingRefBased/>
  <w15:docId w15:val="{626D7278-98E1-4736-AADF-C070B5C5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B5E2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B5E2E"/>
    <w:pPr>
      <w:spacing w:before="480" w:after="240"/>
    </w:pPr>
  </w:style>
  <w:style w:type="paragraph" w:customStyle="1" w:styleId="PageHeading">
    <w:name w:val="PageHeading"/>
    <w:basedOn w:val="Normal"/>
    <w:rsid w:val="002B5E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B5E2E"/>
    <w:rPr>
      <w:b/>
    </w:rPr>
  </w:style>
  <w:style w:type="paragraph" w:customStyle="1" w:styleId="NormalHanging12a">
    <w:name w:val="NormalHanging12a"/>
    <w:basedOn w:val="Normal"/>
    <w:link w:val="NormalHanging12aChar"/>
    <w:rsid w:val="002B5E2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B5E2E"/>
    <w:pPr>
      <w:spacing w:after="240"/>
      <w:jc w:val="center"/>
    </w:pPr>
  </w:style>
  <w:style w:type="paragraph" w:styleId="Header">
    <w:name w:val="header"/>
    <w:basedOn w:val="Normal"/>
    <w:link w:val="HeaderChar"/>
    <w:rsid w:val="002B5E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E2E"/>
    <w:rPr>
      <w:sz w:val="24"/>
      <w:lang w:val="hr-HR"/>
    </w:rPr>
  </w:style>
  <w:style w:type="paragraph" w:customStyle="1" w:styleId="EPFooter">
    <w:name w:val="EPFooter"/>
    <w:basedOn w:val="Normal"/>
    <w:rsid w:val="002B5E2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2B5E2E"/>
    <w:rPr>
      <w:sz w:val="24"/>
      <w:lang w:val="hr-HR"/>
    </w:rPr>
  </w:style>
  <w:style w:type="character" w:customStyle="1" w:styleId="Normal12HangingChar">
    <w:name w:val="Normal12Hanging Char"/>
    <w:link w:val="Normal12Hanging"/>
    <w:locked/>
    <w:rsid w:val="002B5E2E"/>
    <w:rPr>
      <w:sz w:val="24"/>
    </w:rPr>
  </w:style>
  <w:style w:type="paragraph" w:customStyle="1" w:styleId="Normal12Hanging">
    <w:name w:val="Normal12Hanging"/>
    <w:basedOn w:val="Normal"/>
    <w:link w:val="Normal12HangingChar"/>
    <w:rsid w:val="002B5E2E"/>
    <w:pPr>
      <w:spacing w:after="240"/>
      <w:ind w:left="567" w:hanging="567"/>
    </w:pPr>
    <w:rPr>
      <w:lang w:val="en-GB"/>
    </w:rPr>
  </w:style>
  <w:style w:type="paragraph" w:customStyle="1" w:styleId="Normal24a">
    <w:name w:val="Normal24a"/>
    <w:basedOn w:val="Normal"/>
    <w:rsid w:val="002B5E2E"/>
    <w:pPr>
      <w:spacing w:after="480"/>
    </w:pPr>
  </w:style>
  <w:style w:type="paragraph" w:customStyle="1" w:styleId="Normal12a">
    <w:name w:val="Normal12a"/>
    <w:basedOn w:val="Normal"/>
    <w:rsid w:val="002B5E2E"/>
    <w:pPr>
      <w:spacing w:after="240"/>
    </w:pPr>
  </w:style>
  <w:style w:type="paragraph" w:customStyle="1" w:styleId="PageHeadingNotTOC">
    <w:name w:val="PageHeadingNotTOC"/>
    <w:basedOn w:val="Normal"/>
    <w:rsid w:val="002B5E2E"/>
    <w:pPr>
      <w:keepNext/>
      <w:spacing w:after="480"/>
      <w:jc w:val="center"/>
    </w:pPr>
    <w:rPr>
      <w:rFonts w:ascii="Arial" w:hAnsi="Arial" w:cs="Arial"/>
      <w:b/>
    </w:rPr>
  </w:style>
  <w:style w:type="paragraph" w:styleId="BalloonText">
    <w:name w:val="Balloon Text"/>
    <w:basedOn w:val="Normal"/>
    <w:link w:val="BalloonTextChar"/>
    <w:rsid w:val="00F928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28A8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rsid w:val="00F928A8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3C71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C715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372D7-5500-489E-8552-AE0149086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4255</Words>
  <Characters>25437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2024-05-23T09:10:00Z</dcterms:created>
  <dcterms:modified xsi:type="dcterms:W3CDTF">2024-05-23T09:10:00Z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P9_TA(2024)0246_</vt:lpwstr>
  </property>
  <property fmtid="{D5CDD505-2E9C-101B-9397-08002B2CF9AE}" pid="4" name="&lt;Type&gt;">
    <vt:lpwstr>RR</vt:lpwstr>
  </property>
</Properties>
</file>