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38A3" w:rsidTr="0010095E">
        <w:trPr>
          <w:trHeight w:hRule="exact" w:val="1418"/>
        </w:trPr>
        <w:tc>
          <w:tcPr>
            <w:tcW w:w="6804" w:type="dxa"/>
            <w:shd w:val="clear" w:color="auto" w:fill="auto"/>
            <w:vAlign w:val="center"/>
          </w:tcPr>
          <w:p w:rsidR="00751A4A" w:rsidRPr="00CD38A3" w:rsidRDefault="00B21EDC" w:rsidP="0010095E">
            <w:pPr>
              <w:pStyle w:val="EPName"/>
            </w:pPr>
            <w:r w:rsidRPr="00CD38A3">
              <w:t>Europos Parlamentas</w:t>
            </w:r>
          </w:p>
          <w:p w:rsidR="00751A4A" w:rsidRPr="00CD38A3" w:rsidRDefault="00817416" w:rsidP="00756632">
            <w:pPr>
              <w:pStyle w:val="EPTerm"/>
              <w:rPr>
                <w:rStyle w:val="HideTWBExt"/>
                <w:noProof w:val="0"/>
                <w:vanish w:val="0"/>
                <w:color w:val="auto"/>
              </w:rPr>
            </w:pPr>
            <w:r w:rsidRPr="00CD38A3">
              <w:t>2019-2024</w:t>
            </w:r>
          </w:p>
        </w:tc>
        <w:tc>
          <w:tcPr>
            <w:tcW w:w="2268" w:type="dxa"/>
            <w:shd w:val="clear" w:color="auto" w:fill="auto"/>
          </w:tcPr>
          <w:p w:rsidR="00751A4A" w:rsidRPr="00CD38A3" w:rsidRDefault="00187494" w:rsidP="0010095E">
            <w:pPr>
              <w:pStyle w:val="EPLogo"/>
            </w:pPr>
            <w:r w:rsidRPr="00CD38A3">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D38A3" w:rsidRDefault="00D058B8" w:rsidP="004C5D52">
      <w:pPr>
        <w:pStyle w:val="LineTop"/>
      </w:pPr>
    </w:p>
    <w:p w:rsidR="00680577" w:rsidRPr="00CD38A3" w:rsidRDefault="00B21EDC" w:rsidP="00680577">
      <w:pPr>
        <w:pStyle w:val="EPBodyTA1"/>
      </w:pPr>
      <w:r w:rsidRPr="00CD38A3">
        <w:t>PRIIMTI TEKSTAI</w:t>
      </w:r>
    </w:p>
    <w:p w:rsidR="00D058B8" w:rsidRPr="00CD38A3" w:rsidRDefault="00D058B8" w:rsidP="00D058B8">
      <w:pPr>
        <w:pStyle w:val="LineBottom"/>
      </w:pPr>
    </w:p>
    <w:p w:rsidR="00B21EDC" w:rsidRPr="00CD38A3" w:rsidRDefault="00B21EDC" w:rsidP="00B21EDC">
      <w:pPr>
        <w:pStyle w:val="ATHeading1"/>
      </w:pPr>
      <w:bookmarkStart w:id="0" w:name="TANumber"/>
      <w:r w:rsidRPr="00CD38A3">
        <w:t>P9_TA(2024)0</w:t>
      </w:r>
      <w:r w:rsidR="00710C15">
        <w:t>246</w:t>
      </w:r>
      <w:bookmarkEnd w:id="0"/>
    </w:p>
    <w:p w:rsidR="00B21EDC" w:rsidRPr="00CD38A3" w:rsidRDefault="00B21EDC" w:rsidP="00B21EDC">
      <w:pPr>
        <w:pStyle w:val="ATHeading2"/>
      </w:pPr>
      <w:bookmarkStart w:id="1" w:name="title"/>
      <w:r w:rsidRPr="00CD38A3">
        <w:t>2022 m. biudžeto įvykdymo patvirtinimas: Europos Sąjungos bendradarbiavimo baudžiamosios teisenos srityje agentūra (Eurojustas)</w:t>
      </w:r>
      <w:bookmarkEnd w:id="1"/>
    </w:p>
    <w:p w:rsidR="00B21EDC" w:rsidRPr="00CD38A3" w:rsidRDefault="00B21EDC" w:rsidP="00B21EDC">
      <w:pPr>
        <w:rPr>
          <w:i/>
          <w:vanish/>
        </w:rPr>
      </w:pPr>
      <w:r w:rsidRPr="00CD38A3">
        <w:rPr>
          <w:i/>
        </w:rPr>
        <w:fldChar w:fldCharType="begin"/>
      </w:r>
      <w:r w:rsidRPr="00CD38A3">
        <w:rPr>
          <w:i/>
        </w:rPr>
        <w:instrText xml:space="preserve"> TC"(</w:instrText>
      </w:r>
      <w:bookmarkStart w:id="2" w:name="DocNumber"/>
      <w:r w:rsidRPr="00CD38A3">
        <w:rPr>
          <w:i/>
        </w:rPr>
        <w:instrText>A9-0099/2024</w:instrText>
      </w:r>
      <w:bookmarkEnd w:id="2"/>
      <w:r w:rsidRPr="00CD38A3">
        <w:rPr>
          <w:i/>
        </w:rPr>
        <w:instrText xml:space="preserve"> - Pranešėjas: </w:instrText>
      </w:r>
      <w:proofErr w:type="spellStart"/>
      <w:r w:rsidRPr="00CD38A3">
        <w:rPr>
          <w:i/>
        </w:rPr>
        <w:instrText>Petri</w:instrText>
      </w:r>
      <w:proofErr w:type="spellEnd"/>
      <w:r w:rsidRPr="00CD38A3">
        <w:rPr>
          <w:i/>
        </w:rPr>
        <w:instrText xml:space="preserve"> </w:instrText>
      </w:r>
      <w:proofErr w:type="spellStart"/>
      <w:r w:rsidRPr="00CD38A3">
        <w:rPr>
          <w:i/>
        </w:rPr>
        <w:instrText>Sarvamaa</w:instrText>
      </w:r>
      <w:proofErr w:type="spellEnd"/>
      <w:r w:rsidRPr="00CD38A3">
        <w:rPr>
          <w:i/>
        </w:rPr>
        <w:instrText xml:space="preserve">)"\l3 \n&gt; \* MERGEFORMAT </w:instrText>
      </w:r>
      <w:r w:rsidRPr="00CD38A3">
        <w:rPr>
          <w:i/>
        </w:rPr>
        <w:fldChar w:fldCharType="end"/>
      </w:r>
    </w:p>
    <w:p w:rsidR="00B21EDC" w:rsidRPr="00CD38A3" w:rsidRDefault="00B21EDC" w:rsidP="00B21EDC">
      <w:pPr>
        <w:rPr>
          <w:vanish/>
        </w:rPr>
      </w:pPr>
      <w:bookmarkStart w:id="3" w:name="Commission"/>
      <w:r w:rsidRPr="00CD38A3">
        <w:rPr>
          <w:vanish/>
        </w:rPr>
        <w:t>Biudžeto kontrolės komitetas</w:t>
      </w:r>
      <w:bookmarkEnd w:id="3"/>
    </w:p>
    <w:p w:rsidR="00B21EDC" w:rsidRPr="00CD38A3" w:rsidRDefault="00B21EDC" w:rsidP="00B21EDC">
      <w:pPr>
        <w:rPr>
          <w:vanish/>
        </w:rPr>
      </w:pPr>
      <w:bookmarkStart w:id="4" w:name="PE"/>
      <w:r w:rsidRPr="00CD38A3">
        <w:rPr>
          <w:vanish/>
        </w:rPr>
        <w:t>PE753.539</w:t>
      </w:r>
      <w:bookmarkEnd w:id="4"/>
    </w:p>
    <w:p w:rsidR="00B21EDC" w:rsidRPr="00CD38A3" w:rsidRDefault="00D01E91" w:rsidP="00D01E91">
      <w:pPr>
        <w:pStyle w:val="ATHeading3"/>
      </w:pPr>
      <w:bookmarkStart w:id="5" w:name="Sujet"/>
      <w:r>
        <w:t xml:space="preserve">1. 2024 m. balandžio 11 d. </w:t>
      </w:r>
      <w:r w:rsidR="00B21EDC" w:rsidRPr="00CD38A3">
        <w:t>Europos Parlamento sprendimas dėl Europos Sąjungos bendradarbiavimo baudžiamosios teisenos srityje agentūros (Eurojusto) 2022 finansinių metų biudžeto įvykdymo patvirtinimo</w:t>
      </w:r>
      <w:bookmarkEnd w:id="5"/>
      <w:r w:rsidR="00B21EDC" w:rsidRPr="00CD38A3">
        <w:t xml:space="preserve"> </w:t>
      </w:r>
      <w:bookmarkStart w:id="6" w:name="References"/>
      <w:r w:rsidR="00B21EDC" w:rsidRPr="00CD38A3">
        <w:t>(2023/2168(DEC))</w:t>
      </w:r>
      <w:bookmarkEnd w:id="6"/>
    </w:p>
    <w:p w:rsidR="00BD5AD7" w:rsidRPr="00CD38A3" w:rsidRDefault="00BD5AD7" w:rsidP="00BD5AD7">
      <w:pPr>
        <w:pStyle w:val="EPComma"/>
      </w:pPr>
      <w:bookmarkStart w:id="7" w:name="TextBodyBegin"/>
      <w:bookmarkEnd w:id="7"/>
      <w:r w:rsidRPr="00CD38A3">
        <w:rPr>
          <w:i/>
        </w:rPr>
        <w:t>Europos Parlamentas</w:t>
      </w:r>
      <w:r w:rsidRPr="00CD38A3">
        <w:t>,</w:t>
      </w:r>
    </w:p>
    <w:p w:rsidR="00BD5AD7" w:rsidRPr="00CD38A3" w:rsidRDefault="00BD5AD7" w:rsidP="00BD5AD7">
      <w:pPr>
        <w:pStyle w:val="NormalHanging12a"/>
      </w:pPr>
      <w:r w:rsidRPr="00CD38A3">
        <w:t>–</w:t>
      </w:r>
      <w:r w:rsidRPr="00CD38A3">
        <w:tab/>
        <w:t>atsižvelgdamas į Europos Sąjungos bendradarbiavimo baudžiamosios teisenos srityje agentūros (Eurojusto) 2022 finansinių metų galutines metines finansines ataskaitas,</w:t>
      </w:r>
    </w:p>
    <w:p w:rsidR="00BD5AD7" w:rsidRPr="00CD38A3" w:rsidRDefault="00BD5AD7" w:rsidP="00BD5AD7">
      <w:pPr>
        <w:pStyle w:val="NormalHanging12a"/>
      </w:pPr>
      <w:r w:rsidRPr="00CD38A3">
        <w:t>–</w:t>
      </w:r>
      <w:r w:rsidRPr="00CD38A3">
        <w:tab/>
        <w:t>atsižvelgdamas į Audito Rūmų 2022 finansinių metų metinę ataskaitą dėl ES agentūrų kartu su agentūrų atsakymais</w:t>
      </w:r>
      <w:r w:rsidRPr="00CD38A3">
        <w:rPr>
          <w:rStyle w:val="FootnoteReference"/>
        </w:rPr>
        <w:footnoteReference w:id="1"/>
      </w:r>
      <w:r w:rsidRPr="00CD38A3">
        <w:t>,</w:t>
      </w:r>
    </w:p>
    <w:p w:rsidR="00BD5AD7" w:rsidRPr="00CD38A3" w:rsidRDefault="00BD5AD7" w:rsidP="00BD5AD7">
      <w:pPr>
        <w:pStyle w:val="NormalHanging12a"/>
      </w:pPr>
      <w:r w:rsidRPr="00CD38A3">
        <w:t>–</w:t>
      </w:r>
      <w:r w:rsidRPr="00CD38A3">
        <w:tab/>
        <w:t>atsižvelgdamas į Audito Rūmų pagal Sutarties dėl Europos Sąjungos veikimo 287 straipsnį pateiktą 2022 finansinių metų sąskaitų patikimumo ir pagal jas atliktų operacijų teisėtumo ir tvarkingumo patikinimo pareiškimą</w:t>
      </w:r>
      <w:r w:rsidRPr="00CD38A3">
        <w:rPr>
          <w:rStyle w:val="FootnoteReference"/>
        </w:rPr>
        <w:footnoteReference w:id="2"/>
      </w:r>
      <w:r w:rsidRPr="00CD38A3">
        <w:t>,</w:t>
      </w:r>
    </w:p>
    <w:p w:rsidR="00BD5AD7" w:rsidRPr="00CD38A3" w:rsidRDefault="00BD5AD7" w:rsidP="00BD5AD7">
      <w:pPr>
        <w:pStyle w:val="NormalHanging12a"/>
      </w:pPr>
      <w:r w:rsidRPr="00CD38A3">
        <w:t>–</w:t>
      </w:r>
      <w:r w:rsidRPr="00CD38A3">
        <w:tab/>
        <w:t xml:space="preserve">atsižvelgdamas į 2024 m. vasario 22 d. </w:t>
      </w:r>
      <w:r w:rsidR="001B69F2" w:rsidRPr="00CD38A3">
        <w:t xml:space="preserve">Tarybos </w:t>
      </w:r>
      <w:r w:rsidRPr="00CD38A3">
        <w:t>rekomendaciją dėl patvirtinimo, kad Agentūra įvykdė 2022 finansinių metų biudžetą (</w:t>
      </w:r>
      <w:r w:rsidR="00A00715" w:rsidRPr="00A00715">
        <w:t>06180</w:t>
      </w:r>
      <w:r w:rsidRPr="00CD38A3">
        <w:t>/2024 – C9</w:t>
      </w:r>
      <w:r w:rsidRPr="00CD38A3">
        <w:noBreakHyphen/>
        <w:t>0</w:t>
      </w:r>
      <w:r w:rsidR="00A00715">
        <w:t>106</w:t>
      </w:r>
      <w:r w:rsidRPr="00CD38A3">
        <w:t>/2024),</w:t>
      </w:r>
    </w:p>
    <w:p w:rsidR="00BD5AD7" w:rsidRPr="00CD38A3" w:rsidRDefault="00BD5AD7" w:rsidP="00BD5AD7">
      <w:pPr>
        <w:pStyle w:val="NormalHanging12a"/>
      </w:pPr>
      <w:r w:rsidRPr="00CD38A3">
        <w:t>–</w:t>
      </w:r>
      <w:r w:rsidRPr="00CD38A3">
        <w:tab/>
        <w:t>atsižvelgdamas į Sutarties dėl Europos Sąjungos veikimo 319 straipsnį,</w:t>
      </w:r>
    </w:p>
    <w:p w:rsidR="00BD5AD7" w:rsidRPr="00CD38A3" w:rsidRDefault="00BD5AD7" w:rsidP="00BD5AD7">
      <w:pPr>
        <w:pStyle w:val="NormalHanging12a"/>
      </w:pPr>
      <w:r w:rsidRPr="00CD38A3">
        <w:t>–</w:t>
      </w:r>
      <w:r w:rsidRPr="00CD38A3">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CD38A3">
        <w:rPr>
          <w:rStyle w:val="FootnoteReference"/>
        </w:rPr>
        <w:footnoteReference w:id="3"/>
      </w:r>
      <w:r w:rsidRPr="00CD38A3">
        <w:t>, ypač į jo 70 straipsnį,</w:t>
      </w:r>
    </w:p>
    <w:p w:rsidR="00BD5AD7" w:rsidRPr="00CD38A3" w:rsidRDefault="00BD5AD7" w:rsidP="00BD5AD7">
      <w:pPr>
        <w:pStyle w:val="NormalHanging12a"/>
      </w:pPr>
      <w:r w:rsidRPr="00CD38A3">
        <w:t>–</w:t>
      </w:r>
      <w:r w:rsidRPr="00CD38A3">
        <w:tab/>
        <w:t xml:space="preserve">atsižvelgdamas į 2018 m. lapkričio 14 d. Europos Parlamento ir Tarybos reglamentą (ES) 2018/1727 dėl Europos Sąjungos bendradarbiavimo baudžiamosios teisenos srityje </w:t>
      </w:r>
      <w:r w:rsidRPr="00CD38A3">
        <w:lastRenderedPageBreak/>
        <w:t>agentūros (Eurojusto) ir kuriuo pakeičiamas ir panaikinamas Tarybos sprendimas 2002/187/TVR</w:t>
      </w:r>
      <w:r w:rsidRPr="00CD38A3">
        <w:rPr>
          <w:rStyle w:val="FootnoteReference"/>
        </w:rPr>
        <w:footnoteReference w:id="4"/>
      </w:r>
      <w:r w:rsidRPr="00CD38A3">
        <w:t>, ypač į jo 63 straipsnį,</w:t>
      </w:r>
    </w:p>
    <w:p w:rsidR="00BD5AD7" w:rsidRPr="00CD38A3" w:rsidRDefault="00BD5AD7" w:rsidP="00BD5AD7">
      <w:pPr>
        <w:pStyle w:val="NormalHanging12a"/>
      </w:pPr>
      <w:r w:rsidRPr="00CD38A3">
        <w:t>–</w:t>
      </w:r>
      <w:r w:rsidRPr="00CD38A3">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CD38A3">
        <w:rPr>
          <w:rStyle w:val="FootnoteReference"/>
        </w:rPr>
        <w:footnoteReference w:id="5"/>
      </w:r>
      <w:r w:rsidRPr="00CD38A3">
        <w:t>, ypač į jo 105 straipsnį,</w:t>
      </w:r>
    </w:p>
    <w:p w:rsidR="00BD5AD7" w:rsidRPr="00CD38A3" w:rsidRDefault="00BD5AD7" w:rsidP="00BD5AD7">
      <w:pPr>
        <w:pStyle w:val="NormalHanging12a"/>
      </w:pPr>
      <w:r w:rsidRPr="00CD38A3">
        <w:t>–</w:t>
      </w:r>
      <w:r w:rsidRPr="00CD38A3">
        <w:tab/>
        <w:t>atsižvelgdamas į Darbo tvarkos taisyklių 100 straipsnį ir V priedą,</w:t>
      </w:r>
    </w:p>
    <w:p w:rsidR="00BD5AD7" w:rsidRPr="00CD38A3" w:rsidRDefault="00BD5AD7" w:rsidP="00BD5AD7">
      <w:pPr>
        <w:pStyle w:val="NormalHanging12a"/>
      </w:pPr>
      <w:r w:rsidRPr="00CD38A3">
        <w:t>–</w:t>
      </w:r>
      <w:r w:rsidRPr="00CD38A3">
        <w:tab/>
        <w:t>atsižvelgdamas į Piliečių laisvių, teisingumo ir vidaus reikalų komiteto nuomonę,</w:t>
      </w:r>
    </w:p>
    <w:p w:rsidR="00BD5AD7" w:rsidRPr="00CD38A3" w:rsidRDefault="00BD5AD7" w:rsidP="00BD5AD7">
      <w:pPr>
        <w:pStyle w:val="NormalHanging12a"/>
      </w:pPr>
      <w:r w:rsidRPr="00CD38A3">
        <w:t>–</w:t>
      </w:r>
      <w:r w:rsidRPr="00CD38A3">
        <w:tab/>
        <w:t>atsižvelgdamas į Biudžeto kontrolės komiteto pranešimą (A9</w:t>
      </w:r>
      <w:r w:rsidRPr="00CD38A3">
        <w:noBreakHyphen/>
        <w:t>0099/2024),</w:t>
      </w:r>
    </w:p>
    <w:p w:rsidR="00BD5AD7" w:rsidRPr="00CD38A3" w:rsidRDefault="00BD5AD7" w:rsidP="00BD5AD7">
      <w:pPr>
        <w:pStyle w:val="NormalHanging12a"/>
      </w:pPr>
      <w:r w:rsidRPr="00CD38A3">
        <w:t>1.</w:t>
      </w:r>
      <w:r w:rsidRPr="00CD38A3">
        <w:tab/>
        <w:t>patvirtina Europos Sąjungos bendradarbiavimo baudžiamosios teisenos srityje agentūros (Eurojusto) administracijos direktoriui, kad Agentūros 2022 finansinių metų biudžetas įvykdytas;</w:t>
      </w:r>
    </w:p>
    <w:p w:rsidR="00BD5AD7" w:rsidRPr="00CD38A3" w:rsidRDefault="00BD5AD7" w:rsidP="00BD5AD7">
      <w:pPr>
        <w:pStyle w:val="NormalHanging12a"/>
      </w:pPr>
      <w:r w:rsidRPr="00CD38A3">
        <w:t>2.</w:t>
      </w:r>
      <w:r w:rsidRPr="00CD38A3">
        <w:tab/>
        <w:t>išdėsto savo pastabas toliau pateikiamoje rezoliucijoje;</w:t>
      </w:r>
    </w:p>
    <w:p w:rsidR="00BD5AD7" w:rsidRPr="00CD38A3" w:rsidRDefault="00BD5AD7" w:rsidP="00BD5AD7">
      <w:pPr>
        <w:pStyle w:val="NormalHanging12a"/>
      </w:pPr>
      <w:r w:rsidRPr="00CD38A3">
        <w:t>3.</w:t>
      </w:r>
      <w:r w:rsidRPr="00CD38A3">
        <w:tab/>
        <w:t xml:space="preserve">paveda Pirmininkei perduoti šį sprendimą ir rezoliuciją, kuri yra neatskiriama jo dalis, Europos Sąjungos bendradarbiavimo baudžiamosios teisenos srityje agentūros (Eurojusto) administracijos direktoriui, Tarybai, Komisijai ir Audito Rūmams ir pasirūpinti, kad jie būtų paskelbti </w:t>
      </w:r>
      <w:r w:rsidRPr="00CD38A3">
        <w:rPr>
          <w:i/>
        </w:rPr>
        <w:t>Europos Sąjungos oficialiajame leidinyje</w:t>
      </w:r>
      <w:r w:rsidRPr="00CD38A3">
        <w:t xml:space="preserve"> (L serijoje).</w:t>
      </w:r>
    </w:p>
    <w:p w:rsidR="00BD5AD7" w:rsidRPr="00CD38A3" w:rsidRDefault="00BD5AD7" w:rsidP="00BD5AD7"/>
    <w:p w:rsidR="00BD5AD7" w:rsidRPr="00CD38A3" w:rsidRDefault="00BD5AD7" w:rsidP="00BD5AD7">
      <w:pPr>
        <w:widowControl/>
        <w:rPr>
          <w:rFonts w:ascii="Arial" w:hAnsi="Arial" w:cs="Arial"/>
          <w:b/>
        </w:rPr>
        <w:sectPr w:rsidR="00BD5AD7" w:rsidRPr="00CD38A3" w:rsidSect="00CD38A3">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BD5AD7" w:rsidRPr="00CD38A3" w:rsidRDefault="00D01E91" w:rsidP="00D01E91">
      <w:pPr>
        <w:pStyle w:val="ATHeading3"/>
      </w:pPr>
      <w:r>
        <w:lastRenderedPageBreak/>
        <w:t xml:space="preserve">2. 2024 m. balandžio 11 d. </w:t>
      </w:r>
      <w:r w:rsidRPr="00CD38A3">
        <w:t xml:space="preserve">Europos Parlamento sprendimas </w:t>
      </w:r>
      <w:r w:rsidR="00BD5AD7" w:rsidRPr="00CD38A3">
        <w:t>dėl Europos Sąjungos bendradarbiavimo baudžiamosios teisenos srityje agentūros (Eurojusto) 2022 finansinių metų sąskaitų uždarymo</w:t>
      </w:r>
      <w:r>
        <w:t xml:space="preserve"> </w:t>
      </w:r>
      <w:r w:rsidR="00BD5AD7" w:rsidRPr="00CD38A3">
        <w:t>(2023/2168(DEC))</w:t>
      </w:r>
    </w:p>
    <w:p w:rsidR="00BD5AD7" w:rsidRPr="00CD38A3" w:rsidRDefault="00BD5AD7" w:rsidP="00BD5AD7">
      <w:pPr>
        <w:pStyle w:val="EPComma"/>
      </w:pPr>
      <w:r w:rsidRPr="00CD38A3">
        <w:rPr>
          <w:i/>
        </w:rPr>
        <w:t>Europos Parlamentas</w:t>
      </w:r>
      <w:r w:rsidRPr="00CD38A3">
        <w:t>,</w:t>
      </w:r>
    </w:p>
    <w:p w:rsidR="00BD5AD7" w:rsidRPr="00CD38A3" w:rsidRDefault="00BD5AD7" w:rsidP="00BD5AD7">
      <w:pPr>
        <w:pStyle w:val="NormalHanging12a"/>
      </w:pPr>
      <w:r w:rsidRPr="00CD38A3">
        <w:t>–</w:t>
      </w:r>
      <w:r w:rsidRPr="00CD38A3">
        <w:tab/>
        <w:t>atsižvelgdamas į Europos Sąjungos bendradarbiavimo baudžiamosios teisenos srityje agentūros (Eurojusto) 2022 finansinių metų galutines metines finansines ataskaitas,</w:t>
      </w:r>
    </w:p>
    <w:p w:rsidR="00BD5AD7" w:rsidRPr="00CD38A3" w:rsidRDefault="00BD5AD7" w:rsidP="00BD5AD7">
      <w:pPr>
        <w:pStyle w:val="NormalHanging12a"/>
      </w:pPr>
      <w:r w:rsidRPr="00CD38A3">
        <w:t>–</w:t>
      </w:r>
      <w:r w:rsidRPr="00CD38A3">
        <w:tab/>
        <w:t>atsižvelgdamas į Audito Rūmų 2022 finansinių metų metinę ataskaitą dėl ES agentūrų kartu su agentūrų atsakymais</w:t>
      </w:r>
      <w:r w:rsidRPr="00CD38A3">
        <w:rPr>
          <w:rStyle w:val="FootnoteReference"/>
        </w:rPr>
        <w:footnoteReference w:id="6"/>
      </w:r>
      <w:r w:rsidRPr="00CD38A3">
        <w:t>,</w:t>
      </w:r>
    </w:p>
    <w:p w:rsidR="00BD5AD7" w:rsidRPr="00CD38A3" w:rsidRDefault="00BD5AD7" w:rsidP="00BD5AD7">
      <w:pPr>
        <w:pStyle w:val="NormalHanging12a"/>
      </w:pPr>
      <w:r w:rsidRPr="00CD38A3">
        <w:t>–</w:t>
      </w:r>
      <w:r w:rsidRPr="00CD38A3">
        <w:tab/>
        <w:t>atsižvelgdamas į Audito Rūmų pagal Sutarties dėl Europos Sąjungos veikimo 287 straipsnį pateiktą 2022 finansinių metų sąskaitų patikimumo ir pagal jas atliktų operacijų teisėtumo ir tvarkingumo patikinimo pareiškimą</w:t>
      </w:r>
      <w:r w:rsidRPr="00CD38A3">
        <w:rPr>
          <w:rStyle w:val="FootnoteReference"/>
        </w:rPr>
        <w:footnoteReference w:id="7"/>
      </w:r>
      <w:r w:rsidRPr="00CD38A3">
        <w:t>,</w:t>
      </w:r>
    </w:p>
    <w:p w:rsidR="00BD5AD7" w:rsidRPr="00CD38A3" w:rsidRDefault="00BD5AD7" w:rsidP="00BD5AD7">
      <w:pPr>
        <w:pStyle w:val="NormalHanging12a"/>
      </w:pPr>
      <w:r w:rsidRPr="00CD38A3">
        <w:t>–</w:t>
      </w:r>
      <w:r w:rsidRPr="00CD38A3">
        <w:tab/>
        <w:t xml:space="preserve">atsižvelgdamas į 2024 m. vasario 22 d. </w:t>
      </w:r>
      <w:r w:rsidR="001B69F2" w:rsidRPr="00CD38A3">
        <w:t xml:space="preserve">Tarybos </w:t>
      </w:r>
      <w:r w:rsidRPr="00CD38A3">
        <w:t>rekomendaciją dėl patvirtinimo, kad Agentūra įvykdė 2022 finansinių metų biudžetą (0</w:t>
      </w:r>
      <w:r w:rsidR="00A00715">
        <w:t>618</w:t>
      </w:r>
      <w:r w:rsidRPr="00CD38A3">
        <w:t>0/2024 – C9</w:t>
      </w:r>
      <w:r w:rsidRPr="00CD38A3">
        <w:noBreakHyphen/>
        <w:t>0</w:t>
      </w:r>
      <w:r w:rsidR="00A00715">
        <w:t>106</w:t>
      </w:r>
      <w:r w:rsidRPr="00CD38A3">
        <w:t>/2024),</w:t>
      </w:r>
    </w:p>
    <w:p w:rsidR="00BD5AD7" w:rsidRPr="00CD38A3" w:rsidRDefault="00BD5AD7" w:rsidP="00BD5AD7">
      <w:pPr>
        <w:pStyle w:val="NormalHanging12a"/>
      </w:pPr>
      <w:r w:rsidRPr="00CD38A3">
        <w:t>–</w:t>
      </w:r>
      <w:r w:rsidRPr="00CD38A3">
        <w:tab/>
        <w:t>atsižvelgdamas į Sutarties dėl Europos Sąjungos veikimo 319 straipsnį,</w:t>
      </w:r>
    </w:p>
    <w:p w:rsidR="00BD5AD7" w:rsidRPr="00CD38A3" w:rsidRDefault="00BD5AD7" w:rsidP="00BD5AD7">
      <w:pPr>
        <w:pStyle w:val="NormalHanging12a"/>
      </w:pPr>
      <w:r w:rsidRPr="00CD38A3">
        <w:t>–</w:t>
      </w:r>
      <w:r w:rsidRPr="00CD38A3">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CD38A3">
        <w:rPr>
          <w:rStyle w:val="FootnoteReference"/>
        </w:rPr>
        <w:footnoteReference w:id="8"/>
      </w:r>
      <w:r w:rsidRPr="00CD38A3">
        <w:t>, ypač į jo 70 straipsnį,</w:t>
      </w:r>
    </w:p>
    <w:p w:rsidR="00BD5AD7" w:rsidRPr="00CD38A3" w:rsidRDefault="00BD5AD7" w:rsidP="00BD5AD7">
      <w:pPr>
        <w:pStyle w:val="NormalHanging12a"/>
      </w:pPr>
      <w:r w:rsidRPr="00CD38A3">
        <w:t>–</w:t>
      </w:r>
      <w:r w:rsidRPr="00CD38A3">
        <w:tab/>
        <w:t>atsižvelgdamas į 2018 m. lapkričio 14 d. Europos Parlamento ir Tarybos reglamentą (ES) 2018/1727 dėl Europos Sąjungos bendradarbiavimo baudžiamosios teisenos srityje agentūros (Eurojusto) ir kuriuo pakeičiamas ir panaikinamas Tarybos sprendimas 2002/187/TVR</w:t>
      </w:r>
      <w:r w:rsidRPr="00CD38A3">
        <w:rPr>
          <w:rStyle w:val="FootnoteReference"/>
        </w:rPr>
        <w:footnoteReference w:id="9"/>
      </w:r>
      <w:r w:rsidRPr="00CD38A3">
        <w:t>, ypač į jo 63 straipsnį,</w:t>
      </w:r>
    </w:p>
    <w:p w:rsidR="00BD5AD7" w:rsidRPr="00CD38A3" w:rsidRDefault="00BD5AD7" w:rsidP="00BD5AD7">
      <w:pPr>
        <w:pStyle w:val="NormalHanging12a"/>
      </w:pPr>
      <w:r w:rsidRPr="00CD38A3">
        <w:t>–</w:t>
      </w:r>
      <w:r w:rsidRPr="00CD38A3">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CD38A3">
        <w:rPr>
          <w:rStyle w:val="FootnoteReference"/>
        </w:rPr>
        <w:footnoteReference w:id="10"/>
      </w:r>
      <w:r w:rsidRPr="00CD38A3">
        <w:t>, ypač į jo 105 straipsnį,</w:t>
      </w:r>
    </w:p>
    <w:p w:rsidR="00BD5AD7" w:rsidRPr="00CD38A3" w:rsidRDefault="00BD5AD7" w:rsidP="00BD5AD7">
      <w:pPr>
        <w:pStyle w:val="NormalHanging12a"/>
      </w:pPr>
      <w:r w:rsidRPr="00CD38A3">
        <w:t>–</w:t>
      </w:r>
      <w:r w:rsidRPr="00CD38A3">
        <w:tab/>
        <w:t>atsižvelgdamas į Darbo tvarkos taisyklių 100 straipsnį ir V priedą,</w:t>
      </w:r>
    </w:p>
    <w:p w:rsidR="00BD5AD7" w:rsidRPr="00CD38A3" w:rsidRDefault="00BD5AD7" w:rsidP="00BD5AD7">
      <w:pPr>
        <w:pStyle w:val="NormalHanging12a"/>
      </w:pPr>
      <w:r w:rsidRPr="00CD38A3">
        <w:t>–</w:t>
      </w:r>
      <w:r w:rsidRPr="00CD38A3">
        <w:tab/>
        <w:t>atsižvelgdamas į Piliečių laisvių, teisingumo ir vidaus reikalų komiteto nuomonę,</w:t>
      </w:r>
    </w:p>
    <w:p w:rsidR="00BD5AD7" w:rsidRPr="00CD38A3" w:rsidRDefault="00BD5AD7" w:rsidP="00BD5AD7">
      <w:pPr>
        <w:pStyle w:val="NormalHanging12a"/>
      </w:pPr>
      <w:r w:rsidRPr="00CD38A3">
        <w:t>–</w:t>
      </w:r>
      <w:r w:rsidRPr="00CD38A3">
        <w:tab/>
        <w:t>atsižvelgdamas į Biudžeto kontrolės komiteto pranešimą (A9</w:t>
      </w:r>
      <w:r w:rsidRPr="00CD38A3">
        <w:noBreakHyphen/>
        <w:t>0099/2024),</w:t>
      </w:r>
    </w:p>
    <w:p w:rsidR="00BD5AD7" w:rsidRPr="00CD38A3" w:rsidRDefault="00BD5AD7" w:rsidP="00BD5AD7">
      <w:pPr>
        <w:pStyle w:val="NormalHanging12a"/>
      </w:pPr>
      <w:r w:rsidRPr="00CD38A3">
        <w:t>1.</w:t>
      </w:r>
      <w:r w:rsidRPr="00CD38A3">
        <w:tab/>
        <w:t xml:space="preserve">pritaria Europos Sąjungos bendradarbiavimo baudžiamosios teisenos srityje agentūros </w:t>
      </w:r>
      <w:r w:rsidRPr="00CD38A3">
        <w:lastRenderedPageBreak/>
        <w:t>(Eurojusto) 2022 finansinių metų sąskaitų uždarymui;</w:t>
      </w:r>
    </w:p>
    <w:p w:rsidR="00BD5AD7" w:rsidRPr="00CD38A3" w:rsidRDefault="00BD5AD7" w:rsidP="00BD5AD7">
      <w:pPr>
        <w:pStyle w:val="NormalHanging12a"/>
      </w:pPr>
      <w:r w:rsidRPr="00CD38A3">
        <w:t>2.</w:t>
      </w:r>
      <w:r w:rsidRPr="00CD38A3">
        <w:tab/>
        <w:t xml:space="preserve">paveda Pirmininkei perduoti šį sprendimą Europos Sąjungos bendradarbiavimo baudžiamosios teisenos srityje agentūros (Eurojusto) administracijos direktoriui, Tarybai, Komisijai ir Audito Rūmams ir pasirūpinti, kad jis būtų paskelbtas </w:t>
      </w:r>
      <w:r w:rsidRPr="00CD38A3">
        <w:rPr>
          <w:i/>
        </w:rPr>
        <w:t>Europos Sąjungos oficialiajame leidinyje</w:t>
      </w:r>
      <w:r w:rsidRPr="00CD38A3">
        <w:t xml:space="preserve"> (L serijoje).</w:t>
      </w:r>
    </w:p>
    <w:p w:rsidR="00BD5AD7" w:rsidRPr="00CD38A3" w:rsidRDefault="00BD5AD7" w:rsidP="00BD5AD7"/>
    <w:p w:rsidR="00BD5AD7" w:rsidRPr="00CD38A3" w:rsidRDefault="00BD5AD7" w:rsidP="00BD5AD7">
      <w:pPr>
        <w:widowControl/>
        <w:rPr>
          <w:rFonts w:ascii="Arial" w:hAnsi="Arial" w:cs="Arial"/>
          <w:b/>
        </w:rPr>
        <w:sectPr w:rsidR="00BD5AD7" w:rsidRPr="00CD38A3" w:rsidSect="00CD38A3">
          <w:footnotePr>
            <w:numRestart w:val="eachPage"/>
          </w:footnotePr>
          <w:endnotePr>
            <w:numFmt w:val="decimal"/>
          </w:endnotePr>
          <w:pgSz w:w="11906" w:h="16838"/>
          <w:pgMar w:top="1134" w:right="1418" w:bottom="1418" w:left="1418" w:header="567" w:footer="567" w:gutter="0"/>
          <w:cols w:space="720"/>
          <w:docGrid w:linePitch="326"/>
        </w:sectPr>
      </w:pPr>
    </w:p>
    <w:p w:rsidR="00BD5AD7" w:rsidRPr="00CD38A3" w:rsidRDefault="00D01E91" w:rsidP="00D01E91">
      <w:pPr>
        <w:pStyle w:val="ATHeading3"/>
      </w:pPr>
      <w:r>
        <w:lastRenderedPageBreak/>
        <w:t xml:space="preserve">3. 2024 m. balandžio 11 d. </w:t>
      </w:r>
      <w:r w:rsidRPr="00CD38A3">
        <w:t xml:space="preserve">Europos Parlamento </w:t>
      </w:r>
      <w:r>
        <w:t>rezoliucija</w:t>
      </w:r>
      <w:r w:rsidRPr="00CD38A3">
        <w:t xml:space="preserve"> </w:t>
      </w:r>
      <w:r w:rsidR="00BD5AD7" w:rsidRPr="00CD38A3">
        <w:t>su pastabomis, sudarančiomis neatskiriamą sprendimo dėl Europos Sąjungos bendradarbiavimo baudžiamosios teisenos srityje agentūros (Eurojusto) 2022 finansinių metų biudžeto įvykdymo patvirtinimo dalį</w:t>
      </w:r>
      <w:r>
        <w:t xml:space="preserve"> </w:t>
      </w:r>
      <w:r w:rsidR="00BD5AD7" w:rsidRPr="00CD38A3">
        <w:t>(2023/2168(DEC))</w:t>
      </w:r>
    </w:p>
    <w:p w:rsidR="00BD5AD7" w:rsidRPr="00CD38A3" w:rsidRDefault="00BD5AD7" w:rsidP="00BD5AD7">
      <w:pPr>
        <w:pStyle w:val="EPComma"/>
      </w:pPr>
      <w:r w:rsidRPr="00CD38A3">
        <w:rPr>
          <w:i/>
        </w:rPr>
        <w:t>Europos Parlamentas</w:t>
      </w:r>
      <w:r w:rsidRPr="00CD38A3">
        <w:t>,</w:t>
      </w:r>
    </w:p>
    <w:p w:rsidR="00BD5AD7" w:rsidRPr="00CD38A3" w:rsidRDefault="00BD5AD7" w:rsidP="00BD5AD7">
      <w:pPr>
        <w:pStyle w:val="NormalHanging12a"/>
      </w:pPr>
      <w:r w:rsidRPr="00CD38A3">
        <w:t>–</w:t>
      </w:r>
      <w:r w:rsidRPr="00CD38A3">
        <w:tab/>
        <w:t>atsižvelgdamas į savo sprendimą dėl Europos Sąjungos bendradarbiavimo baudžiamosios teisenos srityje agentūros (Eurojusto) 2022 finansinių metų biudžeto įvykdymo patvirtinimo,</w:t>
      </w:r>
    </w:p>
    <w:p w:rsidR="00BD5AD7" w:rsidRPr="00CD38A3" w:rsidRDefault="00BD5AD7" w:rsidP="00BD5AD7">
      <w:pPr>
        <w:pStyle w:val="NormalHanging12a"/>
      </w:pPr>
      <w:r w:rsidRPr="00CD38A3">
        <w:t>–</w:t>
      </w:r>
      <w:r w:rsidRPr="00CD38A3">
        <w:tab/>
        <w:t>atsižvelgdamas į Darbo tvarkos taisyklių 100 straipsnį ir V priedą,</w:t>
      </w:r>
    </w:p>
    <w:p w:rsidR="00BD5AD7" w:rsidRPr="00CD38A3" w:rsidRDefault="00BD5AD7" w:rsidP="00BD5AD7">
      <w:pPr>
        <w:pStyle w:val="NormalHanging12a"/>
      </w:pPr>
      <w:r w:rsidRPr="00CD38A3">
        <w:t>–</w:t>
      </w:r>
      <w:r w:rsidRPr="00CD38A3">
        <w:tab/>
        <w:t>atsižvelgdamas į Piliečių laisvių, teisingumo ir vidaus reikalų komiteto nuomonę,</w:t>
      </w:r>
    </w:p>
    <w:p w:rsidR="00BD5AD7" w:rsidRPr="00CD38A3" w:rsidRDefault="00BD5AD7" w:rsidP="00BD5AD7">
      <w:pPr>
        <w:pStyle w:val="NormalHanging12a"/>
      </w:pPr>
      <w:r w:rsidRPr="00CD38A3">
        <w:t>–</w:t>
      </w:r>
      <w:r w:rsidRPr="00CD38A3">
        <w:tab/>
        <w:t>atsižvelgdamas į Biudžeto kontrolės komiteto pranešimą (A9</w:t>
      </w:r>
      <w:r w:rsidRPr="00CD38A3">
        <w:noBreakHyphen/>
        <w:t>0099/2024),</w:t>
      </w:r>
    </w:p>
    <w:p w:rsidR="00BD5AD7" w:rsidRPr="00CD38A3" w:rsidRDefault="00BD5AD7" w:rsidP="00BD5AD7">
      <w:pPr>
        <w:pStyle w:val="Normal12Hanging"/>
        <w:rPr>
          <w:szCs w:val="24"/>
          <w:lang w:val="lt-LT"/>
        </w:rPr>
      </w:pPr>
      <w:r w:rsidRPr="00CD38A3">
        <w:rPr>
          <w:lang w:val="lt-LT"/>
        </w:rPr>
        <w:t>A.</w:t>
      </w:r>
      <w:r w:rsidRPr="00CD38A3">
        <w:rPr>
          <w:lang w:val="lt-LT"/>
        </w:rPr>
        <w:tab/>
        <w:t>kadangi, remiantis Europos Sąjungos bendradarbiavimo baudžiamosios teisenos srityje agentūros (Eurojusto) (toliau – Agentūra) pajamų ir išlaidų suvestine</w:t>
      </w:r>
      <w:r w:rsidRPr="00CD38A3">
        <w:rPr>
          <w:rStyle w:val="FootnoteReference"/>
          <w:szCs w:val="24"/>
          <w:lang w:val="lt-LT"/>
        </w:rPr>
        <w:footnoteReference w:id="11"/>
      </w:r>
      <w:r w:rsidRPr="00CD38A3">
        <w:rPr>
          <w:lang w:val="lt-LT"/>
        </w:rPr>
        <w:t>, galutinis jos 2022 finansinių metų biudžetas buvo 50 183 522 EUR, t. y. 5,84 proc. mažesnis nei 2021 m.; kadangi Agentūros biudžeto lėšos beveik išimtinai skiriamos iš Sąjungos biudžeto;</w:t>
      </w:r>
    </w:p>
    <w:p w:rsidR="00BD5AD7" w:rsidRPr="00CD38A3" w:rsidRDefault="00BD5AD7" w:rsidP="00BD5AD7">
      <w:pPr>
        <w:pStyle w:val="Normal12Hanging"/>
        <w:rPr>
          <w:szCs w:val="24"/>
          <w:lang w:val="lt-LT"/>
        </w:rPr>
      </w:pPr>
      <w:r w:rsidRPr="00CD38A3">
        <w:rPr>
          <w:lang w:val="lt-LT"/>
        </w:rPr>
        <w:t>B.</w:t>
      </w:r>
      <w:r w:rsidRPr="00CD38A3">
        <w:rPr>
          <w:lang w:val="lt-LT"/>
        </w:rPr>
        <w:tab/>
        <w:t>kadangi Audito Rūmai savo ataskaitoje dėl Agentūros 2022 finansinių metų metinių finansinių ataskaitų (toliau – Audito Rūmų ataskaita) nurodo gavę pagrįstą patikinimą, kad Agentūros metinės finansinės ataskaitos patikimos, o jose nurodytos operacijos – teisėtos ir tvarkingos;</w:t>
      </w:r>
    </w:p>
    <w:p w:rsidR="00BD5AD7" w:rsidRPr="00CD38A3" w:rsidRDefault="00BD5AD7" w:rsidP="00BD5AD7">
      <w:pPr>
        <w:pStyle w:val="Normal12Hanging"/>
        <w:rPr>
          <w:b/>
          <w:i/>
          <w:szCs w:val="24"/>
          <w:lang w:val="lt-LT"/>
        </w:rPr>
      </w:pPr>
      <w:r w:rsidRPr="00CD38A3">
        <w:rPr>
          <w:b/>
          <w:i/>
          <w:lang w:val="lt-LT"/>
        </w:rPr>
        <w:t>Biudžeto ir finansų valdymas</w:t>
      </w:r>
    </w:p>
    <w:p w:rsidR="00BD5AD7" w:rsidRPr="00CD38A3" w:rsidRDefault="00BD5AD7" w:rsidP="00BD5AD7">
      <w:pPr>
        <w:pStyle w:val="Normal12Hanging"/>
        <w:rPr>
          <w:szCs w:val="24"/>
          <w:lang w:val="lt-LT"/>
        </w:rPr>
      </w:pPr>
      <w:r w:rsidRPr="00CD38A3">
        <w:rPr>
          <w:lang w:val="lt-LT"/>
        </w:rPr>
        <w:t>1.</w:t>
      </w:r>
      <w:r w:rsidRPr="00CD38A3">
        <w:rPr>
          <w:lang w:val="lt-LT"/>
        </w:rPr>
        <w:tab/>
        <w:t>su pasitenkinimu pažymi, jog biudžeto stebėsenos veiksmai prisidėjo prie to, kad biudžeto įvykdymo lygis pasiektų 99,93 proc. 2022 m. įsipareigojimų asignavimų; pažymi, kad einamųjų metų mokėjimų asignavimų panaudojimo lygis siekė 89,22 proc., t. y. buvo 4,64 proc. didesnis nei 2021 m.;</w:t>
      </w:r>
    </w:p>
    <w:p w:rsidR="00BD5AD7" w:rsidRPr="00CD38A3" w:rsidRDefault="00BD5AD7" w:rsidP="00BD5AD7">
      <w:pPr>
        <w:pStyle w:val="Normal12Hanging"/>
        <w:rPr>
          <w:szCs w:val="24"/>
          <w:lang w:val="lt-LT"/>
        </w:rPr>
      </w:pPr>
      <w:r w:rsidRPr="00CD38A3">
        <w:rPr>
          <w:lang w:val="lt-LT"/>
        </w:rPr>
        <w:t>2.</w:t>
      </w:r>
      <w:r w:rsidRPr="00CD38A3">
        <w:rPr>
          <w:lang w:val="lt-LT"/>
        </w:rPr>
        <w:tab/>
        <w:t>pažymi, kad 2022 m. atsirado įvairių naujų finansavimo poreikių, be kita ko, susijusių su naujos bylų valdymo sistemos (CMS) infrastruktūra, sustiprintomis naujos Sunkiausių tarptautinių nusikaltimų įrodymų duomenų bazės (CICED) užduotimis ir dėl infliacijos padidintu darbo užmokesčiu; pažymi, kad šie finansavimo poreikiai buvo patenkinti dviem taisomaisiais biudžetais (iš viso 5,7 mln. EUR) ir atlikus keletą biudžeto lėšų perkėlimų;</w:t>
      </w:r>
    </w:p>
    <w:p w:rsidR="00BD5AD7" w:rsidRPr="00CD38A3" w:rsidRDefault="00BD5AD7" w:rsidP="00BD5AD7">
      <w:pPr>
        <w:pStyle w:val="Normal12Hanging"/>
        <w:rPr>
          <w:szCs w:val="24"/>
          <w:lang w:val="lt-LT"/>
        </w:rPr>
      </w:pPr>
      <w:r w:rsidRPr="00CD38A3">
        <w:rPr>
          <w:lang w:val="lt-LT"/>
        </w:rPr>
        <w:t>3.</w:t>
      </w:r>
      <w:r w:rsidRPr="00CD38A3">
        <w:rPr>
          <w:lang w:val="lt-LT"/>
        </w:rPr>
        <w:tab/>
        <w:t xml:space="preserve">pažymi, kad 2022 m. Agentūra įdiegė naują Komisijos finansinio valdymo ir apskaitos sistemą (SUMMA) ir išsprendė susijusias technines problemas, kurios turėjo įtakos Agentūros biudžeto vykdymui ir ataskaitų teikimui; visų pirma atkreipia dėmesį į Agentūros nuomonę, kad šios problemos taip pat turėjo įtakos pavėluotai atliktų mokėjimų lygiui (52,9 proc.) ir apsunkino sričių, kuriose išlaidos ypač svyruoja, pavyzdžiui, koordinacinių pasitarimų (KP), stebėseną; šiuo atžvilgiu atkreipia dėmesį į </w:t>
      </w:r>
      <w:r w:rsidRPr="00CD38A3">
        <w:rPr>
          <w:lang w:val="lt-LT"/>
        </w:rPr>
        <w:lastRenderedPageBreak/>
        <w:t xml:space="preserve">Audito Rūmų ataskaitoje pateiktą pastabą, kad Agentūra, pažeisdama kai kurias Finansinio reglamento nuostatas, neatnaujino savo rizikos valdymo ir kontrolės strategijos, kad apimtų su SUMMA sistemos įgyvendinimu susijusią riziką, taip pat neatnaujino savo finansinių grandinių ir </w:t>
      </w:r>
      <w:proofErr w:type="spellStart"/>
      <w:r w:rsidRPr="00CD38A3">
        <w:rPr>
          <w:i/>
          <w:iCs/>
          <w:lang w:val="lt-LT"/>
        </w:rPr>
        <w:t>ex</w:t>
      </w:r>
      <w:proofErr w:type="spellEnd"/>
      <w:r w:rsidRPr="00CD38A3">
        <w:rPr>
          <w:i/>
          <w:iCs/>
          <w:lang w:val="lt-LT"/>
        </w:rPr>
        <w:t> ante</w:t>
      </w:r>
      <w:r w:rsidRPr="00CD38A3">
        <w:rPr>
          <w:lang w:val="lt-LT"/>
        </w:rPr>
        <w:t xml:space="preserve"> bei </w:t>
      </w:r>
      <w:proofErr w:type="spellStart"/>
      <w:r w:rsidRPr="00CD38A3">
        <w:rPr>
          <w:i/>
          <w:iCs/>
          <w:lang w:val="lt-LT"/>
        </w:rPr>
        <w:t>ex</w:t>
      </w:r>
      <w:proofErr w:type="spellEnd"/>
      <w:r w:rsidRPr="00CD38A3">
        <w:rPr>
          <w:i/>
          <w:iCs/>
          <w:lang w:val="lt-LT"/>
        </w:rPr>
        <w:t> </w:t>
      </w:r>
      <w:proofErr w:type="spellStart"/>
      <w:r w:rsidRPr="00CD38A3">
        <w:rPr>
          <w:i/>
          <w:iCs/>
          <w:lang w:val="lt-LT"/>
        </w:rPr>
        <w:t>post</w:t>
      </w:r>
      <w:proofErr w:type="spellEnd"/>
      <w:r w:rsidRPr="00CD38A3">
        <w:rPr>
          <w:lang w:val="lt-LT"/>
        </w:rPr>
        <w:t xml:space="preserve"> patikrų strategijos ir konkrečiai netikrina tos sistemos naudotojui suteiktų teisių, dėl to kyla rizika, kad naudotojų funkcijos SUMMA sistemoje gali būti netinkamai priskirtos ir atnaujintos;</w:t>
      </w:r>
    </w:p>
    <w:p w:rsidR="00BD5AD7" w:rsidRPr="00CD38A3" w:rsidRDefault="00BD5AD7" w:rsidP="00BD5AD7">
      <w:pPr>
        <w:pStyle w:val="NormalHanging12a"/>
      </w:pPr>
      <w:r w:rsidRPr="00CD38A3">
        <w:t>4.</w:t>
      </w:r>
      <w:r w:rsidRPr="00CD38A3">
        <w:tab/>
        <w:t xml:space="preserve">susirūpinęs atkreipia dėmesį į Audito Rūmų ataskaitoje pateiktą pastabą, kad Agentūra nesilaikė Finansiniame reglamente nustatytų mokėjimo terminų 1 222 iš 2 308 mokėjimų atvejų (52,9 proc.); primena ir pažymi, kad iš visų atvejų 720 atvejų (31,5 proc.) </w:t>
      </w:r>
      <w:proofErr w:type="spellStart"/>
      <w:r w:rsidRPr="00CD38A3">
        <w:t>mokėjimus</w:t>
      </w:r>
      <w:proofErr w:type="spellEnd"/>
      <w:r w:rsidRPr="00CD38A3">
        <w:t xml:space="preserve"> buvo vėluojama atlikti daugiau nei 30 dienų; pažymi, kad šį trūkumą, dėl kurio, Audito Rūmų nuomone, Agentūrai kyla finansinė rizika ir rizika reputacijai ir kuris prieštarauja ekonomiškumo principui, Agentūra priskiria SUMMA sistemos įgyvendinimui; atkreipia dėmesį į Agentūros atsakymą, kad SUMMA sistema buvo bandomajame etape, todėl buvo vėluojama ir kilo techninių sunkumų tvarkant operacijas, o tai turėjo įtakos darbuotojų mokymui ir sukėlė tam tikrų sunkumų biudžeto valdymo srityje; galiausiai pažymi, kad, nepaisant padidėjusio vėluojančių mokėjimų atvejų skaičiaus, Agentūra nemokėjo jokių delspinigių; ragina Agentūrą visapusiškai reaguoti į šią pastabą ir imtis šalinti techninius nesklandumus apdorojant operacijas ir pranešti biudžeto įvykdymą tvirtinančiai institucijai apie padarytą pažangą;</w:t>
      </w:r>
    </w:p>
    <w:p w:rsidR="00BD5AD7" w:rsidRPr="00CD38A3" w:rsidRDefault="00BD5AD7" w:rsidP="00BD5AD7">
      <w:pPr>
        <w:pStyle w:val="Normal12Hanging"/>
        <w:rPr>
          <w:b/>
          <w:i/>
          <w:szCs w:val="24"/>
          <w:lang w:val="lt-LT"/>
        </w:rPr>
      </w:pPr>
      <w:r w:rsidRPr="00CD38A3">
        <w:rPr>
          <w:b/>
          <w:i/>
          <w:lang w:val="lt-LT"/>
        </w:rPr>
        <w:t>Veikla</w:t>
      </w:r>
    </w:p>
    <w:p w:rsidR="00BD5AD7" w:rsidRPr="00CD38A3" w:rsidRDefault="00BD5AD7" w:rsidP="00BD5AD7">
      <w:pPr>
        <w:pStyle w:val="NormalHanging12a"/>
        <w:rPr>
          <w:szCs w:val="24"/>
        </w:rPr>
      </w:pPr>
      <w:r w:rsidRPr="00CD38A3">
        <w:t>5.</w:t>
      </w:r>
      <w:r w:rsidRPr="00CD38A3">
        <w:tab/>
        <w:t>pažymi, kad Agentūra naudoja pagrindinius veiklos rezultatų rodiklius (PVRR) savo veiklos teikiamai pridėtinei vertei nustatyti ir savo biudžeto valdymui pagerinti; atkreipia dėmesį į naują Agentūros 2022–2024 m. daugiametę strategiją, kurioje nustatyti penki tikslai, kurių kiekvienas apima įvairias strategines veiksmų sritis; pažymi, kad Agentūra savo 2022 m. metiniame darbo plane apibrėžė 67 PVRR, o daugiametėje strategijoje apibrėžė 14 daugiamečių PVRR; pažymi, kad, išskyrus PVRR, kurie laikomi neišmatuojamais arba nesvarbiais, Agentūra galutines reikšmes pasiekė dėl 47 iš 59 PVRR (88 proc.), o tai yra geresnis rodiklis, palyginti su 2021 m. (73 proc.); pažymi, kad 2022 m. Agentūra darė nuolatinę pažangą siekdama daugiamečių PVRR – 10 PVRR (72 proc.) galutines reikšmes numatoma pasiekti, trims PVRR (21 proc.) reikia skirti papildomą dėmesį, o apie galutinius daugiametės strategijos PVRR rezultatus bus pranešta 2024 m. pabaigoje;</w:t>
      </w:r>
    </w:p>
    <w:p w:rsidR="00BD5AD7" w:rsidRPr="00CD38A3" w:rsidRDefault="00BD5AD7" w:rsidP="00BD5AD7">
      <w:pPr>
        <w:pStyle w:val="NormalHanging12a"/>
      </w:pPr>
      <w:r w:rsidRPr="00CD38A3">
        <w:t>6.</w:t>
      </w:r>
      <w:r w:rsidRPr="00CD38A3">
        <w:tab/>
        <w:t xml:space="preserve">pažymi, kad valstybių narių Agentūrai perduodamų bylų skaičius toliau didėjo ir 2022 m. iš viso išnagrinėtos 11 544 bylos (iš kurių 5 227 – naujai nagrinėjamos bylos), o tai yra 14 proc. padidėjimas, palyginti su 2021 m.; šiuo atžvilgiu džiaugiasi Agentūros indėliu teikiant teisines konsultacijas, analizes ir operatyvinę paramą, kurios padėjo pasiekti 941 veiklos rezultatą, susijusį su 528 bylomis, įskaitant sudėtingas bylas, kurias išnagrinėjus buvo suimti neteisėtai žmones (įskaitant migrantus) gabenę asmenys, taip pat išardyti nusikaltėlių tinklai, veikiantys tokiose srityse kaip pinigų plovimas, seksualinis išnaudojimas, investicinis sukčiavimas internete arba prekyba narkotikais, arba prieš juos imtasi veiksmų; be to, patenkintas pažymi, kad 2022 m. Agentūra rėmė 265 jungtines tyrimo grupes (JTG) (iš kurių 78 – naujai sudarytos JTG), surengė 528 koordinacinius pasitarimus ir suorganizavo 22 koordinavimo centrus (KC), padėjo įvykdyti 1 262 Europos arešto orderius (iš kurių 504 – naujose bylose išduoti orderiai) ir sudarė sąlygas panaudoti 5 415 Europos tyrimo orderių (iš kurių apytiksliai pusė – naujai išduoti orderiai); pažymi, kad Agentūra išlaiko bendradarbiavimo santykius su </w:t>
      </w:r>
      <w:r w:rsidR="00A00715" w:rsidRPr="00A00715">
        <w:t>Europos kovos su sukčiavimu tarnyb</w:t>
      </w:r>
      <w:r w:rsidR="00A00715">
        <w:t>a (</w:t>
      </w:r>
      <w:r w:rsidRPr="00CD38A3">
        <w:t>OLAF</w:t>
      </w:r>
      <w:r w:rsidR="00A00715">
        <w:t>)</w:t>
      </w:r>
      <w:r w:rsidRPr="00CD38A3">
        <w:t xml:space="preserve">, siekdama stiprinti kovą su </w:t>
      </w:r>
      <w:r w:rsidRPr="00CD38A3">
        <w:lastRenderedPageBreak/>
        <w:t xml:space="preserve">nusikaltimais, kurie kenkia </w:t>
      </w:r>
      <w:r w:rsidR="00A00715">
        <w:t>Sąjungos</w:t>
      </w:r>
      <w:r w:rsidR="00A00715" w:rsidRPr="00CD38A3">
        <w:t xml:space="preserve"> </w:t>
      </w:r>
      <w:r w:rsidRPr="00CD38A3">
        <w:t>finansiniams interesams;</w:t>
      </w:r>
    </w:p>
    <w:p w:rsidR="00BD5AD7" w:rsidRPr="00CD38A3" w:rsidRDefault="00BD5AD7" w:rsidP="00BD5AD7">
      <w:pPr>
        <w:pStyle w:val="NormalHanging12a"/>
        <w:rPr>
          <w:szCs w:val="24"/>
        </w:rPr>
      </w:pPr>
      <w:r w:rsidRPr="00CD38A3">
        <w:t>7.</w:t>
      </w:r>
      <w:r w:rsidRPr="00CD38A3">
        <w:tab/>
        <w:t>džiaugiasi Agentūros veiksmais, kurių ji ėmėsi reaguodama į neteisėtą ir neišprovokuotą Rusijos invaziją į Ukrainą 2022 m.; pažymi, jog, praėjus trims savaitėms nuo karo pradžios, Agentūra parėmė jungtinės tyrimo grupės (JTG), tiriančios sunkiausius tarptautinius nusikaltimus, kurie, kaip įtariama, buvo padaryti Ukrainoje, sudarymą, kad būtų palengvinti atitinkamose valstybėse atliekami tyrimai ir vykdomi baudžiamieji persekiojimai; pažymi, kad Agentūra suteikė nacionaliniams biurams teisinę ir operatyvinę paramą, susijusią su JTG susitarimo taikymo srities praplėtimu įtraukiant naujas šalis (Estiją, Latviją, Rumuniją ir Slovakiją), taip pat pateikė teisines analizes ir nuomones dėl Tarptautinio baudžiamojo teismo dalyvavimo JTG; taip pat pažymi, kad Agentūra teikia operatyvinę paramą Komisijos sudarytai Turto įšaldymo ir areštavimo darbo grupei koordinuodama valstybių narių veiksmus, kuriais užtikrinamas Sąjungos sankcijų vykdymas pagal baudžiamąją teisę, ir ji tai daro vykdydama keletą veiksmų, pavyzdžiui, reguliariai atlikdama asmenų ir įmonių, kuriems Sąjunga taiko sankcijas, kryžminį patikrinimą remdamasi Agentūros duomenimis apie esamas bylas, kurias nagrinėja Agentūra, ir nacionaliniu lygmeniu rinkdama atitinkamą informaciją apie ankstesnius ir vykdomus tyrimus, susijusius su į sankcijų sąrašus įtrauktais asmenimis ir įmonėmis, siekiant palengvinti baudžiamąjį procesą;</w:t>
      </w:r>
    </w:p>
    <w:p w:rsidR="00BD5AD7" w:rsidRPr="00CD38A3" w:rsidRDefault="00BD5AD7" w:rsidP="00F11F42">
      <w:pPr>
        <w:pStyle w:val="NormalHanging12a"/>
      </w:pPr>
      <w:r w:rsidRPr="00CD38A3">
        <w:t>8.</w:t>
      </w:r>
      <w:r w:rsidRPr="00CD38A3">
        <w:tab/>
        <w:t>palankiai vertina tai, kad 2022 m. Agentūra sustiprino savo operatyvinį ir strateginį bendradarbiavimą su įvairiomis suinteresuotosiomis šalimis, pavyzdžiui, Europos teisingumo ir vidaus reikalų (TVR) agentūromis, Sąjungos institucijomis, OLAF, Europos prokuratūra, taip pat teismo specialistų tinklais, trečiosiomis šalimis ir tarptautinėmis organizacijomis; atkreipia ypatingą dėmesį į Agentūros bendradarbiavimą su Europos Sąjungos didelės apimties IT sistemų laisvės, saugumo ir teisingumo erdvėje operacijų valdymo agentūra (</w:t>
      </w:r>
      <w:proofErr w:type="spellStart"/>
      <w:r w:rsidRPr="00CD38A3">
        <w:t>eu</w:t>
      </w:r>
      <w:proofErr w:type="spellEnd"/>
      <w:r w:rsidRPr="00CD38A3">
        <w:t xml:space="preserve">-LISA) rengiant bendrą ataskaitą apie dirbtinį intelektą (DI), kuriuo grindžiamas tarpvalstybinis bendradarbiavimas baudžiamosios teisenos srityje, </w:t>
      </w:r>
      <w:r w:rsidR="00A00715" w:rsidRPr="00A00715">
        <w:t>Europos Sąjungos teisėsaugos mokymo agentūr</w:t>
      </w:r>
      <w:r w:rsidR="00A00715">
        <w:t>a</w:t>
      </w:r>
      <w:r w:rsidR="00A00715" w:rsidRPr="00A00715">
        <w:t xml:space="preserve"> (CEPOL)</w:t>
      </w:r>
      <w:r w:rsidRPr="00CD38A3">
        <w:t xml:space="preserve"> rengiant 16 kursų apie teisminį bendradarbiavimą, </w:t>
      </w:r>
      <w:r w:rsidR="00A00715" w:rsidRPr="00A00715">
        <w:t>Europos Sąjungos teisėsaugos bendradarbiavimo agentūr</w:t>
      </w:r>
      <w:r w:rsidR="00A00715">
        <w:t>a (Europolu</w:t>
      </w:r>
      <w:r w:rsidR="00A00715" w:rsidRPr="00A00715">
        <w:t>)</w:t>
      </w:r>
      <w:r w:rsidRPr="00CD38A3">
        <w:t xml:space="preserve"> įgyvendinant SIRIUS projektą ir diegiant Europolo paieškos sistemą „yra atitiktis“ / „nėra atitikties“, taip pat su nacionalinėmis 20 valstybių narių institucijomis, Europolu, OLAF ir Europos prokuratūra įgyvendinant operaciją SENTINAL, kuria kovojama su sukčiavimu, susijusiu su ekonomikos gaivinimui po COVID-19 skirtomis lėšomis; atkreipia dėmesį į Agentūros indėlį į Komisijos iniciatyvas teisingumo </w:t>
      </w:r>
      <w:proofErr w:type="spellStart"/>
      <w:r w:rsidRPr="00CD38A3">
        <w:t>skaitmenizacijos</w:t>
      </w:r>
      <w:proofErr w:type="spellEnd"/>
      <w:r w:rsidRPr="00CD38A3">
        <w:t xml:space="preserve"> srityje (įskaitant SIS II, CMS, ECRIS-TCN); pažymi, kad Agentūra remiasi nuolat augančiu kontaktinių asmenų trečiųjų šalių kompetentingose institucijose tinklu, o 2022 m. bendras Agentūros kontaktinių asmenų skaičius išaugo įtraukus Australiją, Bahreiną ir Maroką; džiaugiasi, kad Agentūra plečia bendradarbiavimą baudžiamosiose bylose tarptautiniu lygmeniu su pietų šalimis partnerėmis, visų pirma per Europos ir Viduržemio jūros regiono valstybių teisingumo programą ir ES finansuojamą projektą, kuriame daugiausia dėmesio skiriama tarpvalstybiniam bendradarbiavimui baudžiamosios teisenos srityje su Vakarų Balkanais;</w:t>
      </w:r>
    </w:p>
    <w:p w:rsidR="00BD5AD7" w:rsidRPr="00CD38A3" w:rsidRDefault="00BD5AD7" w:rsidP="001B69F2">
      <w:pPr>
        <w:pStyle w:val="NormalHanging12a"/>
      </w:pPr>
      <w:r w:rsidRPr="00CD38A3">
        <w:t>9.</w:t>
      </w:r>
      <w:r w:rsidRPr="00CD38A3">
        <w:tab/>
        <w:t>teigiamai vertina tarpvalstybinį teisminių institucijų bendradarbiavimą, kurį palengvina Agentūra, ir glaudų bendradarbiavimą su visais baudžiamosios teisenos grandinės dalyviais, nes taip bendradarbiaujant pavyko suimti daugiau kaip 4 000 įtariamųjų, konfiskuoti ir (arba) įšaldyti beveik 3 mlrd. EUR vertės nusikalstamu būdu įgytą turtą ir konfiskuoti beveik 12 mlrd. EUR vertės narkotikų;</w:t>
      </w:r>
    </w:p>
    <w:p w:rsidR="00BD5AD7" w:rsidRPr="00CD38A3" w:rsidRDefault="00BD5AD7" w:rsidP="00F11F42">
      <w:pPr>
        <w:pStyle w:val="NormalHanging12a"/>
        <w:rPr>
          <w:b/>
          <w:i/>
          <w:szCs w:val="24"/>
        </w:rPr>
      </w:pPr>
      <w:r w:rsidRPr="00CD38A3">
        <w:rPr>
          <w:b/>
          <w:i/>
        </w:rPr>
        <w:lastRenderedPageBreak/>
        <w:t>Veiksmingumas ir nauda</w:t>
      </w:r>
    </w:p>
    <w:p w:rsidR="00BD5AD7" w:rsidRPr="00CD38A3" w:rsidRDefault="00BD5AD7" w:rsidP="000F0C8D">
      <w:pPr>
        <w:pStyle w:val="NormalHanging12a"/>
        <w:rPr>
          <w:szCs w:val="24"/>
        </w:rPr>
      </w:pPr>
      <w:r w:rsidRPr="00CD38A3">
        <w:t>10.</w:t>
      </w:r>
      <w:r w:rsidRPr="00CD38A3">
        <w:tab/>
        <w:t xml:space="preserve">atkreipia dėmesį į tai, kad Agentūra ne tik įdiegė SUMMA sistemą, bet ir toliau stiprino savo veikla grindžiamo valdymo procesus ir priemones, didindama savo planavimo priemonės efektyvumą, duomenų kokybę / vientisumą ir </w:t>
      </w:r>
      <w:proofErr w:type="spellStart"/>
      <w:r w:rsidRPr="00CD38A3">
        <w:t>panaudojamumą</w:t>
      </w:r>
      <w:proofErr w:type="spellEnd"/>
      <w:r w:rsidRPr="00CD38A3">
        <w:t xml:space="preserve">, įdiegdama naują veiklos stebėjimo priemonę ir toliau laipsniškai pareidama nuo išdirbio prie PVRR; džiaugiasi, kad Agentūra pradėjo diskusijas su Europolu siekdama išnagrinėti galimybes ateityje dalytis medicininėmis paslaugomis; taip pat džiaugiasi Agentūros sprendimu toliau taikyti tam tikrus per </w:t>
      </w:r>
      <w:r w:rsidR="00F11F42">
        <w:t xml:space="preserve">COVID-19 </w:t>
      </w:r>
      <w:r w:rsidRPr="00CD38A3">
        <w:t>pandemiją sukurtus efektyvius sprendimus; remdamasis Agentūros atsakymais į Parlamento klausimus raštu, pažymi, kad 2022 m. Agentūra internete surengė 47 proc. koordinacinių pasitarimų ir visų darbuotojų mokymo ir atrankos procedūrų, taip gerokai sumažindama susijusias finansines ir žmogiškųjų išteklių sąnaudas, be to, 29 proc. visų koordinacinių pasitarimų surengė mišriu režimu;</w:t>
      </w:r>
    </w:p>
    <w:p w:rsidR="00BD5AD7" w:rsidRPr="00CD38A3" w:rsidRDefault="00BD5AD7" w:rsidP="00BD5AD7">
      <w:pPr>
        <w:pStyle w:val="NormalHanging12a"/>
        <w:rPr>
          <w:szCs w:val="24"/>
        </w:rPr>
      </w:pPr>
      <w:r w:rsidRPr="00CD38A3">
        <w:t>11.</w:t>
      </w:r>
      <w:r w:rsidRPr="00CD38A3">
        <w:tab/>
        <w:t>pažymi, kad, siekiant didesnio efektyvumo, 2022 m. pradėti įgyvendinti du organizacijos lygmens projektai – Agentūros savitarnos portalas ir „</w:t>
      </w:r>
      <w:proofErr w:type="spellStart"/>
      <w:r w:rsidRPr="00CD38A3">
        <w:t>Pexip</w:t>
      </w:r>
      <w:proofErr w:type="spellEnd"/>
      <w:r w:rsidRPr="00CD38A3">
        <w:t>“, įdiegta nauja vaizdo konferencijų sistema, kuri skirta koordinaciniams pasitarimams ir koordinavimo centrams ir kurioje vienu metu gali būti užtikrinamas sinchroninis vertimas ne mažiau kaip į 10 kalbų; be to, pažymi, kad buvo užbaigta esamo ekstraneto migracija ir tiekėjų, pakeisiančių bibliotekos sistemą, atranka, o sertifikuoto e. parašo priemonė yra toliau kuriama ir ją ketinama užbaigti 2024 m.; džiaugiasi, kad Agentūra įgyvendino keturis naujus SYSPER modulius („Vertinimas“, „Pareigų pavadinimai / pareigų aprašai“, NDP, „Pranešimų teikimas“), kurie papildė ankstesniais metais jau įgyvendintus penkis modulius; atkreipia dėmesį į Agentūros įsipareigojimą iki 2024 m. visiškai įgyvendinti SYSPER;</w:t>
      </w:r>
    </w:p>
    <w:p w:rsidR="00BD5AD7" w:rsidRPr="00CD38A3" w:rsidRDefault="00BD5AD7" w:rsidP="00BD5AD7">
      <w:pPr>
        <w:pStyle w:val="NormalHanging12a"/>
        <w:rPr>
          <w:szCs w:val="24"/>
        </w:rPr>
      </w:pPr>
      <w:r w:rsidRPr="00CD38A3">
        <w:t>12.</w:t>
      </w:r>
      <w:r w:rsidRPr="00CD38A3">
        <w:tab/>
        <w:t xml:space="preserve">atsižvelgdamas į Audito Rūmų ataskaitą, pažymi, kad Agentūra dar nėra tarp agentūrų, parengusių veiklos planus, kuriais siekiama gerinti energijos vartojimo efektyvumą ir savo veiklos poveikio klimatui neutralumą, turinčių kokios nors formos aplinkosaugos ataskaitas, integruotas į jų metines veiklos ataskaitas, arba gavusių </w:t>
      </w:r>
      <w:r w:rsidR="00F11F42">
        <w:t>A</w:t>
      </w:r>
      <w:r w:rsidR="00F11F42" w:rsidRPr="00F11F42">
        <w:t>plinkosaugos vadybos ir audito sistemos (</w:t>
      </w:r>
      <w:r w:rsidRPr="00CD38A3">
        <w:t>EMAS</w:t>
      </w:r>
      <w:r w:rsidR="00F11F42">
        <w:t>)</w:t>
      </w:r>
      <w:r w:rsidRPr="00CD38A3">
        <w:t xml:space="preserve"> registraciją; primena, kad 2021 m. Agentūra inicijavo EMAS / ISO 14001 atitikties sistemos įgyvendinimą; šiuo atžvilgiu pažymi, kad 2022 m. Agentūra gavo išorės konsultacijų bendrovės parengtą galutinę ataskaitą, įskaitant visą atitinkamą informaciją, susijusią su Nyderlanduose galiojančiomis aplinkosaugos srities taisyklėmis; taip pat pažymi, kad 2022 m. Agentūra prisijungė prie konkurso konsultavimo aplinkos valdymo sistemų ir išmetamo šiltnamio efektą sukeliančių dujų kiekio mažinimo ir kompensavimo klausimais paslaugoms teikti;</w:t>
      </w:r>
    </w:p>
    <w:p w:rsidR="00BD5AD7" w:rsidRPr="00CD38A3" w:rsidRDefault="00BD5AD7" w:rsidP="00BD5AD7">
      <w:pPr>
        <w:pStyle w:val="Normal12Hanging"/>
        <w:rPr>
          <w:b/>
          <w:i/>
          <w:szCs w:val="24"/>
          <w:lang w:val="lt-LT"/>
        </w:rPr>
      </w:pPr>
      <w:r w:rsidRPr="00CD38A3">
        <w:rPr>
          <w:b/>
          <w:i/>
          <w:lang w:val="lt-LT"/>
        </w:rPr>
        <w:t>Personalo politika</w:t>
      </w:r>
    </w:p>
    <w:p w:rsidR="00BD5AD7" w:rsidRPr="00CD38A3" w:rsidRDefault="00BD5AD7" w:rsidP="00BD5AD7">
      <w:pPr>
        <w:pStyle w:val="Normal12Hanging"/>
        <w:rPr>
          <w:szCs w:val="24"/>
          <w:lang w:val="lt-LT"/>
        </w:rPr>
      </w:pPr>
      <w:r w:rsidRPr="00CD38A3">
        <w:rPr>
          <w:lang w:val="lt-LT"/>
        </w:rPr>
        <w:t>13.</w:t>
      </w:r>
      <w:r w:rsidRPr="00CD38A3">
        <w:rPr>
          <w:lang w:val="lt-LT"/>
        </w:rPr>
        <w:tab/>
        <w:t>pažymi, kad 2022 m. gruodžio 31 d. Agentūros etatų planas buvo įgyvendintas 100 proc. (taip pat kaip ir 2021 m.) – iš 221 laikinųjų darbuotojų (TA) etato, numatyto 2022 m. Sąjungos biudžete, paskirtas 221 laikinasis darbuotojas, tuo tarpu 209 iš 221 TA buvo paskirti į pareigas, o 12 buvo nusiųsti pasiūlymo raštai; pažymi, kad, be to, 2022 m. Agentūroje dirbo 18 sutartininkų ir 22 deleguotieji nacionaliniai ekspertai; taip pat pažymi, kad, atlikus darbuotojų perskirstymą, 53 darbuotojai buvo perkelti į aukštesnį lygį;</w:t>
      </w:r>
    </w:p>
    <w:p w:rsidR="00BD5AD7" w:rsidRPr="00CD38A3" w:rsidRDefault="00BD5AD7" w:rsidP="00BD5AD7">
      <w:pPr>
        <w:pStyle w:val="NormalHanging12a"/>
      </w:pPr>
      <w:r w:rsidRPr="00CD38A3">
        <w:t>14.</w:t>
      </w:r>
      <w:r w:rsidRPr="00CD38A3">
        <w:tab/>
        <w:t xml:space="preserve">atkreipia dėmesį į 2022 m. duomenis apie lyčių pusiausvyrą Agentūroje: 6 vyrai (60 proc.) ir 4 moterys (40 proc.) vyresniosios ir </w:t>
      </w:r>
      <w:proofErr w:type="spellStart"/>
      <w:r w:rsidRPr="00CD38A3">
        <w:t>viduriniosios</w:t>
      </w:r>
      <w:proofErr w:type="spellEnd"/>
      <w:r w:rsidRPr="00CD38A3">
        <w:t xml:space="preserve"> grandies vadovų </w:t>
      </w:r>
      <w:r w:rsidRPr="00CD38A3">
        <w:lastRenderedPageBreak/>
        <w:t>pareigybėse, 16 vyrų (64 proc.) ir 9 moterys (36 proc.) Agentūros vykdomojoje valdyboje; Agentūroje iš viso dirba 85 vyrai (33 proc.) ir 175 moterys (67 proc.); ragina Agentūrą užtikrinti geresnę lyčių pusiausvyrą visais personalo lygmenimis ir toliau skatinti moteris kandidatuoti į vadovaujamąsias pareigas, taip pat vyrus kandidatuoti išorės atrankos procedūrose į likusias pareigas; pripažįsta, kad Agentūra nėra atsakinga už savo vykdomosios valdybos (toliau – kolegija) sudėtį, nes nacionalinius narius į kolegiją tiesiogiai skiria atitinkamos valstybės narės; prašo Komisijos ir valstybių narių atsižvelgti į tai, kad svarbu užtikrinti lyčių pusiausvyrą skiriant savo narius į kolegiją;</w:t>
      </w:r>
    </w:p>
    <w:p w:rsidR="00BD5AD7" w:rsidRPr="00CD38A3" w:rsidRDefault="00BD5AD7" w:rsidP="00BD5AD7">
      <w:pPr>
        <w:pStyle w:val="NormalHanging12a"/>
        <w:rPr>
          <w:szCs w:val="24"/>
        </w:rPr>
      </w:pPr>
      <w:r w:rsidRPr="00CD38A3">
        <w:t>15.</w:t>
      </w:r>
      <w:r w:rsidRPr="00CD38A3">
        <w:tab/>
        <w:t>pažymi, kad 2017–2022 m. Agentūra konsultavosi su išorės advokatų kontora, kurios specializacija – Sąjungos tarnautojų teisė, dėl kelių pagalbos prašymų, susijusių su tariamu priekabiavimu; pažymi, kad dėl 2021 m. gauto pagalbos prašymo pradėti du atskiri administraciniai tyrimai, kuriuose Agentūra prašė dviejų išorės tyrėjų paramos; pažymi, kad abiem atvejais tyrimai buvo užbaigti nesiimant tolesnių veiksmų, o vieno iš tyrimų byla buvo perduota nagrinėti teismui; ragina Agentūrą informuoti biudžeto įvykdymą tvirtinančią instituciją apie šio klausimo sprendimo rezultatą;</w:t>
      </w:r>
    </w:p>
    <w:p w:rsidR="00BD5AD7" w:rsidRPr="00CD38A3" w:rsidRDefault="00BD5AD7" w:rsidP="00BD5AD7">
      <w:pPr>
        <w:pStyle w:val="NormalHanging12a"/>
        <w:rPr>
          <w:szCs w:val="24"/>
        </w:rPr>
      </w:pPr>
      <w:r w:rsidRPr="00CD38A3">
        <w:t>16.</w:t>
      </w:r>
      <w:r w:rsidRPr="00CD38A3">
        <w:tab/>
        <w:t xml:space="preserve">atkreipia dėmesį į tai, kad 2022 m. Agentūra priėmė Pareigūnų tarnybos nuostatų įgyvendinimo taisykles, be kita ko, susijusias su administracinių tyrimų ir drausminių procedūrų atlikimu, darbuotojų, vykdančių tarnybą trečiojoje šalyje, atostogomis kilmės šalyje ir mokymosi išmokos, skiriamos darbuotojams tam tikromis sąlygomis, mokėjimu; palankiai vertina priemones, kurių Agentūra ėmėsi siekdama integruoti neįgaliuosius, taip pat Agentūros įsipareigojimą, atsižvelgiant į įgyvendinamą žmogiškųjų išteklių sistemą, priimti Įvairovės ir </w:t>
      </w:r>
      <w:proofErr w:type="spellStart"/>
      <w:r w:rsidRPr="00CD38A3">
        <w:t>įtraukties</w:t>
      </w:r>
      <w:proofErr w:type="spellEnd"/>
      <w:r w:rsidRPr="00CD38A3">
        <w:t xml:space="preserve"> chartiją, kuriai pritarė TVR tinklo darbo grupė įvairovės ir </w:t>
      </w:r>
      <w:proofErr w:type="spellStart"/>
      <w:r w:rsidRPr="00CD38A3">
        <w:t>įtraukties</w:t>
      </w:r>
      <w:proofErr w:type="spellEnd"/>
      <w:r w:rsidRPr="00CD38A3">
        <w:t xml:space="preserve"> klausimais;</w:t>
      </w:r>
    </w:p>
    <w:p w:rsidR="00BD5AD7" w:rsidRPr="00CD38A3" w:rsidRDefault="00BD5AD7" w:rsidP="00BD5AD7">
      <w:pPr>
        <w:pStyle w:val="NormalHanging12a"/>
      </w:pPr>
      <w:r w:rsidRPr="00CD38A3">
        <w:t>17.</w:t>
      </w:r>
      <w:r w:rsidRPr="00CD38A3">
        <w:tab/>
        <w:t>pažymi, kad iki 2022 m. kovo mėn. Agentūros darbuotojai daugiausia dirbo nuotoliniu būdu; pažymi, kad nuo 2022 m. balandžio mėn. visi darbuotojai grįžo dirbti į Agentūros patalpas; šiuo atžvilgiu pažymi, kad Agentūra nustatė pereinamojo laikotarpio priemones, susijusias su darbu biure ir nuotoliniu darbu, ir surengė praktinius seminarus, kad padėtų darbuotojams psichologiškai prisitaikyti prie sugrįžimo į biurą dvejus metus be pertraukų dirbus nuotoliniu būdu; taip pat pažymi, kad iš Agentūros 2023 m. darbuotojų apklausos rezultatų matyti, jog gerovės priemonės, kurių Agentūra ėmėsi 2022 m., buvo veiksmingos siekiant sušvelninti užsitęsusio nuotolinio darbo poveikį darbuotojams; visų pirma atkreipia dėmesį į tai, kad 96 proc. respondentų teigiamai įvertino koordinavimo su komandos nariais galimybę nepaisant to, kad buvo dirbama skirtingose vietose;</w:t>
      </w:r>
    </w:p>
    <w:p w:rsidR="00BD5AD7" w:rsidRPr="00CD38A3" w:rsidRDefault="00BD5AD7" w:rsidP="00BD5AD7">
      <w:pPr>
        <w:pStyle w:val="NormalHanging12a"/>
        <w:rPr>
          <w:b/>
          <w:i/>
        </w:rPr>
      </w:pPr>
      <w:r w:rsidRPr="00CD38A3">
        <w:t>18.</w:t>
      </w:r>
      <w:r w:rsidRPr="00CD38A3">
        <w:tab/>
        <w:t>su pasitenkinimu pažymi, kad 2022 m. gruodžio 31 d. Agentūroje dirbo darbuotojai iš 26 valstybių narių; pažymi, kad daugiausia Agentūros darbuotojų buvo iš Nyderlandų, Italijos, Ispanijos ir Rumunijos; primena geografinės pusiausvyros svarbą ir ragina Agentūrą toliau imtis būtinų priemonių, kad būtų užtikrintas subalansuotas ir teisingas geografinis atstovavimas;</w:t>
      </w:r>
    </w:p>
    <w:p w:rsidR="00BD5AD7" w:rsidRPr="00CD38A3" w:rsidRDefault="00BD5AD7" w:rsidP="00BD5AD7">
      <w:pPr>
        <w:pStyle w:val="Normal12Hanging"/>
        <w:rPr>
          <w:b/>
          <w:i/>
          <w:szCs w:val="24"/>
          <w:lang w:val="lt-LT"/>
        </w:rPr>
      </w:pPr>
      <w:r w:rsidRPr="00CD38A3">
        <w:rPr>
          <w:b/>
          <w:i/>
          <w:lang w:val="lt-LT"/>
        </w:rPr>
        <w:t>Viešieji pirkimai</w:t>
      </w:r>
    </w:p>
    <w:p w:rsidR="00BD5AD7" w:rsidRPr="00CD38A3" w:rsidRDefault="00BD5AD7" w:rsidP="00BD5AD7">
      <w:pPr>
        <w:pStyle w:val="NormalHanging12a"/>
      </w:pPr>
      <w:r w:rsidRPr="00CD38A3">
        <w:t>19.</w:t>
      </w:r>
      <w:r w:rsidRPr="00CD38A3">
        <w:tab/>
        <w:t xml:space="preserve">primena 2020 m. Audito Rūmų pastabą, kad preliminarioji sutartis dėl transporto priemonių išperkamosios nuomos, sudaryta su vienu ekonominės veiklos vykdytoju, nebuvo tinkama atsižvelgiant į reikalaujamų paslaugų pobūdį ir skirtą sutartį, nes procedūros rezultatas, taip pat visi susiję mokėjimai buvo neteisėti; remdamasis Audito Rūmų ataskaita, pažymi, kad 2022 m. Agentūra pagal šią sutartį neteisėtai išmokėjo </w:t>
      </w:r>
      <w:r w:rsidRPr="00CD38A3">
        <w:lastRenderedPageBreak/>
        <w:t>59 281 EUR ir pastaba vis dar yra aktuali; ragina Agentūrą išnagrinėti galimybę nutraukti tą preliminariąją sutartį ir pradėti naują procedūrą iš naujo paskelbiant konkursą, kuris, Audito Rūmų nuomone, yra tinkamas transporto priemonių išperkamosios nuomos atveju;</w:t>
      </w:r>
    </w:p>
    <w:p w:rsidR="00BD5AD7" w:rsidRPr="00CD38A3" w:rsidRDefault="00BD5AD7" w:rsidP="00BD5AD7">
      <w:pPr>
        <w:pStyle w:val="NormalHanging12a"/>
        <w:rPr>
          <w:szCs w:val="24"/>
        </w:rPr>
      </w:pPr>
      <w:r w:rsidRPr="00CD38A3">
        <w:t>20.</w:t>
      </w:r>
      <w:r w:rsidRPr="00CD38A3">
        <w:tab/>
        <w:t>atsižvelgdamas į vėlesnę Agentūros ataskaitą dėl 2021 m. biudžeto įvykdymo (toliau – vėlesnė ataskaita), pažymi, kad Agentūra toliau testuoja viešųjų pirkimų procedūros priemonę (PPMT), siekdama ją naudoti visoms naujoms viešųjų pirkimų procedūroms, pradėtoms 2024 m. ir vėliau;</w:t>
      </w:r>
    </w:p>
    <w:p w:rsidR="00BD5AD7" w:rsidRPr="00CD38A3" w:rsidRDefault="00BD5AD7" w:rsidP="00BD5AD7">
      <w:pPr>
        <w:pStyle w:val="Normal12Hanging"/>
        <w:rPr>
          <w:b/>
          <w:i/>
          <w:szCs w:val="24"/>
          <w:lang w:val="lt-LT"/>
        </w:rPr>
      </w:pPr>
      <w:r w:rsidRPr="00CD38A3">
        <w:rPr>
          <w:b/>
          <w:i/>
          <w:lang w:val="lt-LT"/>
        </w:rPr>
        <w:t>Interesų konfliktų prevencija ir valdymas, taip pat skaidrumas</w:t>
      </w:r>
    </w:p>
    <w:p w:rsidR="00BD5AD7" w:rsidRPr="00CD38A3" w:rsidRDefault="00BD5AD7" w:rsidP="00BD5AD7">
      <w:pPr>
        <w:pStyle w:val="Normal12Hanging"/>
        <w:rPr>
          <w:szCs w:val="24"/>
          <w:lang w:val="lt-LT"/>
        </w:rPr>
      </w:pPr>
      <w:r w:rsidRPr="00CD38A3">
        <w:rPr>
          <w:lang w:val="lt-LT"/>
        </w:rPr>
        <w:t>21.</w:t>
      </w:r>
      <w:r w:rsidRPr="00CD38A3">
        <w:rPr>
          <w:lang w:val="lt-LT"/>
        </w:rPr>
        <w:tab/>
        <w:t>atkreipia dėmesį į Agentūros standartinę veiklos procedūrą, susijusią su interesų konfliktų valdymu, taikomą visiems kandidatams, kuriems siūlomos pareigos Agentūroje, naujiems darbuotojams, pareigas pakeitusiems darbuotojams, taip pat visiems iš Agentūros išeinantiems darbuotojams; atkreipia dėmesį į tai, kad Agentūra yra nustačiusi kolegijos ir vykdomosios valdybos nariams taikomą etikos kodeksą, tačiau nėra parengusi politikos, susijusios su „sukamųjų durų“ reiškiniu; pažymi, kad 2022 m. pasitaikė interesų konflikto atvejų, apie kuriuos buvo pranešta ir kurie buvo išspręsti, visų pirma atsižvelgiant į kolegijos narių dalyvavimą su darbuotojais susijusiose procedūrose; su pasitenkinimu pažymi, kad atitinkami asmenys nusišalino ir šiuo atžvilgiu nedalyvavo kolegijos svarstymuose ir sprendimų priėmimo procese;</w:t>
      </w:r>
    </w:p>
    <w:p w:rsidR="00BD5AD7" w:rsidRPr="00CD38A3" w:rsidRDefault="00BD5AD7" w:rsidP="00BD5AD7">
      <w:pPr>
        <w:pStyle w:val="Normal12Hanging"/>
        <w:rPr>
          <w:szCs w:val="24"/>
          <w:lang w:val="lt-LT"/>
        </w:rPr>
      </w:pPr>
      <w:r w:rsidRPr="00CD38A3">
        <w:rPr>
          <w:lang w:val="lt-LT"/>
        </w:rPr>
        <w:t>22.</w:t>
      </w:r>
      <w:r w:rsidRPr="00CD38A3">
        <w:rPr>
          <w:lang w:val="lt-LT"/>
        </w:rPr>
        <w:tab/>
        <w:t>pažymi, kad nors Agentūra nerengia susitikimų su lobistais, apie Agentūros vykdomosios valdybos susitikimus su Agentūroje besilankančiais išorės svečiais 2022 m. buvo paskelbta Agentūros „</w:t>
      </w:r>
      <w:proofErr w:type="spellStart"/>
      <w:r w:rsidRPr="00CD38A3">
        <w:rPr>
          <w:lang w:val="lt-LT"/>
        </w:rPr>
        <w:t>Twitter</w:t>
      </w:r>
      <w:proofErr w:type="spellEnd"/>
      <w:r w:rsidRPr="00CD38A3">
        <w:rPr>
          <w:lang w:val="lt-LT"/>
        </w:rPr>
        <w:t>“ paskyroje, o nuo 2023 m. – ir Agentūros viešoje interneto svetainėje; ypač apgailestauja dėl to, kad, nepaisant Parlamento nuolatinių raginimų keliose biudžeto įvykdymo patvirtinimo rezoliucijose, Agentūra savo svetainėje dar nėra paskelbusi visų savo vyresniosios vadovybės ir vidaus bei išorės ekspertų gyvenimo aprašymų; primygtinai ragina Agentūrą paskelbti tuos gyvenimo aprašymus arba paaiškinti, dėl kokių priežasčių Agentūra to dar nepadarė;</w:t>
      </w:r>
    </w:p>
    <w:p w:rsidR="00BD5AD7" w:rsidRPr="00CD38A3" w:rsidRDefault="00BD5AD7" w:rsidP="00BD5AD7">
      <w:pPr>
        <w:pStyle w:val="Normal12Hanging"/>
        <w:rPr>
          <w:b/>
          <w:i/>
          <w:szCs w:val="24"/>
          <w:lang w:val="lt-LT"/>
        </w:rPr>
      </w:pPr>
      <w:r w:rsidRPr="00CD38A3">
        <w:rPr>
          <w:b/>
          <w:i/>
          <w:lang w:val="lt-LT"/>
        </w:rPr>
        <w:t>Vidaus kontrolė</w:t>
      </w:r>
    </w:p>
    <w:p w:rsidR="00BD5AD7" w:rsidRPr="00CD38A3" w:rsidRDefault="00BD5AD7" w:rsidP="00BD5AD7">
      <w:pPr>
        <w:pStyle w:val="NormalHanging12a"/>
        <w:rPr>
          <w:szCs w:val="24"/>
        </w:rPr>
      </w:pPr>
      <w:r w:rsidRPr="00CD38A3">
        <w:t>23.</w:t>
      </w:r>
      <w:r w:rsidRPr="00CD38A3">
        <w:tab/>
        <w:t>primena, kad 2021 m. buvo tęsiamas OLAF tyrimas, pradėtas gavus anoniminį skundą dėl tariamų įdarbinimo procedūros pažeidimų; pažymi, kad 2022 m. OLAF pranešė, kad šiuo klausimu nebuvo nustatyta jokių pažeidimų; šiuo atžvilgiu taip pat pažymi, kad, atsižvelgiant į tai, jog šis tyrimas dar buvo tęsiamas 2022 m. pabaigoje, ir dėl konfidencialumo priežasčių, OLAF nusprendė tame etape nesidalyti išsamesne informacija; atsižvelgdamas į vėlesnę ataskaitą, palankiai vertina Agentūros įsipareigojimą toliau laiku informuoti biudžeto įvykdymą tvirtinančią instituciją apie bet kokią pažangą, padarytą nagrinėjant šį klausimą;</w:t>
      </w:r>
    </w:p>
    <w:p w:rsidR="00BD5AD7" w:rsidRPr="00CD38A3" w:rsidRDefault="00BD5AD7" w:rsidP="00BD5AD7">
      <w:pPr>
        <w:pStyle w:val="NormalHanging12a"/>
        <w:rPr>
          <w:szCs w:val="24"/>
        </w:rPr>
      </w:pPr>
      <w:r w:rsidRPr="00CD38A3">
        <w:t>24.</w:t>
      </w:r>
      <w:r w:rsidRPr="00CD38A3">
        <w:tab/>
        <w:t xml:space="preserve">pažymi, kad 2022 m. pabaigoje buvo stipriai vėluojama įgyvendinti keturias rekomendacijas, kurias Komisijos vidaus audito tarnyba (IAS) paskelbė 2019 ir 2021 m.; šiuo atžvilgiu pažymi, kad dėl 2021 m. IAS iniciatyva pateiktos rekomendacijos dėl veiklos užduočių atitinkama Agentūros vidaus darbo grupė susitarė dėl strateginio dokumento ir veiksmų plano, kuriame nustatyti trumpalaikiai ir vidutinės trukmės veiksmai, kurių dalis jau įgyvendinta 2023 m., todėl Agentūra, atsižvelgdama į galutinį IAS vertinimą, pažymėjo šią rekomendaciją kaip įgyvendintą; remdamasis vėlesne ataskaita, taip pat atkreipia dėmesį į 2021 m. IAS Agentūrai pateiktą </w:t>
      </w:r>
      <w:r w:rsidRPr="00CD38A3">
        <w:lastRenderedPageBreak/>
        <w:t>rekomendaciją atlikti apklausą naudojant „</w:t>
      </w:r>
      <w:proofErr w:type="spellStart"/>
      <w:r w:rsidRPr="00CD38A3">
        <w:t>iCAT</w:t>
      </w:r>
      <w:proofErr w:type="spellEnd"/>
      <w:r w:rsidRPr="00CD38A3">
        <w:t>“ priemonę, siekiant sustiprinti „švelniųjų“ kontrolės priemonių vertinimą. Šią apklausą, kuri buvo suplanuota 2022 m. IV ketvirčiui, buvo vėluojama atlikti dėl įgyvendinamų svarbių tarpžinybinių projektų (pvz., SUMMA), padidėjusio darbo krūvio, kurį lėmė su karu Ukrainoje susiję prioritetai, ir pereinamojo laikotarpio nuo ankstesnio administracijos direktoriaus išėjimo iki naujojo paskyrimo; šiuo atžvilgiu pažymi, kad atitinkami „</w:t>
      </w:r>
      <w:proofErr w:type="spellStart"/>
      <w:r w:rsidRPr="00CD38A3">
        <w:t>iCAT</w:t>
      </w:r>
      <w:proofErr w:type="spellEnd"/>
      <w:r w:rsidRPr="00CD38A3">
        <w:t>“ priemonės klausimai buvo integruoti į Agentūros dalyvavimo tyrimą (SES), pradėtą 2023 m. II ketvirtį; galiausiai pažymi, kad, Agentūra, atsižvelgdama į IAS galutinį vertinimą, laiko, kad ta rekomendacija taip pat įgyvendinta; ragina Agentūrą paspartinti likusių IAS rekomendacijų įgyvendinimą, ypač tų, kurias stipriai vėluojama įgyvendinti;</w:t>
      </w:r>
    </w:p>
    <w:p w:rsidR="00BD5AD7" w:rsidRPr="00CD38A3" w:rsidRDefault="00BD5AD7" w:rsidP="00BD5AD7">
      <w:pPr>
        <w:pStyle w:val="NormalHanging12a"/>
      </w:pPr>
      <w:r w:rsidRPr="00CD38A3">
        <w:t>25.</w:t>
      </w:r>
      <w:r w:rsidRPr="00CD38A3">
        <w:tab/>
        <w:t>su nerimu atkreipia dėmesį į gerokai padidėjusį reikalavimų nesilaikymo atvejų skaičių ir vertę 2022 m. (43 atvejai, kurių vertė 294 000 EUR), palyginti su 2021 m. (33 atvejai, kurių vertė 18 000 EUR), ir į tai, kad tokie atvejai iš esmės buvo susiję su tokiais klausimais kaip didesnė sąskaitos faktūros suma nei teisinis įsipareigojimas, biudžetinis įsipareigojimas, nustatomas priskyrus teisinį įsipareigojimą, arba pirkimo užsakymo ar konkrečios sutarties nebuvimas; atkreipia dėmesį į Agentūros paaiškinimą, kad tas padidėjimas yra susijęs su 2022 m. patirtais biudžeto ir finansų valdymo sunkumais, kurie atsirado įdiegus SUMMA; ragina Agentūrą reaguoti į tas pastabas ir ieškoti modelių, kad tokios situacijos nepasikartotų ateityje;</w:t>
      </w:r>
    </w:p>
    <w:p w:rsidR="00BD5AD7" w:rsidRPr="00CD38A3" w:rsidRDefault="00BD5AD7" w:rsidP="00BD5AD7">
      <w:pPr>
        <w:pStyle w:val="NormalHanging12a"/>
        <w:rPr>
          <w:szCs w:val="24"/>
        </w:rPr>
      </w:pPr>
      <w:r w:rsidRPr="00CD38A3">
        <w:t>26.</w:t>
      </w:r>
      <w:r w:rsidRPr="00CD38A3">
        <w:tab/>
        <w:t xml:space="preserve">pažymi, kad 2022 m. Agentūros vidaus kontrolės sistemos komponentai ir principai buvo nustatyti ir veikė, o sistema iš esmės buvo veiksminga, įskaitant tam tikrus reikalingus </w:t>
      </w:r>
      <w:proofErr w:type="spellStart"/>
      <w:r w:rsidRPr="00CD38A3">
        <w:t>patobulinimus</w:t>
      </w:r>
      <w:proofErr w:type="spellEnd"/>
      <w:r w:rsidRPr="00CD38A3">
        <w:t>, susijusius, pavyzdžiui, su SUMMA įgyvendinimu ir poreikiu patikslinti veiklos atkūrimo po ekstremaliųjų įvykių planą; džiaugiasi, kad Agentūra priėmė jautrių funkcijų politiką, patvirtino vidaus audito struktūros (IAC) skyrimo išlaidų efektyvumo ir naudos vertinimo projektą ir kad 2022 m. nebuvo pateikta esminių rekomendacijų ar pastabų; ragina Agentūrą informuoti biudžeto įvykdymą tvirtinančią instituciją apie IAC vertinimo rezultatą; galiausiai giria tolesnius Agentūros veiksmus, kurių ji ėmėsi 2021 m. patvirtinus Agentūros kovos su sukčiavimu strategiją; šiuo atžvilgiu atkreipia dėmesį į Agentūros 2022 m. priimtas naujas vidaus procedūras, susijusias su turto ir inventoriaus valdymu;</w:t>
      </w:r>
    </w:p>
    <w:p w:rsidR="00BD5AD7" w:rsidRPr="00CD38A3" w:rsidRDefault="00BD5AD7" w:rsidP="00BD5AD7">
      <w:pPr>
        <w:pStyle w:val="Normal12Hanging"/>
        <w:rPr>
          <w:b/>
          <w:i/>
          <w:szCs w:val="24"/>
          <w:lang w:val="lt-LT"/>
        </w:rPr>
      </w:pPr>
      <w:r w:rsidRPr="00CD38A3">
        <w:rPr>
          <w:b/>
          <w:i/>
          <w:lang w:val="lt-LT"/>
        </w:rPr>
        <w:t>Kitos pastabos</w:t>
      </w:r>
    </w:p>
    <w:p w:rsidR="00BD5AD7" w:rsidRPr="00CD38A3" w:rsidRDefault="00BD5AD7" w:rsidP="00BD5AD7">
      <w:pPr>
        <w:pStyle w:val="Normal12Hanging"/>
        <w:rPr>
          <w:szCs w:val="24"/>
          <w:lang w:val="lt-LT"/>
        </w:rPr>
      </w:pPr>
      <w:r w:rsidRPr="00CD38A3">
        <w:rPr>
          <w:lang w:val="lt-LT"/>
        </w:rPr>
        <w:t>27.</w:t>
      </w:r>
      <w:r w:rsidRPr="00CD38A3">
        <w:rPr>
          <w:lang w:val="lt-LT"/>
        </w:rPr>
        <w:tab/>
        <w:t>džiaugiasi, kad Agentūra investuoja į savo komunikacijos veiklą, siekdama didinti Agentūros matomumą ir supratimą apie jos darbą, kad būtų pasiekta pati įvairiausia auditorija; todėl pažymi, kad 2022 m. Agentūros socialinių tinklų rodikliai padidėjo 40 proc., Agentūros svetainės lankytojų skaičius padidėjo beveik 100 proc., o pranešimų spaudai skaičius padidėjo 16 proc., palyginti su 2021 m., ir dėl pastarojo rodiklio beveik penkis kartus padidėjo Agentūros paminėjimų skaičius, palyginti su 2021 m.;</w:t>
      </w:r>
    </w:p>
    <w:p w:rsidR="00BD5AD7" w:rsidRPr="00CD38A3" w:rsidRDefault="00BD5AD7" w:rsidP="00BD5AD7">
      <w:pPr>
        <w:pStyle w:val="Normal12Hanging"/>
        <w:rPr>
          <w:szCs w:val="24"/>
          <w:lang w:val="lt-LT"/>
        </w:rPr>
      </w:pPr>
      <w:r w:rsidRPr="00CD38A3">
        <w:rPr>
          <w:lang w:val="lt-LT"/>
        </w:rPr>
        <w:t>28.</w:t>
      </w:r>
      <w:r w:rsidRPr="00CD38A3">
        <w:rPr>
          <w:lang w:val="lt-LT"/>
        </w:rPr>
        <w:tab/>
        <w:t xml:space="preserve">džiaugiasi nuolatinėmis Agentūros pastangomis 2022 m. stiprinti savo atitiktį duomenų apsaugos reikalavimams; palankiai vertina tai, kad Agentūros duomenų apsaugos pareigūno (DAP) komandą papildė du papildomi darbuotojai, atsižvelgiant į naujas </w:t>
      </w:r>
      <w:r w:rsidRPr="00CD38A3">
        <w:rPr>
          <w:lang w:val="lt-LT"/>
        </w:rPr>
        <w:lastRenderedPageBreak/>
        <w:t>užduotis, susijusias su Reglamentu (ES) 2018/1725</w:t>
      </w:r>
      <w:r w:rsidR="000F0C8D">
        <w:rPr>
          <w:rStyle w:val="FootnoteReference"/>
          <w:lang w:val="lt-LT"/>
        </w:rPr>
        <w:footnoteReference w:id="12"/>
      </w:r>
      <w:r w:rsidRPr="00CD38A3">
        <w:rPr>
          <w:lang w:val="lt-LT"/>
        </w:rPr>
        <w:t xml:space="preserve">, ir Agentūros įgaliojimų, susijusių su sunkiausiais tarptautiniais nusikaltimais, praplėtimą, dėl kurio atsiranda papildomų duomenų apsaugos reikalavimų; pažymi, kad 2022 m. DAP ir Europos duomenų apsaugos priežiūros pareigūnas toliau rengė reguliarius (kas du mėnesius) susitikimus, įskaitant </w:t>
      </w:r>
      <w:proofErr w:type="spellStart"/>
      <w:r w:rsidRPr="00CD38A3">
        <w:rPr>
          <w:lang w:val="lt-LT"/>
        </w:rPr>
        <w:t>ad</w:t>
      </w:r>
      <w:proofErr w:type="spellEnd"/>
      <w:r w:rsidRPr="00CD38A3">
        <w:rPr>
          <w:lang w:val="lt-LT"/>
        </w:rPr>
        <w:t xml:space="preserve"> </w:t>
      </w:r>
      <w:proofErr w:type="spellStart"/>
      <w:r w:rsidRPr="00CD38A3">
        <w:rPr>
          <w:lang w:val="lt-LT"/>
        </w:rPr>
        <w:t>hoc</w:t>
      </w:r>
      <w:proofErr w:type="spellEnd"/>
      <w:r w:rsidRPr="00CD38A3">
        <w:rPr>
          <w:lang w:val="lt-LT"/>
        </w:rPr>
        <w:t xml:space="preserve"> susitikimus, ir konsultacijas įvairiais duomenų apsaugos klausimais pavyzdžiui, dėl duomenų saugumo pažeidimų ir skundų;</w:t>
      </w:r>
    </w:p>
    <w:p w:rsidR="00BD5AD7" w:rsidRPr="00CD38A3" w:rsidRDefault="00BD5AD7" w:rsidP="00BD5AD7">
      <w:pPr>
        <w:pStyle w:val="Normal12Hanging"/>
        <w:rPr>
          <w:szCs w:val="24"/>
          <w:lang w:val="lt-LT"/>
        </w:rPr>
      </w:pPr>
      <w:r w:rsidRPr="00CD38A3">
        <w:rPr>
          <w:lang w:val="lt-LT"/>
        </w:rPr>
        <w:t>29.</w:t>
      </w:r>
      <w:r w:rsidRPr="00CD38A3">
        <w:rPr>
          <w:lang w:val="lt-LT"/>
        </w:rPr>
        <w:tab/>
        <w:t>taip pat giria Agentūrą už tai, kad ji 2022 m. įgyvendino keletą priemonių siekdama padidinti kibernetinį saugumą ir turimų skaitmeninių įrašų apsaugą, pavyzdžiui, be kita ko, pradėjo naudoti centralizuotai valdomus ir apsaugotus Agentūros mobiliuosius telefonus, pradėjo rengti vidaus „</w:t>
      </w:r>
      <w:proofErr w:type="spellStart"/>
      <w:r w:rsidRPr="00CD38A3">
        <w:rPr>
          <w:lang w:val="lt-LT"/>
        </w:rPr>
        <w:t>CyberCafe</w:t>
      </w:r>
      <w:proofErr w:type="spellEnd"/>
      <w:r w:rsidRPr="00CD38A3">
        <w:rPr>
          <w:lang w:val="lt-LT"/>
        </w:rPr>
        <w:t>“ informuotumo didinimo sesijas, taip pat įgyvendino apsaugos nuo paskirstytojo paslaugos trikdymo atakų priemones;</w:t>
      </w:r>
    </w:p>
    <w:p w:rsidR="00BD5AD7" w:rsidRPr="00CD38A3" w:rsidRDefault="00BD5AD7" w:rsidP="00BD5AD7">
      <w:pPr>
        <w:pStyle w:val="NormalCenter12a"/>
      </w:pPr>
      <w:r w:rsidRPr="00CD38A3">
        <w:t>°</w:t>
      </w:r>
    </w:p>
    <w:p w:rsidR="00BD5AD7" w:rsidRPr="00CD38A3" w:rsidRDefault="00BD5AD7" w:rsidP="00BD5AD7">
      <w:pPr>
        <w:pStyle w:val="NormalCenter12a"/>
      </w:pPr>
      <w:r w:rsidRPr="00CD38A3">
        <w:t>°</w:t>
      </w:r>
      <w:r w:rsidRPr="00CD38A3">
        <w:tab/>
        <w:t>°</w:t>
      </w:r>
    </w:p>
    <w:p w:rsidR="00E365E1" w:rsidRDefault="00BD5AD7" w:rsidP="00D01E91">
      <w:pPr>
        <w:pStyle w:val="NormalHanging12a"/>
      </w:pPr>
      <w:r w:rsidRPr="00CD38A3">
        <w:t>30.</w:t>
      </w:r>
      <w:r w:rsidRPr="00CD38A3">
        <w:tab/>
        <w:t xml:space="preserve">pažymi, kad kitos su sprendimu dėl biudžeto įvykdymo patvirtinimo susijusios pastabos, kurios yra horizontaliojo pobūdžio, pateikiamos </w:t>
      </w:r>
      <w:r w:rsidR="00D074A8">
        <w:t>jo</w:t>
      </w:r>
      <w:r w:rsidRPr="00CD38A3">
        <w:t xml:space="preserve"> 2024 m. </w:t>
      </w:r>
      <w:r w:rsidR="00D01E91">
        <w:t>balandžio</w:t>
      </w:r>
      <w:r w:rsidRPr="00CD38A3">
        <w:t> </w:t>
      </w:r>
      <w:r w:rsidR="00D01E91">
        <w:t>11</w:t>
      </w:r>
      <w:r w:rsidRPr="00CD38A3">
        <w:t> d. rezoliucijoje</w:t>
      </w:r>
      <w:r w:rsidR="00D01E91" w:rsidRPr="00CD38A3">
        <w:rPr>
          <w:rStyle w:val="FootnoteReference"/>
        </w:rPr>
        <w:footnoteReference w:id="13"/>
      </w:r>
      <w:r w:rsidRPr="00CD38A3">
        <w:t xml:space="preserve"> dėl agentūrų veiklos, finansų </w:t>
      </w:r>
      <w:bookmarkStart w:id="8" w:name="_GoBack"/>
      <w:bookmarkEnd w:id="8"/>
      <w:r w:rsidRPr="00CD38A3">
        <w:t>valdymo ir kontrolės.</w:t>
      </w:r>
      <w:bookmarkStart w:id="9" w:name="TextBodyEnd"/>
      <w:bookmarkEnd w:id="9"/>
    </w:p>
    <w:sectPr w:rsidR="00E365E1" w:rsidSect="00CD38A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EDC" w:rsidRPr="00CD38A3" w:rsidRDefault="00B21EDC">
      <w:r w:rsidRPr="00CD38A3">
        <w:separator/>
      </w:r>
    </w:p>
  </w:endnote>
  <w:endnote w:type="continuationSeparator" w:id="0">
    <w:p w:rsidR="00B21EDC" w:rsidRPr="00CD38A3" w:rsidRDefault="00B21EDC">
      <w:r w:rsidRPr="00CD38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AD7" w:rsidRPr="00CD38A3" w:rsidRDefault="00BD5AD7" w:rsidP="00A870AC">
    <w:pPr>
      <w:pStyle w:val="EPFooter"/>
    </w:pPr>
    <w:r w:rsidRPr="00CD38A3">
      <w:t>PE</w:t>
    </w:r>
    <w:r w:rsidRPr="00CD38A3">
      <w:rPr>
        <w:rStyle w:val="HideTWBExt"/>
      </w:rPr>
      <w:t>&lt;</w:t>
    </w:r>
    <w:proofErr w:type="spellStart"/>
    <w:r w:rsidRPr="00CD38A3">
      <w:rPr>
        <w:rStyle w:val="HideTWBExt"/>
      </w:rPr>
      <w:t>NoPE</w:t>
    </w:r>
    <w:proofErr w:type="spellEnd"/>
    <w:r w:rsidRPr="00CD38A3">
      <w:rPr>
        <w:rStyle w:val="HideTWBExt"/>
      </w:rPr>
      <w:t>&gt;</w:t>
    </w:r>
    <w:r w:rsidRPr="00CD38A3">
      <w:t>753.539</w:t>
    </w:r>
    <w:r w:rsidRPr="00CD38A3">
      <w:rPr>
        <w:rStyle w:val="HideTWBExt"/>
      </w:rPr>
      <w:t>&lt;/</w:t>
    </w:r>
    <w:proofErr w:type="spellStart"/>
    <w:r w:rsidRPr="00CD38A3">
      <w:rPr>
        <w:rStyle w:val="HideTWBExt"/>
      </w:rPr>
      <w:t>NoPE</w:t>
    </w:r>
    <w:proofErr w:type="spellEnd"/>
    <w:r w:rsidRPr="00CD38A3">
      <w:rPr>
        <w:rStyle w:val="HideTWBExt"/>
      </w:rPr>
      <w:t>&gt;&lt;Version&gt;</w:t>
    </w:r>
    <w:r w:rsidRPr="00CD38A3">
      <w:t>v02-00</w:t>
    </w:r>
    <w:r w:rsidRPr="00CD38A3">
      <w:rPr>
        <w:rStyle w:val="HideTWBExt"/>
      </w:rPr>
      <w:t>&lt;/</w:t>
    </w:r>
    <w:proofErr w:type="spellStart"/>
    <w:r w:rsidRPr="00CD38A3">
      <w:rPr>
        <w:rStyle w:val="HideTWBExt"/>
      </w:rPr>
      <w:t>Version</w:t>
    </w:r>
    <w:proofErr w:type="spellEnd"/>
    <w:r w:rsidRPr="00CD38A3">
      <w:rPr>
        <w:rStyle w:val="HideTWBExt"/>
      </w:rPr>
      <w:t>&gt;</w:t>
    </w:r>
    <w:r w:rsidRPr="00CD38A3">
      <w:tab/>
    </w:r>
    <w:r w:rsidRPr="00CD38A3">
      <w:fldChar w:fldCharType="begin"/>
    </w:r>
    <w:r w:rsidRPr="00CD38A3">
      <w:instrText xml:space="preserve"> PAGE  \* MERGEFORMAT </w:instrText>
    </w:r>
    <w:r w:rsidRPr="00CD38A3">
      <w:fldChar w:fldCharType="separate"/>
    </w:r>
    <w:r w:rsidRPr="00CD38A3">
      <w:rPr>
        <w:noProof/>
      </w:rPr>
      <w:t>4</w:t>
    </w:r>
    <w:r w:rsidRPr="00CD38A3">
      <w:fldChar w:fldCharType="end"/>
    </w:r>
    <w:r w:rsidRPr="00CD38A3">
      <w:t>/</w:t>
    </w:r>
    <w:r w:rsidR="00710C15">
      <w:fldChar w:fldCharType="begin"/>
    </w:r>
    <w:r w:rsidR="00710C15">
      <w:instrText xml:space="preserve"> NUMPAGES  \* MERGEFORMAT </w:instrText>
    </w:r>
    <w:r w:rsidR="00710C15">
      <w:fldChar w:fldCharType="separate"/>
    </w:r>
    <w:r w:rsidRPr="00CD38A3">
      <w:rPr>
        <w:noProof/>
      </w:rPr>
      <w:t>4</w:t>
    </w:r>
    <w:r w:rsidR="00710C15">
      <w:rPr>
        <w:noProof/>
      </w:rPr>
      <w:fldChar w:fldCharType="end"/>
    </w:r>
    <w:r w:rsidRPr="00CD38A3">
      <w:tab/>
    </w:r>
    <w:r w:rsidRPr="00CD38A3">
      <w:rPr>
        <w:rStyle w:val="HideTWBExt"/>
      </w:rPr>
      <w:t>&lt;PathFdR&gt;</w:t>
    </w:r>
    <w:r w:rsidRPr="00CD38A3">
      <w:t>RR\1298768LT.docx</w:t>
    </w:r>
    <w:r w:rsidRPr="00CD38A3">
      <w:rPr>
        <w:rStyle w:val="HideTWBExt"/>
      </w:rPr>
      <w:t>&lt;/</w:t>
    </w:r>
    <w:proofErr w:type="spellStart"/>
    <w:r w:rsidRPr="00CD38A3">
      <w:rPr>
        <w:rStyle w:val="HideTWBExt"/>
      </w:rPr>
      <w:t>PathFdR</w:t>
    </w:r>
    <w:proofErr w:type="spellEnd"/>
    <w:r w:rsidRPr="00CD38A3">
      <w:rPr>
        <w:rStyle w:val="HideTWBExt"/>
      </w:rPr>
      <w:t>&gt;</w:t>
    </w:r>
  </w:p>
  <w:p w:rsidR="00BD5AD7" w:rsidRPr="00CD38A3" w:rsidRDefault="00BD5AD7" w:rsidP="00A870AC">
    <w:pPr>
      <w:pStyle w:val="EPFooter2"/>
    </w:pPr>
    <w:r w:rsidRPr="00CD38A3">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AD7" w:rsidRPr="00CD38A3" w:rsidRDefault="00BD5AD7" w:rsidP="00A870AC">
    <w:pPr>
      <w:pStyle w:val="EPFooter"/>
    </w:pPr>
    <w:r w:rsidRPr="00CD38A3">
      <w:rPr>
        <w:rStyle w:val="HideTWBExt"/>
      </w:rPr>
      <w:t>&lt;PathFdR&gt;</w:t>
    </w:r>
    <w:r w:rsidRPr="00CD38A3">
      <w:t>RR\1298768LT.docx</w:t>
    </w:r>
    <w:r w:rsidRPr="00CD38A3">
      <w:rPr>
        <w:rStyle w:val="HideTWBExt"/>
      </w:rPr>
      <w:t>&lt;/</w:t>
    </w:r>
    <w:proofErr w:type="spellStart"/>
    <w:r w:rsidRPr="00CD38A3">
      <w:rPr>
        <w:rStyle w:val="HideTWBExt"/>
      </w:rPr>
      <w:t>PathFdR</w:t>
    </w:r>
    <w:proofErr w:type="spellEnd"/>
    <w:r w:rsidRPr="00CD38A3">
      <w:rPr>
        <w:rStyle w:val="HideTWBExt"/>
      </w:rPr>
      <w:t>&gt;</w:t>
    </w:r>
    <w:r w:rsidRPr="00CD38A3">
      <w:tab/>
    </w:r>
    <w:r w:rsidRPr="00CD38A3">
      <w:tab/>
      <w:t>PE</w:t>
    </w:r>
    <w:r w:rsidRPr="00CD38A3">
      <w:rPr>
        <w:rStyle w:val="HideTWBExt"/>
      </w:rPr>
      <w:t>&lt;</w:t>
    </w:r>
    <w:proofErr w:type="spellStart"/>
    <w:r w:rsidRPr="00CD38A3">
      <w:rPr>
        <w:rStyle w:val="HideTWBExt"/>
      </w:rPr>
      <w:t>NoPE</w:t>
    </w:r>
    <w:proofErr w:type="spellEnd"/>
    <w:r w:rsidRPr="00CD38A3">
      <w:rPr>
        <w:rStyle w:val="HideTWBExt"/>
      </w:rPr>
      <w:t>&gt;</w:t>
    </w:r>
    <w:r w:rsidRPr="00CD38A3">
      <w:t>753.539</w:t>
    </w:r>
    <w:r w:rsidRPr="00CD38A3">
      <w:rPr>
        <w:rStyle w:val="HideTWBExt"/>
      </w:rPr>
      <w:t>&lt;/</w:t>
    </w:r>
    <w:proofErr w:type="spellStart"/>
    <w:r w:rsidRPr="00CD38A3">
      <w:rPr>
        <w:rStyle w:val="HideTWBExt"/>
      </w:rPr>
      <w:t>NoPE</w:t>
    </w:r>
    <w:proofErr w:type="spellEnd"/>
    <w:r w:rsidRPr="00CD38A3">
      <w:rPr>
        <w:rStyle w:val="HideTWBExt"/>
      </w:rPr>
      <w:t>&gt;&lt;Version&gt;</w:t>
    </w:r>
    <w:r w:rsidRPr="00CD38A3">
      <w:t>v02-00</w:t>
    </w:r>
    <w:r w:rsidRPr="00CD38A3">
      <w:rPr>
        <w:rStyle w:val="HideTWBExt"/>
      </w:rPr>
      <w:t>&lt;/</w:t>
    </w:r>
    <w:proofErr w:type="spellStart"/>
    <w:r w:rsidRPr="00CD38A3">
      <w:rPr>
        <w:rStyle w:val="HideTWBExt"/>
      </w:rPr>
      <w:t>Version</w:t>
    </w:r>
    <w:proofErr w:type="spellEnd"/>
    <w:r w:rsidRPr="00CD38A3">
      <w:rPr>
        <w:rStyle w:val="HideTWBExt"/>
      </w:rPr>
      <w:t>&gt;</w:t>
    </w:r>
  </w:p>
  <w:p w:rsidR="00BD5AD7" w:rsidRPr="00CD38A3" w:rsidRDefault="00BD5AD7" w:rsidP="00A870AC">
    <w:pPr>
      <w:pStyle w:val="EPFooter2"/>
    </w:pPr>
    <w:r w:rsidRPr="00CD38A3">
      <w:t>LT</w:t>
    </w:r>
    <w:r w:rsidRPr="00CD38A3">
      <w:tab/>
    </w:r>
    <w:r w:rsidRPr="00CD38A3">
      <w:rPr>
        <w:b w:val="0"/>
        <w:i/>
        <w:color w:val="C0C0C0"/>
        <w:sz w:val="22"/>
      </w:rPr>
      <w:t>Suvienijusi įvairovę</w:t>
    </w:r>
    <w:r w:rsidRPr="00CD38A3">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8A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8A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8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EDC" w:rsidRPr="00CD38A3" w:rsidRDefault="00B21EDC">
      <w:r w:rsidRPr="00CD38A3">
        <w:separator/>
      </w:r>
    </w:p>
  </w:footnote>
  <w:footnote w:type="continuationSeparator" w:id="0">
    <w:p w:rsidR="00B21EDC" w:rsidRPr="00CD38A3" w:rsidRDefault="00B21EDC">
      <w:r w:rsidRPr="00CD38A3">
        <w:continuationSeparator/>
      </w:r>
    </w:p>
  </w:footnote>
  <w:footnote w:id="1">
    <w:p w:rsidR="00BD5AD7" w:rsidRPr="00CD38A3" w:rsidRDefault="00BD5AD7" w:rsidP="00CD38A3">
      <w:pPr>
        <w:pStyle w:val="FootnoteText"/>
        <w:ind w:left="567" w:hanging="567"/>
        <w:rPr>
          <w:sz w:val="24"/>
          <w:lang w:val="lt-LT"/>
        </w:rPr>
      </w:pPr>
      <w:r w:rsidRPr="00CD38A3">
        <w:rPr>
          <w:rStyle w:val="FootnoteReference"/>
          <w:sz w:val="24"/>
          <w:lang w:val="lt-LT"/>
        </w:rPr>
        <w:footnoteRef/>
      </w:r>
      <w:r w:rsidR="00CD38A3" w:rsidRPr="00CD38A3">
        <w:rPr>
          <w:sz w:val="24"/>
          <w:lang w:val="lt-LT"/>
        </w:rPr>
        <w:t xml:space="preserve"> </w:t>
      </w:r>
      <w:r w:rsidR="00CD38A3" w:rsidRPr="00CD38A3">
        <w:rPr>
          <w:sz w:val="24"/>
          <w:lang w:val="lt-LT"/>
        </w:rPr>
        <w:tab/>
      </w:r>
      <w:r w:rsidRPr="00CD38A3">
        <w:rPr>
          <w:sz w:val="24"/>
          <w:lang w:val="lt-LT"/>
        </w:rPr>
        <w:t>OL C, C/2023/594, 2023 10 27.</w:t>
      </w:r>
    </w:p>
  </w:footnote>
  <w:footnote w:id="2">
    <w:p w:rsidR="00BD5AD7" w:rsidRPr="00CD38A3" w:rsidRDefault="00BD5AD7" w:rsidP="00CD38A3">
      <w:pPr>
        <w:pStyle w:val="FootnoteText"/>
        <w:ind w:left="567" w:hanging="567"/>
        <w:rPr>
          <w:sz w:val="24"/>
          <w:lang w:val="lt-LT"/>
        </w:rPr>
      </w:pPr>
      <w:r w:rsidRPr="00CD38A3">
        <w:rPr>
          <w:rStyle w:val="FootnoteReference"/>
          <w:sz w:val="24"/>
          <w:lang w:val="lt-LT"/>
        </w:rPr>
        <w:footnoteRef/>
      </w:r>
      <w:r w:rsidR="00CD38A3" w:rsidRPr="00CD38A3">
        <w:rPr>
          <w:sz w:val="24"/>
          <w:lang w:val="lt-LT"/>
        </w:rPr>
        <w:t xml:space="preserve"> </w:t>
      </w:r>
      <w:r w:rsidR="00CD38A3" w:rsidRPr="00CD38A3">
        <w:rPr>
          <w:sz w:val="24"/>
          <w:lang w:val="lt-LT"/>
        </w:rPr>
        <w:tab/>
      </w:r>
      <w:r w:rsidRPr="00CD38A3">
        <w:rPr>
          <w:sz w:val="24"/>
          <w:lang w:val="lt-LT"/>
        </w:rPr>
        <w:t>OL C, C/2023/112, 2023 10 12.</w:t>
      </w:r>
    </w:p>
  </w:footnote>
  <w:footnote w:id="3">
    <w:p w:rsidR="00BD5AD7" w:rsidRPr="00CD38A3" w:rsidRDefault="00BD5AD7" w:rsidP="00CD38A3">
      <w:pPr>
        <w:pStyle w:val="FootnoteText"/>
        <w:ind w:left="567" w:hanging="567"/>
        <w:rPr>
          <w:sz w:val="24"/>
          <w:lang w:val="lt-LT"/>
        </w:rPr>
      </w:pPr>
      <w:r w:rsidRPr="00CD38A3">
        <w:rPr>
          <w:rStyle w:val="FootnoteReference"/>
          <w:sz w:val="24"/>
          <w:lang w:val="lt-LT"/>
        </w:rPr>
        <w:footnoteRef/>
      </w:r>
      <w:r w:rsidR="00CD38A3" w:rsidRPr="00CD38A3">
        <w:rPr>
          <w:sz w:val="24"/>
          <w:lang w:val="lt-LT"/>
        </w:rPr>
        <w:t xml:space="preserve"> </w:t>
      </w:r>
      <w:r w:rsidR="00CD38A3" w:rsidRPr="00CD38A3">
        <w:rPr>
          <w:sz w:val="24"/>
          <w:lang w:val="lt-LT"/>
        </w:rPr>
        <w:tab/>
      </w:r>
      <w:r w:rsidRPr="00CD38A3">
        <w:rPr>
          <w:sz w:val="24"/>
          <w:lang w:val="lt-LT"/>
        </w:rPr>
        <w:t>OL L 193, 2018 7 30, p. 1.</w:t>
      </w:r>
    </w:p>
  </w:footnote>
  <w:footnote w:id="4">
    <w:p w:rsidR="00BD5AD7" w:rsidRPr="00CD38A3" w:rsidRDefault="00BD5AD7" w:rsidP="00CD38A3">
      <w:pPr>
        <w:pStyle w:val="FootnoteText"/>
        <w:ind w:left="567" w:hanging="567"/>
        <w:rPr>
          <w:sz w:val="24"/>
          <w:lang w:val="lt-LT"/>
        </w:rPr>
      </w:pPr>
      <w:r w:rsidRPr="00CD38A3">
        <w:rPr>
          <w:rStyle w:val="FootnoteReference"/>
          <w:sz w:val="24"/>
          <w:lang w:val="lt-LT"/>
        </w:rPr>
        <w:footnoteRef/>
      </w:r>
      <w:r w:rsidR="00CD38A3" w:rsidRPr="00CD38A3">
        <w:rPr>
          <w:sz w:val="24"/>
          <w:lang w:val="lt-LT"/>
        </w:rPr>
        <w:t xml:space="preserve"> </w:t>
      </w:r>
      <w:r w:rsidR="00CD38A3" w:rsidRPr="00CD38A3">
        <w:rPr>
          <w:sz w:val="24"/>
          <w:lang w:val="lt-LT"/>
        </w:rPr>
        <w:tab/>
      </w:r>
      <w:r w:rsidRPr="00CD38A3">
        <w:rPr>
          <w:sz w:val="24"/>
          <w:lang w:val="lt-LT"/>
        </w:rPr>
        <w:t>OL L 295, 2018 11 21, p. 138.</w:t>
      </w:r>
    </w:p>
  </w:footnote>
  <w:footnote w:id="5">
    <w:p w:rsidR="00BD5AD7" w:rsidRPr="00CD38A3" w:rsidRDefault="00BD5AD7" w:rsidP="00CD38A3">
      <w:pPr>
        <w:pStyle w:val="FootnoteText"/>
        <w:ind w:left="567" w:hanging="567"/>
        <w:rPr>
          <w:sz w:val="24"/>
          <w:szCs w:val="24"/>
          <w:lang w:val="lt-LT"/>
        </w:rPr>
      </w:pPr>
      <w:r w:rsidRPr="00CD38A3">
        <w:rPr>
          <w:rStyle w:val="FootnoteReference"/>
          <w:sz w:val="24"/>
          <w:lang w:val="lt-LT"/>
        </w:rPr>
        <w:footnoteRef/>
      </w:r>
      <w:r w:rsidR="00CD38A3" w:rsidRPr="00CD38A3">
        <w:rPr>
          <w:sz w:val="24"/>
          <w:lang w:val="lt-LT"/>
        </w:rPr>
        <w:t xml:space="preserve"> </w:t>
      </w:r>
      <w:r w:rsidR="00CD38A3" w:rsidRPr="00CD38A3">
        <w:rPr>
          <w:sz w:val="24"/>
          <w:lang w:val="lt-LT"/>
        </w:rPr>
        <w:tab/>
      </w:r>
      <w:r w:rsidRPr="00CD38A3">
        <w:rPr>
          <w:sz w:val="24"/>
          <w:lang w:val="lt-LT"/>
        </w:rPr>
        <w:t>OL L 122, 2019 5 10, p. 1.</w:t>
      </w:r>
    </w:p>
  </w:footnote>
  <w:footnote w:id="6">
    <w:p w:rsidR="00BD5AD7" w:rsidRPr="00CD38A3" w:rsidRDefault="00BD5AD7" w:rsidP="00CD38A3">
      <w:pPr>
        <w:pStyle w:val="FootnoteText"/>
        <w:ind w:left="567" w:hanging="567"/>
        <w:rPr>
          <w:sz w:val="24"/>
          <w:lang w:val="lt-LT"/>
        </w:rPr>
      </w:pPr>
      <w:r w:rsidRPr="00CD38A3">
        <w:rPr>
          <w:rStyle w:val="FootnoteReference"/>
          <w:sz w:val="24"/>
          <w:lang w:val="lt-LT"/>
        </w:rPr>
        <w:footnoteRef/>
      </w:r>
      <w:r w:rsidR="00CD38A3" w:rsidRPr="00CD38A3">
        <w:rPr>
          <w:sz w:val="24"/>
          <w:lang w:val="lt-LT"/>
        </w:rPr>
        <w:t xml:space="preserve"> </w:t>
      </w:r>
      <w:r w:rsidR="00CD38A3" w:rsidRPr="00CD38A3">
        <w:rPr>
          <w:sz w:val="24"/>
          <w:lang w:val="lt-LT"/>
        </w:rPr>
        <w:tab/>
      </w:r>
      <w:r w:rsidRPr="00CD38A3">
        <w:rPr>
          <w:sz w:val="24"/>
          <w:lang w:val="lt-LT"/>
        </w:rPr>
        <w:t>OL C, C/2023/594, 2023 10 27.</w:t>
      </w:r>
    </w:p>
  </w:footnote>
  <w:footnote w:id="7">
    <w:p w:rsidR="00BD5AD7" w:rsidRPr="00CD38A3" w:rsidRDefault="00BD5AD7" w:rsidP="00CD38A3">
      <w:pPr>
        <w:pStyle w:val="FootnoteText"/>
        <w:ind w:left="567" w:hanging="567"/>
        <w:rPr>
          <w:sz w:val="24"/>
          <w:lang w:val="lt-LT"/>
        </w:rPr>
      </w:pPr>
      <w:r w:rsidRPr="00CD38A3">
        <w:rPr>
          <w:rStyle w:val="FootnoteReference"/>
          <w:sz w:val="24"/>
          <w:lang w:val="lt-LT"/>
        </w:rPr>
        <w:footnoteRef/>
      </w:r>
      <w:r w:rsidR="00CD38A3" w:rsidRPr="00CD38A3">
        <w:rPr>
          <w:sz w:val="24"/>
          <w:lang w:val="lt-LT"/>
        </w:rPr>
        <w:t xml:space="preserve"> </w:t>
      </w:r>
      <w:r w:rsidR="00CD38A3" w:rsidRPr="00CD38A3">
        <w:rPr>
          <w:sz w:val="24"/>
          <w:lang w:val="lt-LT"/>
        </w:rPr>
        <w:tab/>
      </w:r>
      <w:r w:rsidRPr="00CD38A3">
        <w:rPr>
          <w:sz w:val="24"/>
          <w:lang w:val="lt-LT"/>
        </w:rPr>
        <w:t>OL C, C/2023/112, 2023 10 12.</w:t>
      </w:r>
    </w:p>
  </w:footnote>
  <w:footnote w:id="8">
    <w:p w:rsidR="00BD5AD7" w:rsidRPr="00CD38A3" w:rsidRDefault="00BD5AD7" w:rsidP="00CD38A3">
      <w:pPr>
        <w:pStyle w:val="FootnoteText"/>
        <w:ind w:left="567" w:hanging="567"/>
        <w:rPr>
          <w:sz w:val="24"/>
          <w:lang w:val="lt-LT"/>
        </w:rPr>
      </w:pPr>
      <w:r w:rsidRPr="00CD38A3">
        <w:rPr>
          <w:rStyle w:val="FootnoteReference"/>
          <w:sz w:val="24"/>
          <w:lang w:val="lt-LT"/>
        </w:rPr>
        <w:footnoteRef/>
      </w:r>
      <w:r w:rsidR="00CD38A3" w:rsidRPr="00CD38A3">
        <w:rPr>
          <w:sz w:val="24"/>
          <w:lang w:val="lt-LT"/>
        </w:rPr>
        <w:t xml:space="preserve"> </w:t>
      </w:r>
      <w:r w:rsidR="00CD38A3" w:rsidRPr="00CD38A3">
        <w:rPr>
          <w:sz w:val="24"/>
          <w:lang w:val="lt-LT"/>
        </w:rPr>
        <w:tab/>
      </w:r>
      <w:r w:rsidRPr="00CD38A3">
        <w:rPr>
          <w:sz w:val="24"/>
          <w:lang w:val="lt-LT"/>
        </w:rPr>
        <w:t>OL L 193, 2018 7 30, p. 1.</w:t>
      </w:r>
    </w:p>
  </w:footnote>
  <w:footnote w:id="9">
    <w:p w:rsidR="00BD5AD7" w:rsidRPr="00CD38A3" w:rsidRDefault="00BD5AD7" w:rsidP="00CD38A3">
      <w:pPr>
        <w:pStyle w:val="FootnoteText"/>
        <w:ind w:left="567" w:hanging="567"/>
        <w:rPr>
          <w:sz w:val="24"/>
          <w:lang w:val="lt-LT"/>
        </w:rPr>
      </w:pPr>
      <w:r w:rsidRPr="00CD38A3">
        <w:rPr>
          <w:rStyle w:val="FootnoteReference"/>
          <w:sz w:val="24"/>
          <w:lang w:val="lt-LT"/>
        </w:rPr>
        <w:footnoteRef/>
      </w:r>
      <w:r w:rsidR="00CD38A3" w:rsidRPr="00CD38A3">
        <w:rPr>
          <w:sz w:val="24"/>
          <w:lang w:val="lt-LT"/>
        </w:rPr>
        <w:t xml:space="preserve"> </w:t>
      </w:r>
      <w:r w:rsidR="00CD38A3" w:rsidRPr="00CD38A3">
        <w:rPr>
          <w:sz w:val="24"/>
          <w:lang w:val="lt-LT"/>
        </w:rPr>
        <w:tab/>
      </w:r>
      <w:r w:rsidRPr="00CD38A3">
        <w:rPr>
          <w:sz w:val="24"/>
          <w:lang w:val="lt-LT"/>
        </w:rPr>
        <w:t>OL L 295, 2018 11 21, p. 138.</w:t>
      </w:r>
    </w:p>
  </w:footnote>
  <w:footnote w:id="10">
    <w:p w:rsidR="00BD5AD7" w:rsidRPr="00CD38A3" w:rsidRDefault="00BD5AD7" w:rsidP="00CD38A3">
      <w:pPr>
        <w:pStyle w:val="FootnoteText"/>
        <w:ind w:left="567" w:hanging="567"/>
        <w:rPr>
          <w:sz w:val="24"/>
          <w:szCs w:val="24"/>
          <w:lang w:val="lt-LT"/>
        </w:rPr>
      </w:pPr>
      <w:r w:rsidRPr="00CD38A3">
        <w:rPr>
          <w:rStyle w:val="FootnoteReference"/>
          <w:sz w:val="24"/>
          <w:lang w:val="lt-LT"/>
        </w:rPr>
        <w:footnoteRef/>
      </w:r>
      <w:r w:rsidR="00CD38A3" w:rsidRPr="00CD38A3">
        <w:rPr>
          <w:sz w:val="24"/>
          <w:lang w:val="lt-LT"/>
        </w:rPr>
        <w:t xml:space="preserve"> </w:t>
      </w:r>
      <w:r w:rsidR="00CD38A3" w:rsidRPr="00CD38A3">
        <w:rPr>
          <w:sz w:val="24"/>
          <w:lang w:val="lt-LT"/>
        </w:rPr>
        <w:tab/>
      </w:r>
      <w:r w:rsidRPr="00CD38A3">
        <w:rPr>
          <w:sz w:val="24"/>
          <w:lang w:val="lt-LT"/>
        </w:rPr>
        <w:t>OL L 122, 2019 5 10, p. 1.</w:t>
      </w:r>
    </w:p>
  </w:footnote>
  <w:footnote w:id="11">
    <w:p w:rsidR="00BD5AD7" w:rsidRPr="00CD38A3" w:rsidRDefault="00BD5AD7" w:rsidP="00CD38A3">
      <w:pPr>
        <w:pStyle w:val="FootnoteText"/>
        <w:ind w:left="567" w:hanging="567"/>
        <w:rPr>
          <w:sz w:val="24"/>
          <w:lang w:val="lt-LT"/>
        </w:rPr>
      </w:pPr>
      <w:r w:rsidRPr="00CD38A3">
        <w:rPr>
          <w:rStyle w:val="FootnoteReference"/>
          <w:sz w:val="24"/>
          <w:lang w:val="lt-LT"/>
        </w:rPr>
        <w:footnoteRef/>
      </w:r>
      <w:r w:rsidR="00CD38A3" w:rsidRPr="00CD38A3">
        <w:rPr>
          <w:sz w:val="24"/>
          <w:lang w:val="lt-LT"/>
        </w:rPr>
        <w:t xml:space="preserve"> </w:t>
      </w:r>
      <w:r w:rsidR="00CD38A3" w:rsidRPr="00CD38A3">
        <w:rPr>
          <w:sz w:val="24"/>
          <w:lang w:val="lt-LT"/>
        </w:rPr>
        <w:tab/>
      </w:r>
      <w:r w:rsidRPr="00CD38A3">
        <w:rPr>
          <w:sz w:val="24"/>
          <w:lang w:val="lt-LT"/>
        </w:rPr>
        <w:t>OL C 38, 2023 1 31, p. 194.</w:t>
      </w:r>
    </w:p>
  </w:footnote>
  <w:footnote w:id="12">
    <w:p w:rsidR="000F0C8D" w:rsidRPr="001B69F2" w:rsidRDefault="000F0C8D" w:rsidP="001B69F2">
      <w:pPr>
        <w:pStyle w:val="FootnoteText"/>
        <w:ind w:left="567" w:hanging="567"/>
        <w:rPr>
          <w:sz w:val="24"/>
          <w:szCs w:val="24"/>
          <w:lang w:val="lt-LT"/>
        </w:rPr>
      </w:pPr>
      <w:r w:rsidRPr="001B69F2">
        <w:rPr>
          <w:rStyle w:val="FootnoteReference"/>
          <w:sz w:val="24"/>
          <w:szCs w:val="24"/>
        </w:rPr>
        <w:footnoteRef/>
      </w:r>
      <w:r w:rsidRPr="001B69F2">
        <w:rPr>
          <w:sz w:val="24"/>
          <w:szCs w:val="24"/>
        </w:rPr>
        <w:t xml:space="preserve"> </w:t>
      </w:r>
      <w:r w:rsidRPr="001B69F2">
        <w:rPr>
          <w:sz w:val="24"/>
          <w:szCs w:val="24"/>
          <w:lang w:val="lt-LT"/>
        </w:rPr>
        <w:tab/>
        <w:t>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w:t>
      </w:r>
    </w:p>
  </w:footnote>
  <w:footnote w:id="13">
    <w:p w:rsidR="00D01E91" w:rsidRPr="00CD38A3" w:rsidRDefault="00D01E91" w:rsidP="00D01E91">
      <w:pPr>
        <w:pStyle w:val="FootnoteText"/>
        <w:ind w:left="567" w:hanging="567"/>
        <w:rPr>
          <w:sz w:val="24"/>
          <w:lang w:val="lt-LT"/>
        </w:rPr>
      </w:pPr>
      <w:r w:rsidRPr="00CD38A3">
        <w:rPr>
          <w:rStyle w:val="FootnoteReference"/>
          <w:sz w:val="24"/>
          <w:lang w:val="lt-LT"/>
        </w:rPr>
        <w:footnoteRef/>
      </w:r>
      <w:r w:rsidRPr="00CD38A3">
        <w:rPr>
          <w:sz w:val="24"/>
          <w:lang w:val="lt-LT"/>
        </w:rPr>
        <w:t xml:space="preserve"> </w:t>
      </w:r>
      <w:r w:rsidRPr="00CD38A3">
        <w:rPr>
          <w:sz w:val="24"/>
          <w:lang w:val="lt-LT"/>
        </w:rPr>
        <w:tab/>
      </w:r>
      <w:r w:rsidRPr="00CD38A3">
        <w:rPr>
          <w:sz w:val="24"/>
          <w:lang w:val="lt-LT"/>
        </w:rPr>
        <w:t>Priimti tekstai, P9_TA(2024)0</w:t>
      </w:r>
      <w:r w:rsidR="00CA6FE9">
        <w:rPr>
          <w:sz w:val="24"/>
          <w:lang w:val="lt-LT"/>
        </w:rPr>
        <w:t>28</w:t>
      </w:r>
      <w:r w:rsidR="00710C15">
        <w:rPr>
          <w:sz w:val="24"/>
          <w:lang w:val="lt-LT"/>
        </w:rPr>
        <w:t>0</w:t>
      </w:r>
      <w:r w:rsidRPr="00CD38A3">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8A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8A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38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LT"/>
    <w:docVar w:name="dvnumam" w:val="0"/>
    <w:docVar w:name="dvpe" w:val="753.539"/>
    <w:docVar w:name="dvrapporteur" w:val="Pranešėjas: "/>
    <w:docVar w:name="dvtitre" w:val="Europos Parlamento sprendimas dėl Europos Sąjungos bendradarbiavimo baudžiamosios teisenos srityje agentūros (Eurojusto) 2022 finansinių metų biudžeto įvykdymo patvirtinimo(2023/2168(DEC))"/>
  </w:docVars>
  <w:rsids>
    <w:rsidRoot w:val="00B21EDC"/>
    <w:rsid w:val="00002272"/>
    <w:rsid w:val="00064002"/>
    <w:rsid w:val="000677B9"/>
    <w:rsid w:val="000831BA"/>
    <w:rsid w:val="000A42CC"/>
    <w:rsid w:val="000E7DD9"/>
    <w:rsid w:val="000F0C8D"/>
    <w:rsid w:val="0010095E"/>
    <w:rsid w:val="00125B37"/>
    <w:rsid w:val="00187494"/>
    <w:rsid w:val="001B69F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0C1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301"/>
    <w:rsid w:val="009D6607"/>
    <w:rsid w:val="00A00715"/>
    <w:rsid w:val="00A1687D"/>
    <w:rsid w:val="00A43E52"/>
    <w:rsid w:val="00A4678D"/>
    <w:rsid w:val="00A778C7"/>
    <w:rsid w:val="00AB441E"/>
    <w:rsid w:val="00AB6293"/>
    <w:rsid w:val="00AE0928"/>
    <w:rsid w:val="00AF3B82"/>
    <w:rsid w:val="00B12E95"/>
    <w:rsid w:val="00B21EDC"/>
    <w:rsid w:val="00B22876"/>
    <w:rsid w:val="00B558F0"/>
    <w:rsid w:val="00BD48FE"/>
    <w:rsid w:val="00BD5AD7"/>
    <w:rsid w:val="00BD7BD8"/>
    <w:rsid w:val="00BE6ADC"/>
    <w:rsid w:val="00C05BFE"/>
    <w:rsid w:val="00C23CD4"/>
    <w:rsid w:val="00C61C0C"/>
    <w:rsid w:val="00C941CB"/>
    <w:rsid w:val="00CA6FE9"/>
    <w:rsid w:val="00CC2357"/>
    <w:rsid w:val="00CD38A3"/>
    <w:rsid w:val="00CF071A"/>
    <w:rsid w:val="00D01E91"/>
    <w:rsid w:val="00D058B8"/>
    <w:rsid w:val="00D074A8"/>
    <w:rsid w:val="00D56C11"/>
    <w:rsid w:val="00D834A0"/>
    <w:rsid w:val="00D872DF"/>
    <w:rsid w:val="00D91E21"/>
    <w:rsid w:val="00DA7FCD"/>
    <w:rsid w:val="00E365E1"/>
    <w:rsid w:val="00E820A4"/>
    <w:rsid w:val="00EB006A"/>
    <w:rsid w:val="00EB4772"/>
    <w:rsid w:val="00ED169E"/>
    <w:rsid w:val="00ED4235"/>
    <w:rsid w:val="00F04346"/>
    <w:rsid w:val="00F075DC"/>
    <w:rsid w:val="00F11F42"/>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C1A076"/>
  <w15:chartTrackingRefBased/>
  <w15:docId w15:val="{2D7BCC4C-315C-4D07-9D21-C05167425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D5AD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D5AD7"/>
    <w:pPr>
      <w:spacing w:before="480" w:after="240"/>
    </w:pPr>
  </w:style>
  <w:style w:type="paragraph" w:customStyle="1" w:styleId="PageHeading">
    <w:name w:val="PageHeading"/>
    <w:basedOn w:val="Normal"/>
    <w:rsid w:val="00BD5AD7"/>
    <w:pPr>
      <w:keepNext/>
      <w:spacing w:after="480"/>
      <w:jc w:val="center"/>
    </w:pPr>
    <w:rPr>
      <w:rFonts w:ascii="Arial" w:hAnsi="Arial" w:cs="Arial"/>
      <w:b/>
    </w:rPr>
  </w:style>
  <w:style w:type="paragraph" w:customStyle="1" w:styleId="NormalBold">
    <w:name w:val="NormalBold"/>
    <w:basedOn w:val="Normal"/>
    <w:rsid w:val="00BD5AD7"/>
    <w:rPr>
      <w:b/>
    </w:rPr>
  </w:style>
  <w:style w:type="paragraph" w:customStyle="1" w:styleId="NormalHanging12a">
    <w:name w:val="NormalHanging12a"/>
    <w:basedOn w:val="Normal"/>
    <w:link w:val="NormalHanging12aChar"/>
    <w:rsid w:val="00BD5AD7"/>
    <w:pPr>
      <w:spacing w:after="240"/>
      <w:ind w:left="567" w:hanging="567"/>
    </w:pPr>
  </w:style>
  <w:style w:type="paragraph" w:customStyle="1" w:styleId="NormalCenter12a">
    <w:name w:val="NormalCenter12a"/>
    <w:basedOn w:val="Normal"/>
    <w:rsid w:val="00BD5AD7"/>
    <w:pPr>
      <w:spacing w:after="240"/>
      <w:jc w:val="center"/>
    </w:pPr>
  </w:style>
  <w:style w:type="paragraph" w:styleId="Header">
    <w:name w:val="header"/>
    <w:basedOn w:val="Normal"/>
    <w:link w:val="HeaderChar"/>
    <w:rsid w:val="00BD5AD7"/>
    <w:pPr>
      <w:tabs>
        <w:tab w:val="center" w:pos="4513"/>
        <w:tab w:val="right" w:pos="9026"/>
      </w:tabs>
    </w:pPr>
  </w:style>
  <w:style w:type="character" w:customStyle="1" w:styleId="HeaderChar">
    <w:name w:val="Header Char"/>
    <w:basedOn w:val="DefaultParagraphFont"/>
    <w:link w:val="Header"/>
    <w:rsid w:val="00BD5AD7"/>
    <w:rPr>
      <w:sz w:val="24"/>
      <w:lang w:val="lt-LT"/>
    </w:rPr>
  </w:style>
  <w:style w:type="paragraph" w:customStyle="1" w:styleId="EPFooter">
    <w:name w:val="EPFooter"/>
    <w:basedOn w:val="Normal"/>
    <w:rsid w:val="00BD5AD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D5AD7"/>
    <w:rPr>
      <w:sz w:val="24"/>
      <w:lang w:val="lt-LT"/>
    </w:rPr>
  </w:style>
  <w:style w:type="character" w:customStyle="1" w:styleId="Normal12HangingChar">
    <w:name w:val="Normal12Hanging Char"/>
    <w:link w:val="Normal12Hanging"/>
    <w:locked/>
    <w:rsid w:val="00BD5AD7"/>
    <w:rPr>
      <w:sz w:val="24"/>
    </w:rPr>
  </w:style>
  <w:style w:type="paragraph" w:customStyle="1" w:styleId="Normal12Hanging">
    <w:name w:val="Normal12Hanging"/>
    <w:basedOn w:val="Normal"/>
    <w:link w:val="Normal12HangingChar"/>
    <w:rsid w:val="00BD5AD7"/>
    <w:pPr>
      <w:spacing w:after="240"/>
      <w:ind w:left="567" w:hanging="567"/>
    </w:pPr>
    <w:rPr>
      <w:lang w:val="en-GB"/>
    </w:rPr>
  </w:style>
  <w:style w:type="paragraph" w:styleId="Footer">
    <w:name w:val="footer"/>
    <w:basedOn w:val="Normal"/>
    <w:link w:val="FooterChar"/>
    <w:rsid w:val="00D01E91"/>
    <w:pPr>
      <w:tabs>
        <w:tab w:val="center" w:pos="4513"/>
        <w:tab w:val="right" w:pos="9026"/>
      </w:tabs>
    </w:pPr>
  </w:style>
  <w:style w:type="character" w:customStyle="1" w:styleId="FooterChar">
    <w:name w:val="Footer Char"/>
    <w:basedOn w:val="DefaultParagraphFont"/>
    <w:link w:val="Footer"/>
    <w:rsid w:val="00D01E91"/>
    <w:rPr>
      <w:sz w:val="24"/>
      <w:lang w:val="lt-LT"/>
    </w:rPr>
  </w:style>
  <w:style w:type="paragraph" w:styleId="BalloonText">
    <w:name w:val="Balloon Text"/>
    <w:basedOn w:val="Normal"/>
    <w:link w:val="BalloonTextChar"/>
    <w:rsid w:val="00A00715"/>
    <w:rPr>
      <w:rFonts w:ascii="Segoe UI" w:hAnsi="Segoe UI" w:cs="Segoe UI"/>
      <w:sz w:val="18"/>
      <w:szCs w:val="18"/>
    </w:rPr>
  </w:style>
  <w:style w:type="character" w:customStyle="1" w:styleId="BalloonTextChar">
    <w:name w:val="Balloon Text Char"/>
    <w:basedOn w:val="DefaultParagraphFont"/>
    <w:link w:val="BalloonText"/>
    <w:rsid w:val="00A00715"/>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A5833-8AD3-47EF-9F35-84393C84C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3936</Words>
  <Characters>26848</Characters>
  <Application>Microsoft Office Word</Application>
  <DocSecurity>0</DocSecurity>
  <Lines>223</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2024-04-10T16:44:00Z</dcterms:created>
  <dcterms:modified xsi:type="dcterms:W3CDTF">2024-04-11T12:21:00Z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A9-0099/2024</vt:lpwstr>
  </property>
  <property fmtid="{D5CDD505-2E9C-101B-9397-08002B2CF9AE}" pid="4" name="&lt;Type&gt;">
    <vt:lpwstr>RR</vt:lpwstr>
  </property>
</Properties>
</file>