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0240" w14:paraId="0AD96E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7E0E5A" w14:textId="77777777" w:rsidR="00751A4A" w:rsidRPr="006A0240" w:rsidRDefault="00F5170B" w:rsidP="0010095E">
            <w:pPr>
              <w:pStyle w:val="EPName"/>
            </w:pPr>
            <w:r w:rsidRPr="006A0240">
              <w:t>Parlamento Europeu</w:t>
            </w:r>
          </w:p>
          <w:p w14:paraId="07F95B9B" w14:textId="77777777" w:rsidR="00751A4A" w:rsidRPr="006A02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024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43BF2AC" w14:textId="77777777" w:rsidR="00751A4A" w:rsidRPr="006A0240" w:rsidRDefault="00187494" w:rsidP="0010095E">
            <w:pPr>
              <w:pStyle w:val="EPLogo"/>
            </w:pPr>
            <w:r w:rsidRPr="006A0240">
              <w:rPr>
                <w:noProof/>
                <w:lang w:val="en-GB"/>
              </w:rPr>
              <w:drawing>
                <wp:inline distT="0" distB="0" distL="0" distR="0" wp14:anchorId="4F164FBE" wp14:editId="25FE10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639473" w14:textId="77777777" w:rsidR="00D058B8" w:rsidRPr="006A0240" w:rsidRDefault="00D058B8" w:rsidP="004C5D52">
      <w:pPr>
        <w:pStyle w:val="LineTop"/>
      </w:pPr>
    </w:p>
    <w:p w14:paraId="5142E827" w14:textId="77777777" w:rsidR="00680577" w:rsidRPr="006A0240" w:rsidRDefault="00F5170B" w:rsidP="00680577">
      <w:pPr>
        <w:pStyle w:val="EPBodyTA1"/>
      </w:pPr>
      <w:r w:rsidRPr="006A0240">
        <w:t>TEXTOS APROVADOS</w:t>
      </w:r>
    </w:p>
    <w:p w14:paraId="0ED0FAFC" w14:textId="77777777" w:rsidR="00D058B8" w:rsidRPr="006A0240" w:rsidRDefault="00D058B8" w:rsidP="00D058B8">
      <w:pPr>
        <w:pStyle w:val="LineBottom"/>
      </w:pPr>
    </w:p>
    <w:p w14:paraId="02394EB9" w14:textId="48741D42" w:rsidR="00F5170B" w:rsidRPr="006A0240" w:rsidRDefault="00F5170B" w:rsidP="00F5170B">
      <w:pPr>
        <w:pStyle w:val="ATHeading1"/>
      </w:pPr>
      <w:bookmarkStart w:id="0" w:name="TANumber"/>
      <w:r w:rsidRPr="006A0240">
        <w:t>P9_</w:t>
      </w:r>
      <w:proofErr w:type="gramStart"/>
      <w:r w:rsidRPr="006A0240">
        <w:t>TA(</w:t>
      </w:r>
      <w:proofErr w:type="gramEnd"/>
      <w:r w:rsidRPr="006A0240">
        <w:t>2024)</w:t>
      </w:r>
      <w:bookmarkEnd w:id="0"/>
      <w:r w:rsidR="006A0240" w:rsidRPr="006A0240">
        <w:t>0246</w:t>
      </w:r>
    </w:p>
    <w:p w14:paraId="6B8DB305" w14:textId="77777777" w:rsidR="00F5170B" w:rsidRPr="006A0240" w:rsidRDefault="00F5170B" w:rsidP="00F5170B">
      <w:pPr>
        <w:pStyle w:val="ATHeading2"/>
      </w:pPr>
      <w:bookmarkStart w:id="1" w:name="title"/>
      <w:r w:rsidRPr="006A0240">
        <w:t>Quitação 2022: Agência Europeia para a Cooperação Judiciária Penal (</w:t>
      </w:r>
      <w:proofErr w:type="spellStart"/>
      <w:r w:rsidRPr="006A0240">
        <w:t>Eurojust</w:t>
      </w:r>
      <w:proofErr w:type="spellEnd"/>
      <w:r w:rsidRPr="006A0240">
        <w:t>)</w:t>
      </w:r>
      <w:bookmarkEnd w:id="1"/>
    </w:p>
    <w:p w14:paraId="3619C047" w14:textId="77777777" w:rsidR="00F5170B" w:rsidRPr="006A0240" w:rsidRDefault="00F5170B" w:rsidP="00F5170B">
      <w:pPr>
        <w:rPr>
          <w:i/>
          <w:vanish/>
        </w:rPr>
      </w:pPr>
      <w:r w:rsidRPr="006A0240">
        <w:rPr>
          <w:i/>
        </w:rPr>
        <w:fldChar w:fldCharType="begin"/>
      </w:r>
      <w:r w:rsidRPr="006A0240">
        <w:rPr>
          <w:i/>
        </w:rPr>
        <w:instrText xml:space="preserve"> TC"(</w:instrText>
      </w:r>
      <w:bookmarkStart w:id="2" w:name="DocNumber"/>
      <w:r w:rsidRPr="006A0240">
        <w:rPr>
          <w:i/>
        </w:rPr>
        <w:instrText>A9-0099/2024</w:instrText>
      </w:r>
      <w:bookmarkEnd w:id="2"/>
      <w:r w:rsidRPr="006A0240">
        <w:rPr>
          <w:i/>
        </w:rPr>
        <w:instrText xml:space="preserve"> - Relator: Petri </w:instrText>
      </w:r>
      <w:proofErr w:type="spellStart"/>
      <w:r w:rsidRPr="006A0240">
        <w:rPr>
          <w:i/>
        </w:rPr>
        <w:instrText>Sarvamaa</w:instrText>
      </w:r>
      <w:proofErr w:type="spellEnd"/>
      <w:r w:rsidRPr="006A0240">
        <w:rPr>
          <w:i/>
        </w:rPr>
        <w:instrText xml:space="preserve">)"\l3 \n&gt; \* MERGEFORMAT </w:instrText>
      </w:r>
      <w:r w:rsidRPr="006A0240">
        <w:rPr>
          <w:i/>
        </w:rPr>
        <w:fldChar w:fldCharType="end"/>
      </w:r>
    </w:p>
    <w:p w14:paraId="14F23F22" w14:textId="77777777" w:rsidR="00F5170B" w:rsidRPr="006A0240" w:rsidRDefault="00F5170B" w:rsidP="00F5170B">
      <w:pPr>
        <w:rPr>
          <w:vanish/>
        </w:rPr>
      </w:pPr>
      <w:bookmarkStart w:id="3" w:name="Commission"/>
      <w:r w:rsidRPr="006A0240">
        <w:rPr>
          <w:vanish/>
        </w:rPr>
        <w:t>Comissão do Controlo Orçamental</w:t>
      </w:r>
      <w:bookmarkEnd w:id="3"/>
    </w:p>
    <w:p w14:paraId="2C6CBEF0" w14:textId="77777777" w:rsidR="00F5170B" w:rsidRPr="006A0240" w:rsidRDefault="00F5170B" w:rsidP="00F5170B">
      <w:pPr>
        <w:rPr>
          <w:vanish/>
        </w:rPr>
      </w:pPr>
      <w:bookmarkStart w:id="4" w:name="PE"/>
      <w:r w:rsidRPr="006A0240">
        <w:rPr>
          <w:vanish/>
        </w:rPr>
        <w:t>PE753.539</w:t>
      </w:r>
      <w:bookmarkEnd w:id="4"/>
    </w:p>
    <w:p w14:paraId="62E5D0E1" w14:textId="7E9E63A9" w:rsidR="00F5170B" w:rsidRPr="006A0240" w:rsidRDefault="00CD4472" w:rsidP="00F5170B">
      <w:pPr>
        <w:pStyle w:val="ATHeading3"/>
      </w:pPr>
      <w:bookmarkStart w:id="5" w:name="Sujet"/>
      <w:r w:rsidRPr="006A0240">
        <w:t xml:space="preserve">1. </w:t>
      </w:r>
      <w:r w:rsidR="00F5170B" w:rsidRPr="006A0240">
        <w:t xml:space="preserve">Decisão do Parlamento Europeu, de </w:t>
      </w:r>
      <w:r w:rsidRPr="006A0240">
        <w:t xml:space="preserve">11 </w:t>
      </w:r>
      <w:r w:rsidR="00F5170B" w:rsidRPr="006A0240">
        <w:t xml:space="preserve">de </w:t>
      </w:r>
      <w:r w:rsidRPr="006A0240">
        <w:t xml:space="preserve">abril </w:t>
      </w:r>
      <w:r w:rsidR="00F5170B" w:rsidRPr="006A0240">
        <w:t>de 2024, sobre a quitação pela execução do orçamento da Agência da União Europeia para a Cooperação Judiciária Penal (</w:t>
      </w:r>
      <w:proofErr w:type="spellStart"/>
      <w:r w:rsidR="00F5170B" w:rsidRPr="006A0240">
        <w:t>Eurojust</w:t>
      </w:r>
      <w:proofErr w:type="spellEnd"/>
      <w:r w:rsidR="00F5170B" w:rsidRPr="006A0240">
        <w:t>) para o exercício de 2022</w:t>
      </w:r>
      <w:bookmarkEnd w:id="5"/>
      <w:r w:rsidR="00F5170B" w:rsidRPr="006A0240">
        <w:t xml:space="preserve"> </w:t>
      </w:r>
      <w:bookmarkStart w:id="6" w:name="References"/>
      <w:r w:rsidR="00F5170B" w:rsidRPr="006A0240">
        <w:t>(2023/2168(DEC))</w:t>
      </w:r>
      <w:bookmarkEnd w:id="6"/>
    </w:p>
    <w:p w14:paraId="258B43D2" w14:textId="77777777" w:rsidR="00860132" w:rsidRPr="006A0240" w:rsidRDefault="00860132" w:rsidP="00860132">
      <w:pPr>
        <w:pStyle w:val="EPComma"/>
      </w:pPr>
      <w:bookmarkStart w:id="7" w:name="TextBodyBegin"/>
      <w:bookmarkEnd w:id="7"/>
      <w:r w:rsidRPr="006A0240">
        <w:rPr>
          <w:i/>
        </w:rPr>
        <w:t>O Parlamento Europeu</w:t>
      </w:r>
      <w:r w:rsidRPr="006A0240">
        <w:t>,</w:t>
      </w:r>
    </w:p>
    <w:p w14:paraId="6AB5A155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Atendendo às contas anuais definitivas da Agência da União Europeia para a Cooperação Judiciária Penal (</w:t>
      </w:r>
      <w:proofErr w:type="spellStart"/>
      <w:r w:rsidRPr="006A0240">
        <w:t>Eurojust</w:t>
      </w:r>
      <w:proofErr w:type="spellEnd"/>
      <w:r w:rsidRPr="006A0240">
        <w:t>) relativas ao exercício de 2022,</w:t>
      </w:r>
    </w:p>
    <w:p w14:paraId="54FB361C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Atendendo ao relatório anual do Tribunal de Contas sobre as agências da UE relativo ao exercício de 2022, acompanhado das respostas das agências</w:t>
      </w:r>
      <w:r w:rsidRPr="006A0240">
        <w:rPr>
          <w:rStyle w:val="FootnoteReference"/>
        </w:rPr>
        <w:footnoteReference w:id="1"/>
      </w:r>
      <w:r w:rsidRPr="006A0240">
        <w:t>,</w:t>
      </w:r>
    </w:p>
    <w:p w14:paraId="4457B028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Atendendo à declaração relativa à fiabilidade das contas e à legalidade e regularidade das operações subjacentes</w:t>
      </w:r>
      <w:r w:rsidRPr="006A0240">
        <w:rPr>
          <w:rStyle w:val="FootnoteReference"/>
        </w:rPr>
        <w:footnoteReference w:id="2"/>
      </w:r>
      <w:r w:rsidRPr="006A0240">
        <w:t>, emitida pelo Tribunal de Contas para o exercício de 2022, nos termos do artigo 287.º do Tratado sobre o Funcionamento da União Europeia,</w:t>
      </w:r>
    </w:p>
    <w:p w14:paraId="730DBC27" w14:textId="0FE1BA25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a Recomendação do Conselho, de 22 de fevereiro de 2024, sobre a quitação a dar à Agência quanto à execução do orçamento para o exercício de 2022 (</w:t>
      </w:r>
      <w:r w:rsidR="00CD4472" w:rsidRPr="006A0240">
        <w:t>006180</w:t>
      </w:r>
      <w:r w:rsidRPr="006A0240">
        <w:t>/2024 – C9</w:t>
      </w:r>
      <w:r w:rsidRPr="006A0240">
        <w:noBreakHyphen/>
      </w:r>
      <w:r w:rsidR="00CD4472" w:rsidRPr="006A0240">
        <w:t>0106</w:t>
      </w:r>
      <w:r w:rsidRPr="006A0240">
        <w:t>/2024),</w:t>
      </w:r>
    </w:p>
    <w:p w14:paraId="70F82B43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artigo 319.º do Tratado sobre o Funcionamento da União Europeia,</w:t>
      </w:r>
    </w:p>
    <w:p w14:paraId="7BA0965B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Regulamento (UE, Euratom) 2018/1046 do Parlamento Europeu e do Conselho, de 18 de julho de 2018, relativo às disposições financeiras aplicáveis ao orçamento geral da União, que altera os Regulamentos (UE) n.º 1296/2013, (UE) n.º 1301/2013, (UE) n.º 1303/2013, (UE) n.º 1304/2013, (UE) n.º 1309/2013, (UE) n.º 1316/2013, (UE) n.º 223/2014 e (UE) n.º 283/2014, e a Decisão n.º 541/2014/UE, e revoga o Regulamento (UE, Euratom) n.º 966/2012</w:t>
      </w:r>
      <w:r w:rsidRPr="006A0240">
        <w:rPr>
          <w:rStyle w:val="FootnoteReference"/>
        </w:rPr>
        <w:footnoteReference w:id="3"/>
      </w:r>
      <w:r w:rsidRPr="006A0240">
        <w:t>, nomeadamente o artigo 70.º,</w:t>
      </w:r>
    </w:p>
    <w:p w14:paraId="5AB52C59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 xml:space="preserve">Tendo em conta o Regulamento (UE) 2018/1727 do Parlamento Europeu e do </w:t>
      </w:r>
      <w:r w:rsidRPr="006A0240">
        <w:lastRenderedPageBreak/>
        <w:t>Conselho, de 14 de novembro de 2018, que cria a Agência da União Europeia para a Cooperação Judiciária Penal (</w:t>
      </w:r>
      <w:proofErr w:type="spellStart"/>
      <w:r w:rsidRPr="006A0240">
        <w:t>Eurojust</w:t>
      </w:r>
      <w:proofErr w:type="spellEnd"/>
      <w:r w:rsidRPr="006A0240">
        <w:t>), e que substitui e revoga a Decisão 2002/187/JAI do Conselho</w:t>
      </w:r>
      <w:r w:rsidRPr="006A0240">
        <w:rPr>
          <w:rStyle w:val="FootnoteReference"/>
        </w:rPr>
        <w:footnoteReference w:id="4"/>
      </w:r>
      <w:r w:rsidRPr="006A0240">
        <w:t>, nomeadamente o artigo 63.º,</w:t>
      </w:r>
    </w:p>
    <w:p w14:paraId="737345F2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Regulamento Delegado (UE) 2019/715 da Comissão, de 18 de dezembro de 2018, que institui o regulamento financeiro-quadro dos organismos criados ao abrigo do TFUE e do Tratado Euratom e referidos no artigo 70.º do Regulamento (UE, Euratom) 2018/1046 do Parlamento Europeu e do Conselho</w:t>
      </w:r>
      <w:r w:rsidRPr="006A0240">
        <w:rPr>
          <w:rStyle w:val="FootnoteReference"/>
        </w:rPr>
        <w:footnoteReference w:id="5"/>
      </w:r>
      <w:r w:rsidRPr="006A0240">
        <w:t>, nomeadamente o artigo 105.º,</w:t>
      </w:r>
    </w:p>
    <w:p w14:paraId="284F392B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artigo 100.º e o anexo V do seu Regimento,</w:t>
      </w:r>
    </w:p>
    <w:p w14:paraId="025101F6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parecer da Comissão das Liberdades Cívicas, da Justiça e dos Assuntos Internos,</w:t>
      </w:r>
    </w:p>
    <w:p w14:paraId="78C4FDF3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relatório da Comissão do Controlo Orçamental (A9</w:t>
      </w:r>
      <w:r w:rsidRPr="006A0240">
        <w:noBreakHyphen/>
        <w:t>0099/2024),</w:t>
      </w:r>
    </w:p>
    <w:p w14:paraId="384F4D57" w14:textId="77777777" w:rsidR="00860132" w:rsidRPr="006A0240" w:rsidRDefault="00860132" w:rsidP="00860132">
      <w:pPr>
        <w:pStyle w:val="NormalHanging12a"/>
      </w:pPr>
      <w:proofErr w:type="gramStart"/>
      <w:r w:rsidRPr="006A0240">
        <w:t>1.</w:t>
      </w:r>
      <w:r w:rsidRPr="006A0240">
        <w:tab/>
        <w:t>Dá</w:t>
      </w:r>
      <w:proofErr w:type="gramEnd"/>
      <w:r w:rsidRPr="006A0240">
        <w:t xml:space="preserve"> quitação ao Diretor Administrativo da Agência da União Europeia para a Cooperação Judiciária Penal (</w:t>
      </w:r>
      <w:proofErr w:type="spellStart"/>
      <w:r w:rsidRPr="006A0240">
        <w:t>Eurojust</w:t>
      </w:r>
      <w:proofErr w:type="spellEnd"/>
      <w:r w:rsidRPr="006A0240">
        <w:t>) pela execução do orçamento da Agência para o exercício de 2022;</w:t>
      </w:r>
    </w:p>
    <w:p w14:paraId="5556C8F6" w14:textId="77777777" w:rsidR="00860132" w:rsidRPr="006A0240" w:rsidRDefault="00860132" w:rsidP="00860132">
      <w:pPr>
        <w:pStyle w:val="NormalHanging12a"/>
      </w:pPr>
      <w:proofErr w:type="gramStart"/>
      <w:r w:rsidRPr="006A0240">
        <w:t>2.</w:t>
      </w:r>
      <w:r w:rsidRPr="006A0240">
        <w:tab/>
        <w:t>Regista</w:t>
      </w:r>
      <w:proofErr w:type="gramEnd"/>
      <w:r w:rsidRPr="006A0240">
        <w:t xml:space="preserve"> as suas observações na resolução que se segue;</w:t>
      </w:r>
    </w:p>
    <w:p w14:paraId="7D6874B5" w14:textId="68AF1861" w:rsidR="00860132" w:rsidRPr="006A0240" w:rsidRDefault="00860132" w:rsidP="00860132">
      <w:pPr>
        <w:pStyle w:val="NormalHanging12a"/>
      </w:pPr>
      <w:proofErr w:type="gramStart"/>
      <w:r w:rsidRPr="006A0240">
        <w:t>3.</w:t>
      </w:r>
      <w:r w:rsidRPr="006A0240">
        <w:tab/>
        <w:t>Encarrega</w:t>
      </w:r>
      <w:proofErr w:type="gramEnd"/>
      <w:r w:rsidRPr="006A0240">
        <w:t xml:space="preserve"> a sua Presidente de transmitir a presente decisão e a resolução que desta constitui parte integrante ao Diretor Administrativo da Agência da União Europeia para a Cooperação Judiciária Penal (</w:t>
      </w:r>
      <w:proofErr w:type="spellStart"/>
      <w:r w:rsidRPr="006A0240">
        <w:t>Eurojust</w:t>
      </w:r>
      <w:proofErr w:type="spellEnd"/>
      <w:r w:rsidRPr="006A0240">
        <w:t>), ao Conselho, à Comissão e ao Tribunal de Contas</w:t>
      </w:r>
      <w:r w:rsidR="00657E19" w:rsidRPr="006A0240">
        <w:t>,</w:t>
      </w:r>
      <w:r w:rsidRPr="006A0240">
        <w:t xml:space="preserve"> e de prover à respetiva publicação no </w:t>
      </w:r>
      <w:r w:rsidRPr="006A0240">
        <w:rPr>
          <w:i/>
        </w:rPr>
        <w:t>Jornal Oficial da União Europeia</w:t>
      </w:r>
      <w:r w:rsidR="008353FC" w:rsidRPr="006A0240">
        <w:t xml:space="preserve"> (série </w:t>
      </w:r>
      <w:r w:rsidRPr="006A0240">
        <w:t>L).</w:t>
      </w:r>
    </w:p>
    <w:p w14:paraId="2B5240D0" w14:textId="77777777" w:rsidR="00860132" w:rsidRPr="006A0240" w:rsidRDefault="00860132" w:rsidP="00860132"/>
    <w:p w14:paraId="0D8D2530" w14:textId="77777777" w:rsidR="00860132" w:rsidRPr="006A0240" w:rsidRDefault="00860132" w:rsidP="00860132">
      <w:pPr>
        <w:pStyle w:val="PageHeading"/>
        <w:sectPr w:rsidR="00860132" w:rsidRPr="006A0240" w:rsidSect="00582B44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9038C2" w14:textId="2A90F92E" w:rsidR="00860132" w:rsidRPr="006A0240" w:rsidRDefault="00CD4472" w:rsidP="00860132">
      <w:pPr>
        <w:pStyle w:val="NormalBold"/>
      </w:pPr>
      <w:r w:rsidRPr="006A0240">
        <w:lastRenderedPageBreak/>
        <w:t xml:space="preserve">2. Decisão do Parlamento Europeu, de 11 de abril de 2024, </w:t>
      </w:r>
      <w:r w:rsidR="00860132" w:rsidRPr="006A0240">
        <w:t>sobre o encerramento das contas da Agência da União Europeia para a Cooperação Judiciária Penal (</w:t>
      </w:r>
      <w:proofErr w:type="spellStart"/>
      <w:r w:rsidR="00860132" w:rsidRPr="006A0240">
        <w:t>Eurojust</w:t>
      </w:r>
      <w:proofErr w:type="spellEnd"/>
      <w:r w:rsidR="00860132" w:rsidRPr="006A0240">
        <w:t>) relativas ao exercício de 2022</w:t>
      </w:r>
      <w:r w:rsidR="008353FC" w:rsidRPr="006A0240">
        <w:t xml:space="preserve"> </w:t>
      </w:r>
      <w:r w:rsidR="00860132" w:rsidRPr="006A0240">
        <w:t>(2023/2168(DEC))</w:t>
      </w:r>
    </w:p>
    <w:p w14:paraId="75DE577F" w14:textId="77777777" w:rsidR="00860132" w:rsidRPr="006A0240" w:rsidRDefault="00860132" w:rsidP="00860132">
      <w:pPr>
        <w:pStyle w:val="EPComma"/>
      </w:pPr>
      <w:r w:rsidRPr="006A0240">
        <w:rPr>
          <w:i/>
        </w:rPr>
        <w:t>O Parlamento Europeu</w:t>
      </w:r>
      <w:r w:rsidRPr="006A0240">
        <w:t>,</w:t>
      </w:r>
    </w:p>
    <w:p w14:paraId="6DCF87FD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Atendendo às contas anuais definitivas da Agência da União Europeia para a Cooperação Judiciária Penal (</w:t>
      </w:r>
      <w:proofErr w:type="spellStart"/>
      <w:r w:rsidRPr="006A0240">
        <w:t>Eurojust</w:t>
      </w:r>
      <w:proofErr w:type="spellEnd"/>
      <w:r w:rsidRPr="006A0240">
        <w:t>) relativas ao exercício de 2022,</w:t>
      </w:r>
    </w:p>
    <w:p w14:paraId="4DA0E1A1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Atendendo ao relatório anual do Tribunal de Contas sobre as agências da UE relativo ao exercício de 2022, acompanhado das respostas das agências</w:t>
      </w:r>
      <w:r w:rsidRPr="006A0240">
        <w:rPr>
          <w:rStyle w:val="FootnoteReference"/>
        </w:rPr>
        <w:footnoteReference w:id="6"/>
      </w:r>
      <w:r w:rsidRPr="006A0240">
        <w:t>,</w:t>
      </w:r>
    </w:p>
    <w:p w14:paraId="2FFCCCE8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Atendendo à declaração relativa à fiabilidade das contas e à legalidade e regularidade das operações subjacentes</w:t>
      </w:r>
      <w:r w:rsidRPr="006A0240">
        <w:rPr>
          <w:rStyle w:val="FootnoteReference"/>
        </w:rPr>
        <w:footnoteReference w:id="7"/>
      </w:r>
      <w:r w:rsidRPr="006A0240">
        <w:t>, emitida pelo Tribunal de Contas para o exercício de 2022, nos termos do artigo 287.º do Tratado sobre o Funcionamento da União Europeia,</w:t>
      </w:r>
    </w:p>
    <w:p w14:paraId="104DBDF2" w14:textId="0C0D07FA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a Recomendação do Conselho, de 22 de fevereiro de 2024, sobre a quitação a dar à Agência quanto à execução do orçamento para o exercício de 2022 (</w:t>
      </w:r>
      <w:r w:rsidR="00CD4472" w:rsidRPr="006A0240">
        <w:t>06180</w:t>
      </w:r>
      <w:r w:rsidRPr="006A0240">
        <w:t>/2024 – C9</w:t>
      </w:r>
      <w:r w:rsidRPr="006A0240">
        <w:noBreakHyphen/>
      </w:r>
      <w:r w:rsidR="00CD4472" w:rsidRPr="006A0240">
        <w:t>0106</w:t>
      </w:r>
      <w:r w:rsidRPr="006A0240">
        <w:t>/2024),</w:t>
      </w:r>
    </w:p>
    <w:p w14:paraId="117CA257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artigo 319.º do Tratado sobre o Funcionamento da União Europeia,</w:t>
      </w:r>
    </w:p>
    <w:p w14:paraId="756CAAA2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Regulamento (UE, Euratom) 2018/1046 do Parlamento Europeu e do Conselho, de 18 de julho de 2018, relativo às disposições financeiras aplicáveis ao orçamento geral da União, que altera os Regulamentos (UE) n.º 1296/2013, (UE) n.º 1301/2013, (UE) n.º 1303/2013, (UE) n.º 1304/2013, (UE) n.º 1309/2013, (UE) n.º 1316/2013, (UE) n.º 223/2014 e (UE) n.º 283/2014, e a Decisão n.º 541/2014/UE, e revoga o Regulamento (UE, Euratom) n.º 966/2012</w:t>
      </w:r>
      <w:r w:rsidRPr="006A0240">
        <w:rPr>
          <w:rStyle w:val="FootnoteReference"/>
        </w:rPr>
        <w:footnoteReference w:id="8"/>
      </w:r>
      <w:r w:rsidRPr="006A0240">
        <w:t>, nomeadamente o artigo 70.º,</w:t>
      </w:r>
    </w:p>
    <w:p w14:paraId="64DB108B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Regulamento (UE) 2018/1727 do Parlamento Europeu e do Conselho, de 14 de novembro de 2018, que cria a Agência da União Europeia para a Cooperação Judiciária Penal (</w:t>
      </w:r>
      <w:proofErr w:type="spellStart"/>
      <w:r w:rsidRPr="006A0240">
        <w:t>Eurojust</w:t>
      </w:r>
      <w:proofErr w:type="spellEnd"/>
      <w:r w:rsidRPr="006A0240">
        <w:t>), e que substitui e revoga a Decisão 2002/187/JAI do Conselho</w:t>
      </w:r>
      <w:r w:rsidRPr="006A0240">
        <w:rPr>
          <w:rStyle w:val="FootnoteReference"/>
        </w:rPr>
        <w:footnoteReference w:id="9"/>
      </w:r>
      <w:r w:rsidRPr="006A0240">
        <w:t>, nomeadamente o artigo 63.º,</w:t>
      </w:r>
    </w:p>
    <w:p w14:paraId="4316A2E6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Regulamento Delegado (UE) 2019/715 da Comissão, de 18 de dezembro de 2018, que institui o regulamento financeiro-quadro dos organismos criados ao abrigo do TFUE e do Tratado Euratom e referidos no artigo 70.º do Regulamento (UE, Euratom) 2018/1046 do Parlamento Europeu e do Conselho</w:t>
      </w:r>
      <w:r w:rsidRPr="006A0240">
        <w:rPr>
          <w:rStyle w:val="FootnoteReference"/>
        </w:rPr>
        <w:footnoteReference w:id="10"/>
      </w:r>
      <w:r w:rsidRPr="006A0240">
        <w:t>, nomeadamente o artigo 105.º,</w:t>
      </w:r>
    </w:p>
    <w:p w14:paraId="56743BCD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artigo 100.º e o anexo V do seu Regimento,</w:t>
      </w:r>
    </w:p>
    <w:p w14:paraId="4427170A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parecer da Comissão das Liberdades Cívicas, da Justiça e dos Assuntos Internos,</w:t>
      </w:r>
    </w:p>
    <w:p w14:paraId="2AABC63B" w14:textId="77777777" w:rsidR="00860132" w:rsidRPr="006A0240" w:rsidRDefault="00860132" w:rsidP="00860132">
      <w:pPr>
        <w:pStyle w:val="NormalHanging12a"/>
      </w:pPr>
      <w:r w:rsidRPr="006A0240">
        <w:lastRenderedPageBreak/>
        <w:t>–</w:t>
      </w:r>
      <w:r w:rsidRPr="006A0240">
        <w:tab/>
        <w:t>Tendo em conta o relatório da Comissão do Controlo Orçamental (A9</w:t>
      </w:r>
      <w:r w:rsidRPr="006A0240">
        <w:noBreakHyphen/>
        <w:t>0099/2024),</w:t>
      </w:r>
    </w:p>
    <w:p w14:paraId="1AE098FB" w14:textId="77777777" w:rsidR="00860132" w:rsidRPr="006A0240" w:rsidRDefault="00860132" w:rsidP="00860132">
      <w:pPr>
        <w:pStyle w:val="NormalHanging12a"/>
      </w:pPr>
      <w:proofErr w:type="gramStart"/>
      <w:r w:rsidRPr="006A0240">
        <w:t>1.</w:t>
      </w:r>
      <w:r w:rsidRPr="006A0240">
        <w:tab/>
        <w:t>Aprova</w:t>
      </w:r>
      <w:proofErr w:type="gramEnd"/>
      <w:r w:rsidRPr="006A0240">
        <w:t xml:space="preserve"> o encerramento das contas da Agência da União Europeia para a Cooperação Judiciária Penal (</w:t>
      </w:r>
      <w:proofErr w:type="spellStart"/>
      <w:r w:rsidRPr="006A0240">
        <w:t>Eurojust</w:t>
      </w:r>
      <w:proofErr w:type="spellEnd"/>
      <w:r w:rsidRPr="006A0240">
        <w:t>) para o exercício de 2022;</w:t>
      </w:r>
    </w:p>
    <w:p w14:paraId="35599CF7" w14:textId="11EB3C68" w:rsidR="00860132" w:rsidRPr="006A0240" w:rsidRDefault="00860132" w:rsidP="00860132">
      <w:pPr>
        <w:pStyle w:val="NormalHanging12a"/>
      </w:pPr>
      <w:proofErr w:type="gramStart"/>
      <w:r w:rsidRPr="006A0240">
        <w:t>2.</w:t>
      </w:r>
      <w:r w:rsidRPr="006A0240">
        <w:tab/>
        <w:t>Encarrega</w:t>
      </w:r>
      <w:proofErr w:type="gramEnd"/>
      <w:r w:rsidRPr="006A0240">
        <w:t xml:space="preserve"> a sua Presidente de transmitir a presente decisão ao Diretor Administrativo da Agência da União Europeia para a Cooperação Judiciária Penal (</w:t>
      </w:r>
      <w:proofErr w:type="spellStart"/>
      <w:r w:rsidRPr="006A0240">
        <w:t>Eurojust</w:t>
      </w:r>
      <w:proofErr w:type="spellEnd"/>
      <w:r w:rsidRPr="006A0240">
        <w:t>), ao Conselho, à Comissão e ao Tribunal de Contas</w:t>
      </w:r>
      <w:r w:rsidR="00657E19" w:rsidRPr="006A0240">
        <w:t>,</w:t>
      </w:r>
      <w:r w:rsidRPr="006A0240">
        <w:t xml:space="preserve"> e de prover à respetiva publicação no </w:t>
      </w:r>
      <w:r w:rsidRPr="006A0240">
        <w:rPr>
          <w:i/>
        </w:rPr>
        <w:t>Jornal Oficial da União Europeia</w:t>
      </w:r>
      <w:r w:rsidRPr="006A0240">
        <w:t xml:space="preserve"> (série L).</w:t>
      </w:r>
    </w:p>
    <w:p w14:paraId="49E78A05" w14:textId="77777777" w:rsidR="00860132" w:rsidRPr="006A0240" w:rsidRDefault="00860132" w:rsidP="00860132"/>
    <w:p w14:paraId="52A6B6EF" w14:textId="77777777" w:rsidR="00860132" w:rsidRPr="006A0240" w:rsidRDefault="00860132" w:rsidP="00860132">
      <w:pPr>
        <w:pStyle w:val="PageHeading"/>
        <w:sectPr w:rsidR="00860132" w:rsidRPr="006A0240" w:rsidSect="00582B4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7A4CDCAA" w14:textId="10C6FB9D" w:rsidR="00860132" w:rsidRPr="006A0240" w:rsidRDefault="00CD4472" w:rsidP="00860132">
      <w:pPr>
        <w:pStyle w:val="NormalBold"/>
      </w:pPr>
      <w:bookmarkStart w:id="8" w:name="_Toc133417007"/>
      <w:r w:rsidRPr="006A0240">
        <w:lastRenderedPageBreak/>
        <w:t>3. Resolução do Parlamento Europeu, de 11 de abril de 2024,</w:t>
      </w:r>
      <w:bookmarkEnd w:id="8"/>
      <w:r w:rsidRPr="006A0240">
        <w:t xml:space="preserve"> </w:t>
      </w:r>
      <w:r w:rsidR="00860132" w:rsidRPr="006A0240">
        <w:t>que contém as observações que constituem parte integrante da decisão sobre a quitação pela execução do orçamento da Agência da União Europeia para a Cooperação Judiciária Penal (</w:t>
      </w:r>
      <w:proofErr w:type="spellStart"/>
      <w:r w:rsidR="00860132" w:rsidRPr="006A0240">
        <w:t>Eurojust</w:t>
      </w:r>
      <w:proofErr w:type="spellEnd"/>
      <w:r w:rsidR="00860132" w:rsidRPr="006A0240">
        <w:t>) para o exercício de 2022</w:t>
      </w:r>
      <w:r w:rsidR="008353FC" w:rsidRPr="006A0240">
        <w:t xml:space="preserve"> </w:t>
      </w:r>
      <w:r w:rsidR="00860132" w:rsidRPr="006A0240">
        <w:t>(2023/2168(DEC))</w:t>
      </w:r>
    </w:p>
    <w:p w14:paraId="71BA691B" w14:textId="77777777" w:rsidR="00860132" w:rsidRPr="006A0240" w:rsidRDefault="00860132" w:rsidP="00860132">
      <w:pPr>
        <w:pStyle w:val="EPComma"/>
      </w:pPr>
      <w:r w:rsidRPr="006A0240">
        <w:rPr>
          <w:i/>
        </w:rPr>
        <w:t>O Parlamento Europeu</w:t>
      </w:r>
      <w:r w:rsidRPr="006A0240">
        <w:t>,</w:t>
      </w:r>
    </w:p>
    <w:p w14:paraId="175F1AAF" w14:textId="14BF9676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 xml:space="preserve">Tendo em conta </w:t>
      </w:r>
      <w:r w:rsidR="00657E19" w:rsidRPr="006A0240">
        <w:t xml:space="preserve">sua </w:t>
      </w:r>
      <w:r w:rsidRPr="006A0240">
        <w:t>a decisão sobre a quitação pela execução do orçamento da Agência da União Europeia para a Cooperação Judiciária Penal (</w:t>
      </w:r>
      <w:proofErr w:type="spellStart"/>
      <w:r w:rsidRPr="006A0240">
        <w:t>Eurojust</w:t>
      </w:r>
      <w:proofErr w:type="spellEnd"/>
      <w:r w:rsidRPr="006A0240">
        <w:t xml:space="preserve">) para o exercício </w:t>
      </w:r>
      <w:r w:rsidR="00657E19" w:rsidRPr="006A0240">
        <w:t>de </w:t>
      </w:r>
      <w:r w:rsidRPr="006A0240">
        <w:t>2022,</w:t>
      </w:r>
    </w:p>
    <w:p w14:paraId="368F7860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artigo 100.º e o anexo V do seu Regimento,</w:t>
      </w:r>
    </w:p>
    <w:p w14:paraId="3909DBAF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parecer da Comissão das Liberdades Cívicas, da Justiça e dos Assuntos Internos,</w:t>
      </w:r>
    </w:p>
    <w:p w14:paraId="4A3D9620" w14:textId="77777777" w:rsidR="00860132" w:rsidRPr="006A0240" w:rsidRDefault="00860132" w:rsidP="00860132">
      <w:pPr>
        <w:pStyle w:val="NormalHanging12a"/>
      </w:pPr>
      <w:r w:rsidRPr="006A0240">
        <w:t>–</w:t>
      </w:r>
      <w:r w:rsidRPr="006A0240">
        <w:tab/>
        <w:t>Tendo em conta o relatório da Comissão do Controlo Orçamental (A9</w:t>
      </w:r>
      <w:r w:rsidRPr="006A0240">
        <w:noBreakHyphen/>
        <w:t>0099/2024),</w:t>
      </w:r>
    </w:p>
    <w:p w14:paraId="37B52364" w14:textId="1CE7DD54" w:rsidR="00860132" w:rsidRPr="006A0240" w:rsidRDefault="00860132" w:rsidP="00860132">
      <w:pPr>
        <w:pStyle w:val="Normal12Hanging"/>
        <w:rPr>
          <w:szCs w:val="24"/>
          <w:lang w:val="pt-PT"/>
        </w:rPr>
      </w:pPr>
      <w:r w:rsidRPr="006A0240">
        <w:rPr>
          <w:lang w:val="pt-PT"/>
        </w:rPr>
        <w:t>A.</w:t>
      </w:r>
      <w:r w:rsidRPr="006A0240">
        <w:rPr>
          <w:lang w:val="pt-PT"/>
        </w:rPr>
        <w:tab/>
        <w:t>Considerando que, de acordo com o seu mapa de receitas e despesas</w:t>
      </w:r>
      <w:r w:rsidRPr="006A0240">
        <w:rPr>
          <w:rStyle w:val="FootnoteReference"/>
          <w:szCs w:val="24"/>
          <w:lang w:val="pt-PT"/>
        </w:rPr>
        <w:footnoteReference w:id="11"/>
      </w:r>
      <w:r w:rsidRPr="006A0240">
        <w:rPr>
          <w:lang w:val="pt-PT"/>
        </w:rPr>
        <w:t>, o orçamento definitivo da Agência da União Europeia para a Cooperação Judiciária Penal (</w:t>
      </w:r>
      <w:proofErr w:type="spellStart"/>
      <w:r w:rsidRPr="006A0240">
        <w:rPr>
          <w:lang w:val="pt-PT"/>
        </w:rPr>
        <w:t>Eurojust</w:t>
      </w:r>
      <w:proofErr w:type="spellEnd"/>
      <w:r w:rsidRPr="006A0240">
        <w:rPr>
          <w:lang w:val="pt-PT"/>
        </w:rPr>
        <w:t xml:space="preserve">) (a seguir «Agência») para o exercício de 2022 foi de 50 183 522 de EUR, o que representa um aumento de 5,84 % em relação a 2021; </w:t>
      </w:r>
      <w:r w:rsidR="00087C9C" w:rsidRPr="006A0240">
        <w:rPr>
          <w:lang w:val="pt-PT"/>
        </w:rPr>
        <w:t xml:space="preserve">considerando </w:t>
      </w:r>
      <w:r w:rsidRPr="006A0240">
        <w:rPr>
          <w:lang w:val="pt-PT"/>
        </w:rPr>
        <w:t>que o orçamento da Agência provém quase exclusivamente do orçamento da União;</w:t>
      </w:r>
    </w:p>
    <w:p w14:paraId="3B1B7E08" w14:textId="77777777" w:rsidR="00860132" w:rsidRPr="006A0240" w:rsidRDefault="00860132" w:rsidP="00860132">
      <w:pPr>
        <w:pStyle w:val="Normal12Hanging"/>
        <w:rPr>
          <w:szCs w:val="24"/>
          <w:lang w:val="pt-PT"/>
        </w:rPr>
      </w:pPr>
      <w:r w:rsidRPr="006A0240">
        <w:rPr>
          <w:lang w:val="pt-PT"/>
        </w:rPr>
        <w:t>B.</w:t>
      </w:r>
      <w:r w:rsidRPr="006A0240">
        <w:rPr>
          <w:lang w:val="pt-PT"/>
        </w:rPr>
        <w:tab/>
        <w:t>Considerando que o Tribunal de Contas (a seguir «Tribunal»), no seu relatório sobre as contas anuais da Agência para o exercício de 2022 (a seguir «relatório do Tribunal»), declara ter obtido garantias razoáveis de que as contas anuais da Agência são fiáveis e de que as operações subjacentes são lícitas e regulares;</w:t>
      </w:r>
    </w:p>
    <w:p w14:paraId="28BED66B" w14:textId="77777777" w:rsidR="00860132" w:rsidRPr="006A0240" w:rsidRDefault="00860132" w:rsidP="00860132">
      <w:pPr>
        <w:pStyle w:val="Normal12Hanging"/>
        <w:rPr>
          <w:b/>
          <w:i/>
          <w:szCs w:val="24"/>
          <w:lang w:val="pt-PT"/>
        </w:rPr>
      </w:pPr>
      <w:r w:rsidRPr="006A0240">
        <w:rPr>
          <w:b/>
          <w:i/>
          <w:lang w:val="pt-PT"/>
        </w:rPr>
        <w:t>Gestão orçamental e financeira</w:t>
      </w:r>
    </w:p>
    <w:p w14:paraId="3C3494B9" w14:textId="77777777" w:rsidR="00860132" w:rsidRPr="006A0240" w:rsidRDefault="00860132" w:rsidP="00860132">
      <w:pPr>
        <w:pStyle w:val="Normal12Hanging"/>
        <w:rPr>
          <w:szCs w:val="24"/>
          <w:lang w:val="pt-PT"/>
        </w:rPr>
      </w:pPr>
      <w:proofErr w:type="gramStart"/>
      <w:r w:rsidRPr="006A0240">
        <w:rPr>
          <w:lang w:val="pt-PT"/>
        </w:rPr>
        <w:t>1.</w:t>
      </w:r>
      <w:r w:rsidRPr="006A0240">
        <w:rPr>
          <w:lang w:val="pt-PT"/>
        </w:rPr>
        <w:tab/>
        <w:t>Regista</w:t>
      </w:r>
      <w:proofErr w:type="gramEnd"/>
      <w:r w:rsidRPr="006A0240">
        <w:rPr>
          <w:lang w:val="pt-PT"/>
        </w:rPr>
        <w:t xml:space="preserve"> com satisfação que os esforços de supervisão orçamental resultaram numa taxa de execução orçamental de 99,93 % das dotações de autorização de 2022; constata que a taxa de execução das dotações para pagamentos exercício em curso foi de 89,22 %, o que representa um acréscimo de 4,64 % relativamente a 2021;</w:t>
      </w:r>
    </w:p>
    <w:p w14:paraId="483A4C7B" w14:textId="77777777" w:rsidR="00860132" w:rsidRPr="006A0240" w:rsidRDefault="00860132" w:rsidP="00860132">
      <w:pPr>
        <w:pStyle w:val="Normal12Hanging"/>
        <w:rPr>
          <w:szCs w:val="24"/>
          <w:lang w:val="pt-PT"/>
        </w:rPr>
      </w:pPr>
      <w:r w:rsidRPr="006A0240">
        <w:rPr>
          <w:lang w:val="pt-PT"/>
        </w:rPr>
        <w:t>2.</w:t>
      </w:r>
      <w:r w:rsidRPr="006A0240">
        <w:rPr>
          <w:lang w:val="pt-PT"/>
        </w:rPr>
        <w:tab/>
        <w:t>Observa que no decurso de 2022 surgiram várias novas necessidades de financiamento, incluindo no que se refere às infraestruturas para o novo sistema de gestão de processos, ao reforço relacionado com as novas tarefas da Base de Dados de Provas de Crimes Internacionais Fundamentais (CICED) e aos aumentos salariais resultantes da elevada inflação; que essas necessidades de financiamento foram cobertas por dois orçamentos retificativos (num total de 5,7 milhões de EUR) e por várias transferências orçamentais;</w:t>
      </w:r>
    </w:p>
    <w:p w14:paraId="7F94EB43" w14:textId="14FBE478" w:rsidR="00860132" w:rsidRPr="006A0240" w:rsidRDefault="00860132" w:rsidP="00860132">
      <w:pPr>
        <w:pStyle w:val="Normal12Hanging"/>
        <w:rPr>
          <w:szCs w:val="24"/>
          <w:lang w:val="pt-PT"/>
        </w:rPr>
      </w:pPr>
      <w:r w:rsidRPr="006A0240">
        <w:rPr>
          <w:lang w:val="pt-PT"/>
        </w:rPr>
        <w:t>3.</w:t>
      </w:r>
      <w:r w:rsidRPr="006A0240">
        <w:rPr>
          <w:lang w:val="pt-PT"/>
        </w:rPr>
        <w:tab/>
        <w:t xml:space="preserve">Regista o facto de a Agência ter implantado, em 2022, o novo sistema de gestão financeira e contabilística da Comissão (SUMMA) e as questões técnicas conexas que afetaram a execução orçamental e a elaboração de relatórios da Agência; toma nota, em particular, da opinião da Agência, segundo a qual estas questões também afetaram a elevada taxa de pagamentos não executados atempadamente (52,9 %) e complicaram o acompanhamento de áreas com elevada volatilidade dos custos, como as reuniões de </w:t>
      </w:r>
      <w:r w:rsidRPr="006A0240">
        <w:rPr>
          <w:lang w:val="pt-PT"/>
        </w:rPr>
        <w:lastRenderedPageBreak/>
        <w:t xml:space="preserve">coordenação; regista, neste contexto, a observação constante do relatório do Tribunal segundo a qual a Agência, em violação de algumas das disposições do Regulamento Financeiro, não atualizou a sua estratégia de gestão e controlo de riscos para cobrir os riscos associados à aplicação do SUMMA, nem os seus circuitos financeiros e a sua estratégia de controlos </w:t>
      </w:r>
      <w:proofErr w:type="spellStart"/>
      <w:r w:rsidRPr="006A0240">
        <w:rPr>
          <w:i/>
          <w:iCs/>
          <w:lang w:val="pt-PT"/>
        </w:rPr>
        <w:t>ex</w:t>
      </w:r>
      <w:proofErr w:type="spellEnd"/>
      <w:r w:rsidRPr="006A0240">
        <w:rPr>
          <w:i/>
          <w:iCs/>
          <w:lang w:val="pt-PT"/>
        </w:rPr>
        <w:t xml:space="preserve"> ante</w:t>
      </w:r>
      <w:r w:rsidRPr="006A0240">
        <w:rPr>
          <w:lang w:val="pt-PT"/>
        </w:rPr>
        <w:t xml:space="preserve"> e </w:t>
      </w:r>
      <w:proofErr w:type="spellStart"/>
      <w:r w:rsidRPr="006A0240">
        <w:rPr>
          <w:i/>
          <w:iCs/>
          <w:lang w:val="pt-PT"/>
        </w:rPr>
        <w:t>ex</w:t>
      </w:r>
      <w:proofErr w:type="spellEnd"/>
      <w:r w:rsidRPr="006A0240">
        <w:rPr>
          <w:i/>
          <w:iCs/>
          <w:lang w:val="pt-PT"/>
        </w:rPr>
        <w:t xml:space="preserve"> </w:t>
      </w:r>
      <w:proofErr w:type="spellStart"/>
      <w:r w:rsidRPr="006A0240">
        <w:rPr>
          <w:i/>
          <w:iCs/>
          <w:lang w:val="pt-PT"/>
        </w:rPr>
        <w:t>post</w:t>
      </w:r>
      <w:proofErr w:type="spellEnd"/>
      <w:r w:rsidRPr="006A0240">
        <w:rPr>
          <w:lang w:val="pt-PT"/>
        </w:rPr>
        <w:t>, nem verifica especificamente os direitos atribuídos a um utilizador nesse sistema, o que acarreta o risco de os perfis de utilizador no SUMMA não serem corretamente atribuídos e atualizados;</w:t>
      </w:r>
    </w:p>
    <w:p w14:paraId="0F126EB7" w14:textId="77777777" w:rsidR="00860132" w:rsidRPr="006A0240" w:rsidRDefault="00860132" w:rsidP="00860132">
      <w:pPr>
        <w:pStyle w:val="NormalHanging12a"/>
      </w:pPr>
      <w:r w:rsidRPr="006A0240">
        <w:t>4.</w:t>
      </w:r>
      <w:r w:rsidRPr="006A0240">
        <w:tab/>
        <w:t xml:space="preserve">Regista com preocupação a observação que figura no relatório do Tribunal segundo a qual a Agência não cumpriu os prazos fixados no Regulamento Financeiro em 1 222 do total de 2 308 pagamentos (52,9 %); recorda e sublinha que em 720 da totalidade dos casos (31,5 %), os pagamentos registaram atrasos superiores a 30 dias; observa que a Agência atribui esta lacuna, que, na opinião do Tribunal, expõe a Agência a riscos financeiros e </w:t>
      </w:r>
      <w:proofErr w:type="spellStart"/>
      <w:r w:rsidRPr="006A0240">
        <w:t>reputacionais</w:t>
      </w:r>
      <w:proofErr w:type="spellEnd"/>
      <w:r w:rsidRPr="006A0240">
        <w:t xml:space="preserve"> e é contrária ao princípio da economia, à implantação do SUMMA; regista a resposta da Agência, segundo a qual o SUMMA se encontrava numa fase-piloto e se verificaram atrasos e dificuldades técnicas no processamento das operações, o que afetou a formação do pessoal e criou alguns desafios à gestão orçamental; constata que, apesar do aumento do montante dos pagamentos em atraso, a Agência não pagou nenhuns juros de mora; insta a Agência a dar uma resposta cabal a esta observação, abordando as dificuldades técnicas no tratamento das operações e a informar a autoridade de quitação sobre os progressos alcançados;</w:t>
      </w:r>
    </w:p>
    <w:p w14:paraId="512E223E" w14:textId="77777777" w:rsidR="00860132" w:rsidRPr="006A0240" w:rsidRDefault="00860132" w:rsidP="00860132">
      <w:pPr>
        <w:pStyle w:val="Normal12Hanging"/>
        <w:rPr>
          <w:b/>
          <w:i/>
          <w:szCs w:val="24"/>
          <w:lang w:val="pt-PT"/>
        </w:rPr>
      </w:pPr>
      <w:r w:rsidRPr="006A0240">
        <w:rPr>
          <w:b/>
          <w:i/>
          <w:lang w:val="pt-PT"/>
        </w:rPr>
        <w:t>Desempenho</w:t>
      </w:r>
    </w:p>
    <w:p w14:paraId="71E49477" w14:textId="77777777" w:rsidR="00860132" w:rsidRPr="006A0240" w:rsidRDefault="00860132" w:rsidP="00860132">
      <w:pPr>
        <w:pStyle w:val="NormalHanging12a"/>
        <w:rPr>
          <w:szCs w:val="24"/>
        </w:rPr>
      </w:pPr>
      <w:r w:rsidRPr="006A0240">
        <w:t>5.</w:t>
      </w:r>
      <w:r w:rsidRPr="006A0240">
        <w:tab/>
        <w:t>Regista que a Agência utiliza indicadores-chave de desempenho (ICD) para avaliar o valor acrescentado das suas atividades e para melhorar a sua gestão orçamental; destaca a nova Estratégia Plurianual 2022-2024 da Agência, que estabelece cinco objetivos que abrangem uma série de domínios de ação estratégicos; observa que a Agência definiu 67 ICD no seu plano de trabalho anual para 2022 e 14 ICD plurianuais para a estratégia plurianual; salienta que, excluindo os ICD considerados não mensuráveis ou pertinentes, a Agência alcançou os objetivos para 47 dos 59 ICD (88 %), o que representa um aumento em relação a 2021 (73 %); toma nota de que, em 2022, a Agência realizou progressos constantes no sentido de alcançar os seus ICD plurianuais, dos quais 10 (72 %) estavam bem orientados para atingir o seu objetivo e três (21 %) necessitavam de mais atenção, sendo que os resultados finais dos ICD da estratégia plurianual serão comunicados no final de 2024;</w:t>
      </w:r>
    </w:p>
    <w:p w14:paraId="6920814E" w14:textId="1E787A88" w:rsidR="00860132" w:rsidRPr="006A0240" w:rsidRDefault="00860132" w:rsidP="00860132">
      <w:pPr>
        <w:pStyle w:val="NormalHanging12a"/>
      </w:pPr>
      <w:r w:rsidRPr="006A0240">
        <w:t>6.</w:t>
      </w:r>
      <w:r w:rsidRPr="006A0240">
        <w:tab/>
        <w:t xml:space="preserve">Observa que o número de casos remetidos para a Agência pelos Estados-Membros continuou a aumentar, tendo sido tratados um total de 11 544 processos em 2022 (dos quais 5 227 foram recentemente abertos), o que representa um aumento de 14 % em relação a 2021; enaltece, neste contexto, o contributo da Agência na prestação de aconselhamento jurídico, análise e assistência operacional, com 941 resultados operacionais de apoio a 528 casos, nomeadamente no que respeita a casos complexos que conduziram à detenção de passadores de pessoas (incluindo migrantes), bem como à repressão ou ações contra redes criminosas em domínios como o branqueamento de capitais, a exploração sexual, a fraude ao investimento em linha ou o tráfico de droga; observa com satisfação, além disso, que, em 2022, a Agência apoiou 265 equipas de investigação conjuntas (EIC) (das quais 78 EIC recém-criadas), organizou 528 reuniões de coordenação e 22 centros de coordenação, facilitou a execução de 1 262 mandados de detenção europeus (dos quais 504 novos casos) e permitiu a utilização de 5 415 decisões europeias de investigação (cerca de metade das quais recentemente abertas); </w:t>
      </w:r>
      <w:r w:rsidRPr="006A0240">
        <w:lastRenderedPageBreak/>
        <w:t xml:space="preserve">observa que a Agência mantém relações de cooperação com o </w:t>
      </w:r>
      <w:r w:rsidR="00CD4472" w:rsidRPr="006A0240">
        <w:t>Organismo Europeu de Luta Antifraude (</w:t>
      </w:r>
      <w:r w:rsidRPr="006A0240">
        <w:t>OLAF</w:t>
      </w:r>
      <w:r w:rsidR="00CD4472" w:rsidRPr="006A0240">
        <w:t>)</w:t>
      </w:r>
      <w:r w:rsidRPr="006A0240">
        <w:t xml:space="preserve">, com vista a reforçar a luta contra os crimes lesivos dos interesses financeiros da </w:t>
      </w:r>
      <w:r w:rsidR="00CD4472" w:rsidRPr="006A0240">
        <w:t>União</w:t>
      </w:r>
      <w:r w:rsidRPr="006A0240">
        <w:t>;</w:t>
      </w:r>
    </w:p>
    <w:p w14:paraId="1F0D72B7" w14:textId="77777777" w:rsidR="00860132" w:rsidRPr="006A0240" w:rsidRDefault="00860132" w:rsidP="00860132">
      <w:pPr>
        <w:pStyle w:val="NormalHanging12a"/>
        <w:rPr>
          <w:szCs w:val="24"/>
        </w:rPr>
      </w:pPr>
      <w:r w:rsidRPr="006A0240">
        <w:t>7.</w:t>
      </w:r>
      <w:r w:rsidRPr="006A0240">
        <w:tab/>
        <w:t>Louva a Agência pelas ações empreendidas em resposta à invasão ilegal e não provocada da Ucrânia pela Rússia em 2022; observa que, três semanas após o início da guerra, a Agência apoiou a criação da EIC para investigar alegados crimes internacionais fundamentais cometidos na Ucrânia, com o objetivo de facilitar as investigações e as ações penais nos Estados em causa; salienta que a Agência prestou apoio jurídico e operacional aos gabinetes nacionais relacionados com o alargamento do acordo da EIC a novas partes (Estónia, Letónia, Roménia e Eslováquia), realizou análises jurídicas e emitiu pareceres relacionados com a participação do Tribunal Penal Internacional na EIC; sublinha ainda que a Agência presta apoio operacional ao Grupo de Trabalho «Congelar e Apreender da UE», criado pela Comissão, coordenando a aplicação das sanções da União pelos Estados-Membros por via do direito penal, através de várias ações, como a verificação periódica da lista de pessoas e empresas objeto de sanções impostas pela União com os dados que a Agência possui sobre casos existentes que tratou e a recolha de informações pertinentes a nível nacional sobre investigações passadas e em curso relacionadas com aqueles que constam da lista de sanções, a fim de facilitar os processos penais;</w:t>
      </w:r>
    </w:p>
    <w:p w14:paraId="61F6A71A" w14:textId="7CC823D5" w:rsidR="00860132" w:rsidRPr="006A0240" w:rsidRDefault="00860132" w:rsidP="00860132">
      <w:pPr>
        <w:pStyle w:val="NormalHanging12a"/>
      </w:pPr>
      <w:r w:rsidRPr="006A0240">
        <w:t>8.</w:t>
      </w:r>
      <w:r w:rsidRPr="006A0240">
        <w:tab/>
        <w:t xml:space="preserve">Congratula-se com o facto de, em 2022, a Agência ter reforçado a sua cooperação operacional e estratégica com várias partes interessadas, como as agências europeias competentes no domínio da justiça e dos assuntos internos (JAI), as instituições da União, o OLAF, a Procuradoria Europeia, as redes de profissionais da justiça, os países terceiros e as organizações internacionais; regista, em particular, a cooperação da Agência com a </w:t>
      </w:r>
      <w:r w:rsidR="00F66325" w:rsidRPr="006A0240">
        <w:t>Agência da União Europeia para a Gestão Operacional de Sistemas Informáticos de Grande Escala no Espaço de Liberdade, Segurança e Justiça</w:t>
      </w:r>
      <w:r w:rsidRPr="006A0240">
        <w:t xml:space="preserve"> (eu-LISA) sobre um relatório conjunto sobre inteligência artificial (IA) que apoia a cooperação transfronteiriça na justiça penal, com a </w:t>
      </w:r>
      <w:r w:rsidR="00F66325" w:rsidRPr="006A0240">
        <w:t>Agência da União Europeia para a Formação Policial</w:t>
      </w:r>
      <w:r w:rsidRPr="006A0240">
        <w:t xml:space="preserve"> (CEPOL) sobre 16 cursos que abrangem a cooperação judiciária e com a </w:t>
      </w:r>
      <w:r w:rsidR="00F66325" w:rsidRPr="006A0240">
        <w:t>Agência da União Europeia para a Cooperação Policial</w:t>
      </w:r>
      <w:r w:rsidRPr="006A0240">
        <w:t xml:space="preserve"> (Europol) sobre o projeto SIRIUS e o sistema «hit/no-hit» da Europol, com as autoridades nacionais de 20 Estados-Membros, a Europol, o OLAF e a Procuradoria Europeia na Operação SENTINAL, que visa combater a fraude no âmbito dos fundos de recuperação da COVID-19; destaca o contributo da Agência para as iniciativas da Comissão no domínio da digitalização da justiça (SIS II, CMS, ECRIS-TCN, entre outros); observa que a Agência tem vindo a contar com uma rede cada vez maior de pontos de contacto com as autoridades competentes de países terceiros, ao passo que, em 2022, o número total de pontos de contacto da Agência aumentou de modo a incluir a Austrália, o Barém e Marrocos; louva a expansão da cooperação da Agência em matéria penal a nível internacional, em particular através do Programa </w:t>
      </w:r>
      <w:proofErr w:type="spellStart"/>
      <w:r w:rsidRPr="006A0240">
        <w:t>EuroMed</w:t>
      </w:r>
      <w:proofErr w:type="spellEnd"/>
      <w:r w:rsidRPr="006A0240">
        <w:t xml:space="preserve"> Justiça com os Países Parceiros do Sul e de um projeto financiado pela UE centrado na cooperação transfronteiriça no domínio da justiça penal nos Balcãs Ocidentais;</w:t>
      </w:r>
    </w:p>
    <w:p w14:paraId="4E757B5E" w14:textId="77777777" w:rsidR="00860132" w:rsidRPr="006A0240" w:rsidRDefault="00860132" w:rsidP="00860132">
      <w:pPr>
        <w:widowControl/>
      </w:pPr>
      <w:r w:rsidRPr="006A0240">
        <w:br w:type="page"/>
      </w:r>
    </w:p>
    <w:p w14:paraId="0C0AA6B5" w14:textId="77777777" w:rsidR="00860132" w:rsidRPr="006A0240" w:rsidRDefault="00860132" w:rsidP="00860132">
      <w:pPr>
        <w:pStyle w:val="NormalHanging12a"/>
        <w:jc w:val="both"/>
      </w:pPr>
      <w:proofErr w:type="gramStart"/>
      <w:r w:rsidRPr="006A0240">
        <w:lastRenderedPageBreak/>
        <w:t>9.</w:t>
      </w:r>
      <w:r w:rsidRPr="006A0240">
        <w:tab/>
        <w:t>Congratula-se</w:t>
      </w:r>
      <w:proofErr w:type="gramEnd"/>
      <w:r w:rsidRPr="006A0240">
        <w:t xml:space="preserve"> com a cooperação transnacional entre as autoridades judiciárias facilitada pela Agência e com a estreita cooperação com todos os intervenientes na cadeia da justiça penal, que contribuiu para a detenção de mais de 4 000 suspeitos, a apreensão e ou o congelamento de bens de origem criminosa no valor de quase 3 mil milhões de EUR e a apreensão de drogas no valor de quase 12 mil milhões de EUR;</w:t>
      </w:r>
    </w:p>
    <w:p w14:paraId="0FAA3444" w14:textId="77777777" w:rsidR="00860132" w:rsidRPr="006A0240" w:rsidRDefault="00860132" w:rsidP="00860132">
      <w:pPr>
        <w:pStyle w:val="NormalHanging12a"/>
        <w:rPr>
          <w:b/>
          <w:i/>
          <w:szCs w:val="24"/>
        </w:rPr>
      </w:pPr>
      <w:r w:rsidRPr="006A0240">
        <w:rPr>
          <w:b/>
          <w:i/>
        </w:rPr>
        <w:t>Eficiência e ganhos</w:t>
      </w:r>
    </w:p>
    <w:p w14:paraId="0FA3C543" w14:textId="7DE0B968" w:rsidR="00860132" w:rsidRPr="006A0240" w:rsidRDefault="00860132" w:rsidP="00860132">
      <w:pPr>
        <w:pStyle w:val="NormalHanging12a"/>
        <w:rPr>
          <w:szCs w:val="24"/>
        </w:rPr>
      </w:pPr>
      <w:r w:rsidRPr="006A0240">
        <w:t>10.</w:t>
      </w:r>
      <w:r w:rsidRPr="006A0240">
        <w:tab/>
        <w:t xml:space="preserve">Salienta que, para além da implantação do SUMMA, a Agência reforçou ainda mais os seus processos e ferramentas de gestão baseada em atividades, aumentando a eficiência, a qualidade/integridade dos dados e a facilidade de utilização do seu instrumento de planeamento, introduzindo uma nova ferramenta de registo de atividades e prosseguindo a sua transição gradual de ICD de realizações para ICD de resultados; saúda a Agência por iniciar um debate com a Europol para explorar a potencial partilha de serviços médicos no futuro; louva ainda a decisão da Agência de manter determinadas eficiências obtidas durante </w:t>
      </w:r>
      <w:r w:rsidR="009F67EF" w:rsidRPr="006A0240">
        <w:t>o</w:t>
      </w:r>
      <w:r w:rsidRPr="006A0240">
        <w:t xml:space="preserve"> </w:t>
      </w:r>
      <w:r w:rsidR="009F67EF" w:rsidRPr="006A0240">
        <w:t>COVD</w:t>
      </w:r>
      <w:r w:rsidR="009F67EF" w:rsidRPr="006A0240">
        <w:noBreakHyphen/>
        <w:t>19</w:t>
      </w:r>
      <w:r w:rsidRPr="006A0240">
        <w:t>; observa, com base nas respostas da Agência às perguntas escritas do Parlamento, que, em 2022, a Agência organizou em linha 47 % das reuniões de coordenação e de todas as formações e procedimentos de seleção do pessoal, reduzindo assim significativamente os custos relacionados com os recursos financeiros e humanos, bem como 29 % de todas as reuniões de coordenação em modo híbrido;</w:t>
      </w:r>
    </w:p>
    <w:p w14:paraId="18D3436E" w14:textId="77777777" w:rsidR="00860132" w:rsidRPr="006A0240" w:rsidRDefault="00860132" w:rsidP="00860132">
      <w:pPr>
        <w:pStyle w:val="NormalHanging12a"/>
        <w:rPr>
          <w:szCs w:val="24"/>
        </w:rPr>
      </w:pPr>
      <w:r w:rsidRPr="006A0240">
        <w:t>11.</w:t>
      </w:r>
      <w:r w:rsidRPr="006A0240">
        <w:tab/>
        <w:t xml:space="preserve">Observa que, com vista a aumentar a eficiência, entraram em funcionamento dois projetos à escala da organização em 2022, o Portal Self Service da Agência e o </w:t>
      </w:r>
      <w:proofErr w:type="spellStart"/>
      <w:r w:rsidRPr="006A0240">
        <w:t>Pexip</w:t>
      </w:r>
      <w:proofErr w:type="spellEnd"/>
      <w:r w:rsidRPr="006A0240">
        <w:t>, o novo sistema de videoconferência para as reuniões de coordenação e para os centros de coordenação, com pelo menos 10 interpretações simultâneas; observa ainda que a análise da migração da Extranet existente e a seleção de fornecedores para a substituição do sistema da Biblioteca foram concluídas, estando ainda em desenvolvimento uma ferramenta de assinatura eletrónica certificada, cujos resultados são esperados em 2024; louva a Agência pela implementação de quatro novos módulos SYSPER (avaliação, cargos/descrições de funções, PND, relatórios), para além dos cinco módulos já implementados nos anos anteriores; regista o compromisso da Agência de implementar plenamente o SYSPER até 2024;</w:t>
      </w:r>
    </w:p>
    <w:p w14:paraId="7BCE8D40" w14:textId="26B14D35" w:rsidR="00860132" w:rsidRPr="006A0240" w:rsidRDefault="00860132" w:rsidP="00860132">
      <w:pPr>
        <w:pStyle w:val="NormalHanging12a"/>
      </w:pPr>
      <w:r w:rsidRPr="006A0240">
        <w:t>12.</w:t>
      </w:r>
      <w:r w:rsidRPr="006A0240">
        <w:tab/>
        <w:t xml:space="preserve">Observa, com base no relatório do Tribunal, que a Agência ainda não figura entre as agências que estabeleceram planos institucionais a fim de melhorar a eficiência energética e a neutralidade climática das suas operações, que têm alguma forma de comunicação de informações ambientais integradas nos seus relatórios anuais de atividades ou que receberam o registo </w:t>
      </w:r>
      <w:r w:rsidR="009F67EF" w:rsidRPr="006A0240">
        <w:t>do Sistema de Ecogestão e Auditoria (</w:t>
      </w:r>
      <w:r w:rsidRPr="006A0240">
        <w:t>EMAS</w:t>
      </w:r>
      <w:r w:rsidR="009F67EF" w:rsidRPr="006A0240">
        <w:t>)</w:t>
      </w:r>
      <w:r w:rsidRPr="006A0240">
        <w:t>; recorda que, em 2021, a Agência deu início à aplicação do quadro de conformidade com EMAS / ISO 14001; observa, neste contexto, que, em 2022, a Agência recebeu o relatório final da empresa de consultoria externa, incluindo todas as informações pertinentes sobre a regulamentação em matéria de ambiente nos Países Baixos; constata ainda que, em 2022, a Agência aderiu ao concurso público de consultoria no domínio dos sistemas de gestão ambiental e da redução e compensação das emissões de gases com efeito de estufa;</w:t>
      </w:r>
    </w:p>
    <w:p w14:paraId="34D46EF0" w14:textId="77777777" w:rsidR="00860132" w:rsidRPr="006A0240" w:rsidRDefault="00860132" w:rsidP="00860132">
      <w:pPr>
        <w:pStyle w:val="Normal12Hanging"/>
        <w:rPr>
          <w:b/>
          <w:i/>
          <w:szCs w:val="24"/>
          <w:lang w:val="pt-PT"/>
        </w:rPr>
      </w:pPr>
      <w:r w:rsidRPr="006A0240">
        <w:rPr>
          <w:b/>
          <w:i/>
          <w:lang w:val="pt-PT"/>
        </w:rPr>
        <w:t>Política de pessoal</w:t>
      </w:r>
    </w:p>
    <w:p w14:paraId="54B0BE1C" w14:textId="77777777" w:rsidR="00860132" w:rsidRPr="006A0240" w:rsidRDefault="00860132" w:rsidP="00860132">
      <w:pPr>
        <w:pStyle w:val="Normal12Hanging"/>
        <w:rPr>
          <w:szCs w:val="24"/>
          <w:lang w:val="pt-PT"/>
        </w:rPr>
      </w:pPr>
      <w:r w:rsidRPr="006A0240">
        <w:rPr>
          <w:lang w:val="pt-PT"/>
        </w:rPr>
        <w:t>13.</w:t>
      </w:r>
      <w:r w:rsidRPr="006A0240">
        <w:rPr>
          <w:lang w:val="pt-PT"/>
        </w:rPr>
        <w:tab/>
        <w:t xml:space="preserve">Regista que, em 31 de dezembro de 2022, o quadro do pessoal da Agência estava preenchido a 100 % (tal como em 2021), com 221 agentes temporários nomeados entre </w:t>
      </w:r>
      <w:r w:rsidRPr="006A0240">
        <w:rPr>
          <w:lang w:val="pt-PT"/>
        </w:rPr>
        <w:lastRenderedPageBreak/>
        <w:t>221 agentes temporários (AT) autorizados pelo orçamento da União para 2022, estando em funções 209 dos 221 AT e tendo sido enviadas 12 cartas de proposta de recrutamento; observa, além disso, que, em 2022, trabalhavam para a Agência 18 agentes contratuais e 22 peritos nacionais destacados; constata ainda que foi realizado um exercício de reclassificação, que conduziu à reclassificação de 53 membros do pessoal;</w:t>
      </w:r>
    </w:p>
    <w:p w14:paraId="1B7A189B" w14:textId="77777777" w:rsidR="00860132" w:rsidRPr="006A0240" w:rsidRDefault="00860132" w:rsidP="00860132">
      <w:pPr>
        <w:pStyle w:val="NormalHanging12a"/>
      </w:pPr>
      <w:r w:rsidRPr="006A0240">
        <w:t>14.</w:t>
      </w:r>
      <w:r w:rsidRPr="006A0240">
        <w:tab/>
        <w:t>Toma nota da representação de género na Agência em 2022, composta por 6 homens (60 %) e 4 mulheres (40 %) nos quadros médios e superiores, 16 homens (64 %) e 9 mulheres (36 %) no conselho de administração da Agência, sendo o total de pessoal composto por 85 homens (33 %) e 175 mulheres (67 %); insta a Agência a assegurar um melhor equilíbrio entre os géneros a todos os níveis do pessoal e a incentivar ainda mais as candidaturas do sexo feminino a cargos de gestão, bem como as candidaturas de homens em seleções externas aos restantes lugares de pessoal; reconhece que a Agência não é responsável pela composição do seu conselho de administração (a seguir designado por «Colégio»), uma vez que os membros nacionais do Colégio são nomeados diretamente pelos respetivos Estados-Membros; solicita à Comissão e aos Estados-Membros que tenham em conta a importância de assegurar o equilíbrio de género nas nomeações dos seus membros para o Colégio;</w:t>
      </w:r>
    </w:p>
    <w:p w14:paraId="360EC362" w14:textId="77777777" w:rsidR="00860132" w:rsidRPr="006A0240" w:rsidRDefault="00860132" w:rsidP="00860132">
      <w:pPr>
        <w:pStyle w:val="NormalHanging12a"/>
        <w:rPr>
          <w:szCs w:val="24"/>
        </w:rPr>
      </w:pPr>
      <w:r w:rsidRPr="006A0240">
        <w:t>15.</w:t>
      </w:r>
      <w:r w:rsidRPr="006A0240">
        <w:tab/>
        <w:t>Observa que, entre 2017 e 2022, a Agência recorreu ao aconselhamento de um escritório de advogados externo especializado em direito da função pública da União para vários pedidos de assistência relacionados com alegado assédio moral; que um pedido de assistência recebido em 2021 conduziu à abertura de dois inquéritos administrativos separados, nos quais a Agência recorreu ao apoio de dois investigadores externos; que, em ambos os casos, os inquéritos foram arquivados, tendo um deles sido novamente levado a tribunal; convida a Agência a informar a autoridade de quitação sobre o resultado deste processo;</w:t>
      </w:r>
    </w:p>
    <w:p w14:paraId="6F6A4E9B" w14:textId="77777777" w:rsidR="00860132" w:rsidRPr="006A0240" w:rsidRDefault="00860132" w:rsidP="00860132">
      <w:pPr>
        <w:pStyle w:val="NormalHanging12a"/>
        <w:rPr>
          <w:szCs w:val="24"/>
        </w:rPr>
      </w:pPr>
      <w:r w:rsidRPr="006A0240">
        <w:t>16.</w:t>
      </w:r>
      <w:r w:rsidRPr="006A0240">
        <w:tab/>
        <w:t>Salienta que, em 2022, a Agência adotou normas de aplicação do Estatuto dos Funcionários relativas, nomeadamente, à realização de inquéritos administrativos e processos disciplinares, às férias no país de origem do pessoal em serviço num país terceiro e ao pagamento do abono escolar concedido aos membros do pessoal em determinadas condições; congratula-se com as medidas tomadas pela Agência para a integração das pessoas com deficiência, bem como com o compromisso da Agência de adotar, no âmbito da execução da estratégia de recursos humanos, a «Carta sobre a diversidade e a inclusão», aprovada pelo Grupo de Trabalho sobre a Diversidade e a Inclusão da Rede JAI;</w:t>
      </w:r>
    </w:p>
    <w:p w14:paraId="5C567F80" w14:textId="77777777" w:rsidR="00860132" w:rsidRPr="006A0240" w:rsidRDefault="00860132" w:rsidP="00860132">
      <w:pPr>
        <w:pStyle w:val="NormalHanging12a"/>
      </w:pPr>
      <w:r w:rsidRPr="006A0240">
        <w:t>17.</w:t>
      </w:r>
      <w:r w:rsidRPr="006A0240">
        <w:tab/>
        <w:t>Observa que até março de 2022 o pessoal da Agência esteve, sobretudo, em teletrabalho; regista que, em abril de 2022, todo o pessoal regressou às instalações da Agência; salienta, neste contexto, que a Agência adotou medidas transitórias relativas ao trabalho no escritório e ao teletrabalho e organizou seminários para ajudar o pessoal a adaptar-se mentalmente ao regresso ao escritório após um período de teletrabalho contínuo de dois anos; observa igualmente que os resultados do Inquérito ao Pessoal da Agência realizado em 2023 indicam que as medidas de bem-estar tomadas pela Agência em 2022 atenuaram eficazmente o impacto do teletrabalho alargado no pessoal; regista, em particular, que 96 % dos inquiridos se mostraram positivos quanto à capacidade de coordenação com os membros da equipa, apesar de trabalharem a partir de diferentes locais;</w:t>
      </w:r>
    </w:p>
    <w:p w14:paraId="7D66409D" w14:textId="77777777" w:rsidR="00860132" w:rsidRPr="006A0240" w:rsidRDefault="00860132" w:rsidP="00860132">
      <w:pPr>
        <w:pStyle w:val="NormalHanging12a"/>
        <w:rPr>
          <w:b/>
          <w:i/>
        </w:rPr>
      </w:pPr>
      <w:proofErr w:type="gramStart"/>
      <w:r w:rsidRPr="006A0240">
        <w:lastRenderedPageBreak/>
        <w:t>18.</w:t>
      </w:r>
      <w:r w:rsidRPr="006A0240">
        <w:tab/>
        <w:t>Regista</w:t>
      </w:r>
      <w:proofErr w:type="gramEnd"/>
      <w:r w:rsidRPr="006A0240">
        <w:t xml:space="preserve"> com satisfação que, em 31 de dezembro de 2022, a Agência empregava pessoal de 26 Estados-Membros; observa que as nacionalidades mais representadas entre o pessoal da Agência foram os Países Baixos, a Itália, a Espanha e a Roménia; Recorda a importância do equilíbrio geográfico e incentiva a Agência a continuar a tomar as medidas necessárias para assegurar uma representação geográfica equilibrada e justa;</w:t>
      </w:r>
    </w:p>
    <w:p w14:paraId="56C9D58C" w14:textId="77777777" w:rsidR="00860132" w:rsidRPr="006A0240" w:rsidRDefault="00860132" w:rsidP="00860132">
      <w:pPr>
        <w:pStyle w:val="Normal12Hanging"/>
        <w:rPr>
          <w:b/>
          <w:i/>
          <w:szCs w:val="24"/>
          <w:lang w:val="pt-PT"/>
        </w:rPr>
      </w:pPr>
      <w:r w:rsidRPr="006A0240">
        <w:rPr>
          <w:b/>
          <w:i/>
          <w:lang w:val="pt-PT"/>
        </w:rPr>
        <w:t>Contratação pública</w:t>
      </w:r>
    </w:p>
    <w:p w14:paraId="18124849" w14:textId="77777777" w:rsidR="00860132" w:rsidRPr="006A0240" w:rsidRDefault="00860132" w:rsidP="00860132">
      <w:pPr>
        <w:pStyle w:val="NormalHanging12a"/>
      </w:pPr>
      <w:r w:rsidRPr="006A0240">
        <w:t>19.</w:t>
      </w:r>
      <w:r w:rsidRPr="006A0240">
        <w:tab/>
        <w:t>Recorda a observação do relatório do Tribunal relativo a 2020, segundo a qual um contrato-quadro para a locação financeira de veículos com um único operador económico não era adequado à natureza dos serviços exigidos e o contrato adjudicado no termo do procedimento e todos os pagamentos conexos eram irregulares; salienta, com base no relatório do Tribunal, que, em 2022, a Agência pagou irregularmente 59 281 EUR ao abrigo deste contrato e que a observação ainda está em aberto; insta a Agência a examinar a possibilidade de pôr termo a esse contrato-quadro e de lançar um novo procedimento com reabertura de concurso, tal como considerado adequado pelo Tribunal no caso da locação financeira de veículos;</w:t>
      </w:r>
    </w:p>
    <w:p w14:paraId="106BC5A1" w14:textId="3135C344" w:rsidR="00860132" w:rsidRPr="006A0240" w:rsidRDefault="00860132" w:rsidP="00860132">
      <w:pPr>
        <w:pStyle w:val="NormalHanging12a"/>
        <w:rPr>
          <w:szCs w:val="24"/>
        </w:rPr>
      </w:pPr>
      <w:r w:rsidRPr="006A0240">
        <w:t>20.</w:t>
      </w:r>
      <w:r w:rsidRPr="006A0240">
        <w:tab/>
        <w:t xml:space="preserve">Observa, com base no relatório de acompanhamento da Agência relativo à quitação </w:t>
      </w:r>
      <w:r w:rsidR="00206D84" w:rsidRPr="006A0240">
        <w:t>de </w:t>
      </w:r>
      <w:r w:rsidRPr="006A0240">
        <w:t>2021 (a seguir designado por «relatório de acompanhamento»), que a Agência continua a realizar os testes à ferramenta de gestão dos contratos públicos (PPMT), com a intenção de o utilizar para todos os novos procedimentos de adjudicação de contratos lançados a partir de 2024;</w:t>
      </w:r>
    </w:p>
    <w:p w14:paraId="1189724E" w14:textId="77777777" w:rsidR="00860132" w:rsidRPr="006A0240" w:rsidRDefault="00860132" w:rsidP="00860132">
      <w:pPr>
        <w:pStyle w:val="Normal12Hanging"/>
        <w:rPr>
          <w:b/>
          <w:i/>
          <w:szCs w:val="24"/>
          <w:lang w:val="pt-PT"/>
        </w:rPr>
      </w:pPr>
      <w:r w:rsidRPr="006A0240">
        <w:rPr>
          <w:b/>
          <w:i/>
          <w:lang w:val="pt-PT"/>
        </w:rPr>
        <w:t>Prevenção e gestão de conflitos de interesses e transparência</w:t>
      </w:r>
    </w:p>
    <w:p w14:paraId="60F2D261" w14:textId="77777777" w:rsidR="00860132" w:rsidRPr="006A0240" w:rsidRDefault="00860132" w:rsidP="00860132">
      <w:pPr>
        <w:pStyle w:val="Normal12Hanging"/>
        <w:rPr>
          <w:lang w:val="pt-PT"/>
        </w:rPr>
      </w:pPr>
      <w:r w:rsidRPr="006A0240">
        <w:rPr>
          <w:lang w:val="pt-PT"/>
        </w:rPr>
        <w:t>21.</w:t>
      </w:r>
      <w:r w:rsidRPr="006A0240">
        <w:rPr>
          <w:lang w:val="pt-PT"/>
        </w:rPr>
        <w:tab/>
        <w:t>Toma nota do procedimento operacional normalizado da Agência em matéria de gestão de conflitos de interesses aplicável a todos os candidatos aos quais é oferecido um lugar na Agência, aos recém-chegados e ao pessoal que muda de posto, bem como a todo o pessoal que sai da Agência; salienta que a Agência criou um código deontológico para os membros do Colégio e do Conselho Executivo, mas sem uma política no domínio das «portas giratórias»; observa que, em 2022, foram comunicados e geridos casos de conflitos de interesses, em particular no que respeita à participação de membros do Colégio em processos relacionados com o pessoal; regista com satisfação que as pessoas em causa se recusaram e não participaram nas deliberações e na tomada de decisões do Colégio a este respeito;</w:t>
      </w:r>
    </w:p>
    <w:p w14:paraId="1B61F085" w14:textId="7690E489" w:rsidR="00860132" w:rsidRPr="006A0240" w:rsidRDefault="00860132" w:rsidP="00860132">
      <w:pPr>
        <w:pStyle w:val="Normal12Hanging"/>
        <w:rPr>
          <w:szCs w:val="24"/>
          <w:lang w:val="pt-PT"/>
        </w:rPr>
      </w:pPr>
      <w:r w:rsidRPr="006A0240">
        <w:rPr>
          <w:lang w:val="pt-PT"/>
        </w:rPr>
        <w:t>22.</w:t>
      </w:r>
      <w:r w:rsidRPr="006A0240">
        <w:rPr>
          <w:lang w:val="pt-PT"/>
        </w:rPr>
        <w:tab/>
        <w:t xml:space="preserve">Observa que, embora a Agência não tenha reuniões com representantes de grupos de interesses, as reuniões do Conselho Executivo da Agência com convidados externos que a visitam foram publicadas na conta da Agência em 2022 e, a partir de 2023, no sítio Web público da Agência; lamenta profundamente que, apesar dos repetidos apelos do Parlamento em várias resoluções de quitação, a Agência ainda não publique no seu sítio Web os CV de todos os seus quadros superiores, peritos internos e peritos externos; insta a Agência a publicar esses </w:t>
      </w:r>
      <w:proofErr w:type="spellStart"/>
      <w:r w:rsidRPr="006A0240">
        <w:rPr>
          <w:lang w:val="pt-PT"/>
        </w:rPr>
        <w:t>CVou</w:t>
      </w:r>
      <w:proofErr w:type="spellEnd"/>
      <w:r w:rsidRPr="006A0240">
        <w:rPr>
          <w:lang w:val="pt-PT"/>
        </w:rPr>
        <w:t xml:space="preserve"> a explicar as razões pelas quais ainda não o fez;</w:t>
      </w:r>
    </w:p>
    <w:p w14:paraId="1754DD09" w14:textId="77777777" w:rsidR="00860132" w:rsidRPr="006A0240" w:rsidRDefault="00860132" w:rsidP="00860132">
      <w:pPr>
        <w:pStyle w:val="Normal12Hanging"/>
        <w:rPr>
          <w:b/>
          <w:i/>
          <w:szCs w:val="24"/>
          <w:lang w:val="pt-PT"/>
        </w:rPr>
      </w:pPr>
      <w:r w:rsidRPr="006A0240">
        <w:rPr>
          <w:b/>
          <w:i/>
          <w:lang w:val="pt-PT"/>
        </w:rPr>
        <w:t>Controlos internos</w:t>
      </w:r>
    </w:p>
    <w:p w14:paraId="2DB05705" w14:textId="77777777" w:rsidR="00860132" w:rsidRPr="006A0240" w:rsidRDefault="00860132" w:rsidP="00860132">
      <w:pPr>
        <w:pStyle w:val="NormalHanging12a"/>
        <w:rPr>
          <w:szCs w:val="24"/>
        </w:rPr>
      </w:pPr>
      <w:r w:rsidRPr="006A0240">
        <w:t>23.</w:t>
      </w:r>
      <w:r w:rsidRPr="006A0240">
        <w:tab/>
        <w:t xml:space="preserve">Recorda que, em 2021, estava em curso um inquérito do OLAF, realizado na sequência de uma denúncia anónima relativa a alegações de irregularidades nos processos de recrutamento; observa que, em 2022, o OLAF comunicou que não foram detetadas irregularidades nesta matéria; observa ainda, neste contexto, que, uma vez que este </w:t>
      </w:r>
      <w:r w:rsidRPr="006A0240">
        <w:lastRenderedPageBreak/>
        <w:t>inquérito ainda estava parcialmente pendente no final de 2022, e por razões de confidencialidade, o OLAF decidiu não partilhar mais pormenores nessa fase; congratula-se, com base no relatório de acompanhamento, com o compromisso da Agência de manter a autoridade de quitação informada em tempo útil sobre qualquer evolução nesta matéria;</w:t>
      </w:r>
    </w:p>
    <w:p w14:paraId="61072FDC" w14:textId="77777777" w:rsidR="00860132" w:rsidRPr="006A0240" w:rsidRDefault="00860132" w:rsidP="00860132">
      <w:pPr>
        <w:pStyle w:val="NormalHanging12a"/>
        <w:rPr>
          <w:szCs w:val="24"/>
        </w:rPr>
      </w:pPr>
      <w:r w:rsidRPr="006A0240">
        <w:t>24.</w:t>
      </w:r>
      <w:r w:rsidRPr="006A0240">
        <w:tab/>
        <w:t xml:space="preserve">Observa que, no final de 2022, existiam quatro recomendações significativamente atrasadas emitidas pelo Serviço de Auditoria Interna (SAI) da Comissão em 2019 e 2021; salienta, neste contexto, que, no que respeita à recomendação do SAI de 2021 sobre as tarefas operacionais, emitida por iniciativa própria, o grupo de trabalho interno pertinente da Agência chegou a acordo sobre um documento estratégico e um plano de ação, com ações a curto e a médio prazo, algumas das quais já foram postas em prática em 2023, razão pela qual, sob reserva da avaliação final do SAI, a Agência considerou que essa recomendação foi seguida; observa ainda, com base no relatório de acompanhamento, no que respeita à recomendação do SAI emitida em 2021 para que a Agência realizasse um inquérito </w:t>
      </w:r>
      <w:proofErr w:type="spellStart"/>
      <w:r w:rsidRPr="006A0240">
        <w:t>iCAT</w:t>
      </w:r>
      <w:proofErr w:type="spellEnd"/>
      <w:r w:rsidRPr="006A0240">
        <w:t xml:space="preserve"> a fim de reforçar a avaliação dos controlos não vinculativos, que o lançamento desse inquérito, previsto para o quarto trimestre de 2022, foi adiado devido à execução de grandes projetos </w:t>
      </w:r>
      <w:proofErr w:type="spellStart"/>
      <w:r w:rsidRPr="006A0240">
        <w:t>interorganizacionais</w:t>
      </w:r>
      <w:proofErr w:type="spellEnd"/>
      <w:r w:rsidRPr="006A0240">
        <w:t xml:space="preserve"> (por exemplo, o SUMMA), ao aumento da carga de trabalho devido a novas prioridades relacionadas com a guerra na Ucrânia e ao período de transição entre a partida do anterior diretor administrativo e a nomeação do novo diretor administrativo; regista, neste contexto, que as questões pertinentes do </w:t>
      </w:r>
      <w:proofErr w:type="spellStart"/>
      <w:r w:rsidRPr="006A0240">
        <w:t>iCAT</w:t>
      </w:r>
      <w:proofErr w:type="spellEnd"/>
      <w:r w:rsidRPr="006A0240">
        <w:t xml:space="preserve"> foram integradas no inquérito sobre o empenho do pessoal da Agência, lançado no segundo trimestre de 2023; observa, por último, que, sob reserva da avaliação final do SAI, há que considerar que esta recomendação também foi seguida pela Agência; insta a Agência a acelerar a aplicação das restantes recomendações do SAI em aberto, em particular as que estão significativamente atrasadas;</w:t>
      </w:r>
    </w:p>
    <w:p w14:paraId="6BC3EAFA" w14:textId="77777777" w:rsidR="00860132" w:rsidRPr="006A0240" w:rsidRDefault="00860132" w:rsidP="00860132">
      <w:pPr>
        <w:pStyle w:val="NormalHanging12a"/>
      </w:pPr>
      <w:r w:rsidRPr="006A0240">
        <w:t>25.</w:t>
      </w:r>
      <w:r w:rsidRPr="006A0240">
        <w:tab/>
        <w:t>Regista com preocupação o aumento significativo do número e do valor dos casos de incumprimento em 2022 (43 eventos no valor de 294 000 EUR) face a 2021 (33 eventos no valor de 18 000 EUR), sendo que essas ocorrências se prenderam sobretudo com situações em que o montante faturado era superior ao montante previsto no compromisso jurídico, em que a autorização orçamental ocorreu após o compromisso jurídico ter sido assumido ou em que não existia uma ordem de compra ou um contrato específico; observa que a Agência explica que esse aumento está relacionado com as dificuldades encontradas na gestão orçamental e financeira em 2022, devido à introdução do SUMMA; insta a Agência a dar resposta a estas observações e a explorar modelos para que este tipo de situações deixe de ocorrer no futuro;</w:t>
      </w:r>
    </w:p>
    <w:p w14:paraId="561A73C7" w14:textId="77777777" w:rsidR="00860132" w:rsidRPr="006A0240" w:rsidRDefault="00860132" w:rsidP="00860132">
      <w:pPr>
        <w:pStyle w:val="NormalHanging12a"/>
        <w:rPr>
          <w:szCs w:val="24"/>
        </w:rPr>
      </w:pPr>
      <w:r w:rsidRPr="006A0240">
        <w:t>26.</w:t>
      </w:r>
      <w:r w:rsidRPr="006A0240">
        <w:tab/>
        <w:t>Observa que, em 2022, as componentes e os princípios do quadro de controlo interno da Agência estavam presentes e funcionavam e o sistema foi globalmente eficaz, sendo necessárias algumas melhorias no que diz respeito, por exemplo, à aplicação do SUMMA e à necessidade de adotar um plano de recuperação na sequência de catástrofe; saúda a Agência pela adoção de uma política sobre funções sensíveis, pelo projeto de avaliação da relação custo-eficácia e dos benefícios da nomeação de uma estrutura de auditoria interna (EAI) e pela ausência de recomendações ou observações críticas de auditoria em 2022; convida a Agência a informar a autoridade de quitação do resultado da avaliação relativa à EAI; louva, por último, as novas ações da Agência na sequência da adoção, em 2021, da estratégia antifraude da Agência; observa, neste sentido, que a Agência adotou, em 2022, novos procedimentos internos para a gestão de ativos e de inventário;</w:t>
      </w:r>
    </w:p>
    <w:p w14:paraId="4FD875FB" w14:textId="77777777" w:rsidR="00860132" w:rsidRPr="006A0240" w:rsidRDefault="00860132" w:rsidP="00860132">
      <w:pPr>
        <w:pStyle w:val="Normal12Hanging"/>
        <w:rPr>
          <w:b/>
          <w:i/>
          <w:szCs w:val="24"/>
          <w:lang w:val="pt-PT"/>
        </w:rPr>
      </w:pPr>
      <w:r w:rsidRPr="006A0240">
        <w:rPr>
          <w:b/>
          <w:i/>
          <w:lang w:val="pt-PT"/>
        </w:rPr>
        <w:lastRenderedPageBreak/>
        <w:t>Outras observações</w:t>
      </w:r>
    </w:p>
    <w:p w14:paraId="3E32EC1C" w14:textId="77777777" w:rsidR="00860132" w:rsidRPr="006A0240" w:rsidRDefault="00860132" w:rsidP="00860132">
      <w:pPr>
        <w:pStyle w:val="Normal12Hanging"/>
        <w:rPr>
          <w:szCs w:val="24"/>
          <w:lang w:val="pt-PT"/>
        </w:rPr>
      </w:pPr>
      <w:r w:rsidRPr="006A0240">
        <w:rPr>
          <w:lang w:val="pt-PT"/>
        </w:rPr>
        <w:t>27.</w:t>
      </w:r>
      <w:r w:rsidRPr="006A0240">
        <w:rPr>
          <w:lang w:val="pt-PT"/>
        </w:rPr>
        <w:tab/>
        <w:t>Saúde a Agência por investir nas suas atividades de comunicação, a fim de aumentar a visibilidade e a compreensão do seu trabalho junto de um vasto público; regista, consequentemente, um aumento de 40 % dos indicadores das redes sociais da Agência, de quase 100 % do número de visitantes do sítio Web da Agência e de 16 % do número de comunicados de imprensa e notícias em 2022, em comparação com 2021, sendo que este último indicador conduziu a um aumento de cerca de cinco vezes mais menções em comparação com 2021;</w:t>
      </w:r>
    </w:p>
    <w:p w14:paraId="4298C46A" w14:textId="0682FA13" w:rsidR="00860132" w:rsidRPr="006A0240" w:rsidRDefault="00860132" w:rsidP="00860132">
      <w:pPr>
        <w:pStyle w:val="Normal12Hanging"/>
        <w:rPr>
          <w:szCs w:val="24"/>
          <w:lang w:val="pt-PT"/>
        </w:rPr>
      </w:pPr>
      <w:r w:rsidRPr="006A0240">
        <w:rPr>
          <w:lang w:val="pt-PT"/>
        </w:rPr>
        <w:t>28.</w:t>
      </w:r>
      <w:r w:rsidRPr="006A0240">
        <w:rPr>
          <w:lang w:val="pt-PT"/>
        </w:rPr>
        <w:tab/>
        <w:t>Louva os esforços continuados da Agência em 2022 para reforçar o seu respeito pela proteção de dados; congratula-se com o aumento da equipa do encarregado da proteção de dados (EPD) da Agência, que conta com mais dois efetivos para as novas tarefas relacionadas com o Regulamento (UE) 2018/1725</w:t>
      </w:r>
      <w:r w:rsidR="00206D84" w:rsidRPr="006A0240">
        <w:rPr>
          <w:rStyle w:val="FootnoteReference"/>
          <w:lang w:val="pt-PT"/>
        </w:rPr>
        <w:footnoteReference w:id="12"/>
      </w:r>
      <w:r w:rsidRPr="006A0240">
        <w:rPr>
          <w:lang w:val="pt-PT"/>
        </w:rPr>
        <w:t xml:space="preserve"> e com o alargamento do mandato da Agência para os crimes internacionais mais graves, o que acresce aos requisitos em matéria de proteção de dados; observa que, em 2022, o EPD e a Autoridade Europeia para a Proteção de Dados continuaram a realizar reuniões regulares (bimestrais), bem como reuniões </w:t>
      </w:r>
      <w:r w:rsidRPr="006A0240">
        <w:rPr>
          <w:i/>
          <w:iCs/>
          <w:lang w:val="pt-PT"/>
        </w:rPr>
        <w:t>ad hoc</w:t>
      </w:r>
      <w:r w:rsidRPr="006A0240">
        <w:rPr>
          <w:lang w:val="pt-PT"/>
        </w:rPr>
        <w:t xml:space="preserve"> e consultas sobre várias questões relacionadas com a proteção de dados, tais como violações de dados e queixas, entre outras;</w:t>
      </w:r>
    </w:p>
    <w:p w14:paraId="79B3F2F7" w14:textId="77777777" w:rsidR="00860132" w:rsidRPr="006A0240" w:rsidRDefault="00860132" w:rsidP="00860132">
      <w:pPr>
        <w:pStyle w:val="Normal12Hanging"/>
        <w:rPr>
          <w:szCs w:val="24"/>
          <w:lang w:val="pt-PT"/>
        </w:rPr>
      </w:pPr>
      <w:r w:rsidRPr="006A0240">
        <w:rPr>
          <w:lang w:val="pt-PT"/>
        </w:rPr>
        <w:t>29.</w:t>
      </w:r>
      <w:r w:rsidRPr="006A0240">
        <w:rPr>
          <w:lang w:val="pt-PT"/>
        </w:rPr>
        <w:tab/>
        <w:t>Louva ainda a Agência pela aplicação, em 2022, de várias medidas destinadas a aumentar a cibersegurança e a proteção dos registos digitais na sua posse, tais como a utilização de telemóveis institucionais geridos centralmente e seguros, a introdução de sessões internas de sensibilização «</w:t>
      </w:r>
      <w:proofErr w:type="spellStart"/>
      <w:r w:rsidRPr="006A0240">
        <w:rPr>
          <w:lang w:val="pt-PT"/>
        </w:rPr>
        <w:t>CyberCafe</w:t>
      </w:r>
      <w:proofErr w:type="spellEnd"/>
      <w:r w:rsidRPr="006A0240">
        <w:rPr>
          <w:lang w:val="pt-PT"/>
        </w:rPr>
        <w:t>» e a instituição da proteção contra os ataques distribuídos de negação de serviço, entre outras;</w:t>
      </w:r>
    </w:p>
    <w:p w14:paraId="077CF37B" w14:textId="77777777" w:rsidR="008353FC" w:rsidRPr="006A0240" w:rsidRDefault="008353FC" w:rsidP="008353FC">
      <w:pPr>
        <w:pStyle w:val="NormalCenter12a"/>
        <w:widowControl/>
      </w:pPr>
      <w:r w:rsidRPr="006A0240">
        <w:t>°</w:t>
      </w:r>
    </w:p>
    <w:p w14:paraId="5F957200" w14:textId="77777777" w:rsidR="008353FC" w:rsidRPr="006A0240" w:rsidRDefault="008353FC" w:rsidP="008353FC">
      <w:pPr>
        <w:pStyle w:val="NormalCenter12a"/>
        <w:widowControl/>
      </w:pPr>
      <w:r w:rsidRPr="006A0240">
        <w:t>°     °</w:t>
      </w:r>
    </w:p>
    <w:p w14:paraId="03434C4F" w14:textId="1CCECDCA" w:rsidR="00860132" w:rsidRPr="006A0240" w:rsidRDefault="00860132" w:rsidP="00860132">
      <w:pPr>
        <w:pStyle w:val="NormalHanging12a"/>
      </w:pPr>
      <w:r w:rsidRPr="006A0240">
        <w:t>30.</w:t>
      </w:r>
      <w:r w:rsidRPr="006A0240">
        <w:tab/>
      </w:r>
      <w:r w:rsidRPr="006A0240">
        <w:rPr>
          <w:snapToGrid w:val="0"/>
        </w:rPr>
        <w:t xml:space="preserve">Remete, em relação a outras observações, de natureza horizontal, que acompanham a sua decisão sobre a quitação, para a sua Resolução, de </w:t>
      </w:r>
      <w:r w:rsidR="008353FC" w:rsidRPr="006A0240">
        <w:rPr>
          <w:snapToGrid w:val="0"/>
        </w:rPr>
        <w:t>11 de abril de</w:t>
      </w:r>
      <w:r w:rsidR="008353FC" w:rsidRPr="006A0240">
        <w:t xml:space="preserve"> </w:t>
      </w:r>
      <w:r w:rsidRPr="006A0240">
        <w:t>2024</w:t>
      </w:r>
      <w:r w:rsidRPr="006A0240">
        <w:rPr>
          <w:rStyle w:val="FootnoteReference"/>
        </w:rPr>
        <w:footnoteReference w:id="13"/>
      </w:r>
      <w:r w:rsidRPr="006A0240">
        <w:t xml:space="preserve">, </w:t>
      </w:r>
      <w:r w:rsidRPr="006A0240">
        <w:rPr>
          <w:snapToGrid w:val="0"/>
        </w:rPr>
        <w:t>sobre o desempenho, a gestão financeira e o controlo das agências</w:t>
      </w:r>
      <w:r w:rsidRPr="006A0240">
        <w:t>.</w:t>
      </w:r>
    </w:p>
    <w:sectPr w:rsidR="00860132" w:rsidRPr="006A0240" w:rsidSect="00582B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CE033" w14:textId="77777777" w:rsidR="00F5170B" w:rsidRPr="00582B44" w:rsidRDefault="00F5170B">
      <w:r w:rsidRPr="00582B44">
        <w:separator/>
      </w:r>
    </w:p>
  </w:endnote>
  <w:endnote w:type="continuationSeparator" w:id="0">
    <w:p w14:paraId="1C1D0E74" w14:textId="77777777" w:rsidR="00F5170B" w:rsidRPr="00582B44" w:rsidRDefault="00F5170B">
      <w:r w:rsidRPr="00582B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B86CA" w14:textId="77777777" w:rsidR="00860132" w:rsidRPr="00582B44" w:rsidRDefault="00860132" w:rsidP="006D62D8">
    <w:pPr>
      <w:pStyle w:val="EPFooter"/>
    </w:pPr>
    <w:r w:rsidRPr="00582B44">
      <w:t>PE</w:t>
    </w:r>
    <w:r w:rsidRPr="00582B44">
      <w:rPr>
        <w:rStyle w:val="HideTWBExt"/>
      </w:rPr>
      <w:t>&lt;</w:t>
    </w:r>
    <w:proofErr w:type="spellStart"/>
    <w:r w:rsidRPr="00582B44">
      <w:rPr>
        <w:rStyle w:val="HideTWBExt"/>
      </w:rPr>
      <w:t>NoPE</w:t>
    </w:r>
    <w:proofErr w:type="spellEnd"/>
    <w:r w:rsidRPr="00582B44">
      <w:rPr>
        <w:rStyle w:val="HideTWBExt"/>
      </w:rPr>
      <w:t>&gt;</w:t>
    </w:r>
    <w:r w:rsidRPr="00582B44">
      <w:t>753.539</w:t>
    </w:r>
    <w:r w:rsidRPr="00582B44">
      <w:rPr>
        <w:rStyle w:val="HideTWBExt"/>
      </w:rPr>
      <w:t>&lt;/</w:t>
    </w:r>
    <w:proofErr w:type="spellStart"/>
    <w:r w:rsidRPr="00582B44">
      <w:rPr>
        <w:rStyle w:val="HideTWBExt"/>
      </w:rPr>
      <w:t>NoPE</w:t>
    </w:r>
    <w:proofErr w:type="spellEnd"/>
    <w:r w:rsidRPr="00582B44">
      <w:rPr>
        <w:rStyle w:val="HideTWBExt"/>
      </w:rPr>
      <w:t>&gt;&lt;Version&gt;</w:t>
    </w:r>
    <w:r w:rsidRPr="00582B44">
      <w:t>v02-00</w:t>
    </w:r>
    <w:r w:rsidRPr="00582B44">
      <w:rPr>
        <w:rStyle w:val="HideTWBExt"/>
      </w:rPr>
      <w:t>&lt;/</w:t>
    </w:r>
    <w:proofErr w:type="spellStart"/>
    <w:r w:rsidRPr="00582B44">
      <w:rPr>
        <w:rStyle w:val="HideTWBExt"/>
      </w:rPr>
      <w:t>Version</w:t>
    </w:r>
    <w:proofErr w:type="spellEnd"/>
    <w:r w:rsidRPr="00582B44">
      <w:rPr>
        <w:rStyle w:val="HideTWBExt"/>
      </w:rPr>
      <w:t>&gt;</w:t>
    </w:r>
    <w:r w:rsidRPr="00582B44">
      <w:tab/>
    </w:r>
    <w:r w:rsidRPr="00582B44">
      <w:fldChar w:fldCharType="begin"/>
    </w:r>
    <w:r w:rsidRPr="00582B44">
      <w:instrText xml:space="preserve"> PAGE  \* MERGEFORMAT </w:instrText>
    </w:r>
    <w:r w:rsidRPr="00582B44">
      <w:fldChar w:fldCharType="separate"/>
    </w:r>
    <w:r w:rsidRPr="00582B44">
      <w:rPr>
        <w:noProof/>
      </w:rPr>
      <w:t>4</w:t>
    </w:r>
    <w:r w:rsidRPr="00582B44">
      <w:fldChar w:fldCharType="end"/>
    </w:r>
    <w:r w:rsidRPr="00582B44">
      <w:t>/</w:t>
    </w:r>
    <w:fldSimple w:instr=" NUMPAGES  \* MERGEFORMAT ">
      <w:r w:rsidRPr="00582B44">
        <w:rPr>
          <w:noProof/>
        </w:rPr>
        <w:t>4</w:t>
      </w:r>
    </w:fldSimple>
    <w:r w:rsidRPr="00582B44">
      <w:tab/>
    </w:r>
    <w:r w:rsidRPr="00582B44">
      <w:rPr>
        <w:rStyle w:val="HideTWBExt"/>
      </w:rPr>
      <w:t>&lt;PathFdR&gt;</w:t>
    </w:r>
    <w:r w:rsidRPr="00582B44">
      <w:t>RR\1298768PT.docx</w:t>
    </w:r>
    <w:r w:rsidRPr="00582B44">
      <w:rPr>
        <w:rStyle w:val="HideTWBExt"/>
      </w:rPr>
      <w:t>&lt;/</w:t>
    </w:r>
    <w:proofErr w:type="spellStart"/>
    <w:r w:rsidRPr="00582B44">
      <w:rPr>
        <w:rStyle w:val="HideTWBExt"/>
      </w:rPr>
      <w:t>PathFdR</w:t>
    </w:r>
    <w:proofErr w:type="spellEnd"/>
    <w:r w:rsidRPr="00582B44">
      <w:rPr>
        <w:rStyle w:val="HideTWBExt"/>
      </w:rPr>
      <w:t>&gt;</w:t>
    </w:r>
  </w:p>
  <w:p w14:paraId="604EE63F" w14:textId="77777777" w:rsidR="00860132" w:rsidRPr="00582B44" w:rsidRDefault="00860132" w:rsidP="006D62D8">
    <w:pPr>
      <w:pStyle w:val="EPFooter2"/>
    </w:pPr>
    <w:r w:rsidRPr="00582B44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BEB1C" w14:textId="77777777" w:rsidR="00860132" w:rsidRPr="008353FC" w:rsidRDefault="00860132" w:rsidP="008353FC">
    <w:pPr>
      <w:pStyle w:val="EPFooter2"/>
      <w:ind w:left="0"/>
      <w:rPr>
        <w:rFonts w:ascii="Times New Roman" w:hAnsi="Times New Roman" w:cs="Times New Roman"/>
        <w:b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4C67A" w14:textId="77777777" w:rsidR="00860132" w:rsidRPr="00582B44" w:rsidRDefault="00860132" w:rsidP="006D62D8">
    <w:pPr>
      <w:pStyle w:val="EPFooter"/>
    </w:pPr>
    <w:r w:rsidRPr="00582B44">
      <w:rPr>
        <w:rStyle w:val="HideTWBExt"/>
      </w:rPr>
      <w:t>&lt;PathFdR&gt;</w:t>
    </w:r>
    <w:r w:rsidRPr="00582B44">
      <w:t>RR\1298768PT.docx</w:t>
    </w:r>
    <w:r w:rsidRPr="00582B44">
      <w:rPr>
        <w:rStyle w:val="HideTWBExt"/>
      </w:rPr>
      <w:t>&lt;/</w:t>
    </w:r>
    <w:proofErr w:type="spellStart"/>
    <w:r w:rsidRPr="00582B44">
      <w:rPr>
        <w:rStyle w:val="HideTWBExt"/>
      </w:rPr>
      <w:t>PathFdR</w:t>
    </w:r>
    <w:proofErr w:type="spellEnd"/>
    <w:r w:rsidRPr="00582B44">
      <w:rPr>
        <w:rStyle w:val="HideTWBExt"/>
      </w:rPr>
      <w:t>&gt;</w:t>
    </w:r>
    <w:r w:rsidRPr="00582B44">
      <w:tab/>
    </w:r>
    <w:r w:rsidRPr="00582B44">
      <w:tab/>
      <w:t>PE</w:t>
    </w:r>
    <w:r w:rsidRPr="00582B44">
      <w:rPr>
        <w:rStyle w:val="HideTWBExt"/>
      </w:rPr>
      <w:t>&lt;</w:t>
    </w:r>
    <w:proofErr w:type="spellStart"/>
    <w:r w:rsidRPr="00582B44">
      <w:rPr>
        <w:rStyle w:val="HideTWBExt"/>
      </w:rPr>
      <w:t>NoPE</w:t>
    </w:r>
    <w:proofErr w:type="spellEnd"/>
    <w:r w:rsidRPr="00582B44">
      <w:rPr>
        <w:rStyle w:val="HideTWBExt"/>
      </w:rPr>
      <w:t>&gt;</w:t>
    </w:r>
    <w:r w:rsidRPr="00582B44">
      <w:t>753.539</w:t>
    </w:r>
    <w:r w:rsidRPr="00582B44">
      <w:rPr>
        <w:rStyle w:val="HideTWBExt"/>
      </w:rPr>
      <w:t>&lt;/</w:t>
    </w:r>
    <w:proofErr w:type="spellStart"/>
    <w:r w:rsidRPr="00582B44">
      <w:rPr>
        <w:rStyle w:val="HideTWBExt"/>
      </w:rPr>
      <w:t>NoPE</w:t>
    </w:r>
    <w:proofErr w:type="spellEnd"/>
    <w:r w:rsidRPr="00582B44">
      <w:rPr>
        <w:rStyle w:val="HideTWBExt"/>
      </w:rPr>
      <w:t>&gt;&lt;Version&gt;</w:t>
    </w:r>
    <w:r w:rsidRPr="00582B44">
      <w:t>v02-00</w:t>
    </w:r>
    <w:r w:rsidRPr="00582B44">
      <w:rPr>
        <w:rStyle w:val="HideTWBExt"/>
      </w:rPr>
      <w:t>&lt;/</w:t>
    </w:r>
    <w:proofErr w:type="spellStart"/>
    <w:r w:rsidRPr="00582B44">
      <w:rPr>
        <w:rStyle w:val="HideTWBExt"/>
      </w:rPr>
      <w:t>Version</w:t>
    </w:r>
    <w:proofErr w:type="spellEnd"/>
    <w:r w:rsidRPr="00582B44">
      <w:rPr>
        <w:rStyle w:val="HideTWBExt"/>
      </w:rPr>
      <w:t>&gt;</w:t>
    </w:r>
  </w:p>
  <w:p w14:paraId="502F1986" w14:textId="77777777" w:rsidR="00860132" w:rsidRPr="00582B44" w:rsidRDefault="00860132" w:rsidP="006D62D8">
    <w:pPr>
      <w:pStyle w:val="EPFooter2"/>
    </w:pPr>
    <w:r w:rsidRPr="00582B44">
      <w:t>PT</w:t>
    </w:r>
    <w:r w:rsidRPr="00582B44">
      <w:tab/>
    </w:r>
    <w:r w:rsidRPr="00582B44">
      <w:rPr>
        <w:b w:val="0"/>
        <w:i/>
        <w:color w:val="C0C0C0"/>
        <w:sz w:val="22"/>
      </w:rPr>
      <w:t>Unida na diversidade</w:t>
    </w:r>
    <w:r w:rsidRPr="00582B44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BBF8E" w14:textId="77777777" w:rsidR="00064002" w:rsidRPr="00582B4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3BAF1" w14:textId="77777777" w:rsidR="00064002" w:rsidRPr="00582B4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9F09A" w14:textId="77777777" w:rsidR="00064002" w:rsidRPr="00582B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C1E1E" w14:textId="77777777" w:rsidR="00F5170B" w:rsidRPr="00582B44" w:rsidRDefault="00F5170B">
      <w:r w:rsidRPr="00582B44">
        <w:separator/>
      </w:r>
    </w:p>
  </w:footnote>
  <w:footnote w:type="continuationSeparator" w:id="0">
    <w:p w14:paraId="68915121" w14:textId="77777777" w:rsidR="00F5170B" w:rsidRPr="00582B44" w:rsidRDefault="00F5170B">
      <w:r w:rsidRPr="00582B44">
        <w:continuationSeparator/>
      </w:r>
    </w:p>
  </w:footnote>
  <w:footnote w:id="1">
    <w:p w14:paraId="1EF3BEA3" w14:textId="77777777" w:rsidR="00860132" w:rsidRPr="006A0240" w:rsidRDefault="00860132" w:rsidP="00582B44">
      <w:pPr>
        <w:pStyle w:val="FootnoteText"/>
        <w:ind w:left="567" w:hanging="567"/>
        <w:rPr>
          <w:sz w:val="24"/>
          <w:lang w:val="fi-FI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6A0240">
        <w:rPr>
          <w:sz w:val="24"/>
          <w:lang w:val="fi-FI"/>
        </w:rPr>
        <w:t xml:space="preserve"> </w:t>
      </w:r>
      <w:r w:rsidR="00582B44" w:rsidRPr="006A0240">
        <w:rPr>
          <w:sz w:val="24"/>
          <w:lang w:val="fi-FI"/>
        </w:rPr>
        <w:tab/>
      </w:r>
      <w:r w:rsidRPr="006A0240">
        <w:rPr>
          <w:sz w:val="24"/>
          <w:lang w:val="fi-FI"/>
        </w:rPr>
        <w:t>JO C, C/2023/594, 27.10.2023.</w:t>
      </w:r>
    </w:p>
  </w:footnote>
  <w:footnote w:id="2">
    <w:p w14:paraId="07E53C20" w14:textId="77777777" w:rsidR="00860132" w:rsidRPr="006A0240" w:rsidRDefault="00860132" w:rsidP="00582B44">
      <w:pPr>
        <w:pStyle w:val="FootnoteText"/>
        <w:ind w:left="567" w:hanging="567"/>
        <w:rPr>
          <w:sz w:val="24"/>
          <w:lang w:val="fi-FI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6A0240">
        <w:rPr>
          <w:sz w:val="24"/>
          <w:lang w:val="fi-FI"/>
        </w:rPr>
        <w:t xml:space="preserve"> </w:t>
      </w:r>
      <w:r w:rsidR="00582B44" w:rsidRPr="006A0240">
        <w:rPr>
          <w:sz w:val="24"/>
          <w:lang w:val="fi-FI"/>
        </w:rPr>
        <w:tab/>
      </w:r>
      <w:r w:rsidRPr="006A0240">
        <w:rPr>
          <w:sz w:val="24"/>
          <w:lang w:val="fi-FI"/>
        </w:rPr>
        <w:t>JO C, C/2023/112, 12.10.2023.</w:t>
      </w:r>
    </w:p>
  </w:footnote>
  <w:footnote w:id="3">
    <w:p w14:paraId="004040FD" w14:textId="77777777" w:rsidR="00860132" w:rsidRPr="006A0240" w:rsidRDefault="00860132" w:rsidP="00582B44">
      <w:pPr>
        <w:pStyle w:val="FootnoteText"/>
        <w:ind w:left="567" w:hanging="567"/>
        <w:rPr>
          <w:sz w:val="24"/>
          <w:lang w:val="fi-FI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6A0240">
        <w:rPr>
          <w:sz w:val="24"/>
          <w:lang w:val="fi-FI"/>
        </w:rPr>
        <w:t xml:space="preserve"> </w:t>
      </w:r>
      <w:r w:rsidR="00582B44" w:rsidRPr="006A0240">
        <w:rPr>
          <w:sz w:val="24"/>
          <w:lang w:val="fi-FI"/>
        </w:rPr>
        <w:tab/>
      </w:r>
      <w:r w:rsidRPr="006A0240">
        <w:rPr>
          <w:sz w:val="24"/>
          <w:lang w:val="fi-FI"/>
        </w:rPr>
        <w:t>JO L 193 de 30.7.2018, p. 1.</w:t>
      </w:r>
    </w:p>
  </w:footnote>
  <w:footnote w:id="4">
    <w:p w14:paraId="3C09E794" w14:textId="77777777" w:rsidR="00860132" w:rsidRPr="006A0240" w:rsidRDefault="00860132" w:rsidP="00582B44">
      <w:pPr>
        <w:pStyle w:val="FootnoteText"/>
        <w:ind w:left="567" w:hanging="567"/>
        <w:rPr>
          <w:sz w:val="24"/>
          <w:lang w:val="da-DK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6A0240">
        <w:rPr>
          <w:sz w:val="24"/>
          <w:lang w:val="da-DK"/>
        </w:rPr>
        <w:t xml:space="preserve"> </w:t>
      </w:r>
      <w:r w:rsidR="00582B44" w:rsidRPr="006A0240">
        <w:rPr>
          <w:sz w:val="24"/>
          <w:lang w:val="da-DK"/>
        </w:rPr>
        <w:tab/>
      </w:r>
      <w:r w:rsidRPr="006A0240">
        <w:rPr>
          <w:sz w:val="24"/>
          <w:lang w:val="da-DK"/>
        </w:rPr>
        <w:t>JO L 295 de 21.11.2018, p. 138.</w:t>
      </w:r>
    </w:p>
  </w:footnote>
  <w:footnote w:id="5">
    <w:p w14:paraId="6305DF0C" w14:textId="77777777" w:rsidR="00860132" w:rsidRPr="006A0240" w:rsidRDefault="00860132" w:rsidP="00582B44">
      <w:pPr>
        <w:pStyle w:val="FootnoteText"/>
        <w:ind w:left="567" w:hanging="567"/>
        <w:rPr>
          <w:sz w:val="24"/>
          <w:lang w:val="da-DK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6A0240">
        <w:rPr>
          <w:sz w:val="24"/>
          <w:lang w:val="da-DK"/>
        </w:rPr>
        <w:t xml:space="preserve"> </w:t>
      </w:r>
      <w:r w:rsidR="00582B44" w:rsidRPr="006A0240">
        <w:rPr>
          <w:sz w:val="24"/>
          <w:lang w:val="da-DK"/>
        </w:rPr>
        <w:tab/>
      </w:r>
      <w:r w:rsidRPr="006A0240">
        <w:rPr>
          <w:sz w:val="24"/>
          <w:lang w:val="da-DK"/>
        </w:rPr>
        <w:t>JO L 122 de 10.5.2019, p. 1.</w:t>
      </w:r>
    </w:p>
  </w:footnote>
  <w:footnote w:id="6">
    <w:p w14:paraId="734AC61E" w14:textId="77777777" w:rsidR="00860132" w:rsidRPr="006A0240" w:rsidRDefault="00860132" w:rsidP="00582B44">
      <w:pPr>
        <w:pStyle w:val="FootnoteText"/>
        <w:ind w:left="567" w:hanging="567"/>
        <w:rPr>
          <w:sz w:val="24"/>
          <w:lang w:val="fi-FI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6A0240">
        <w:rPr>
          <w:sz w:val="24"/>
          <w:lang w:val="fi-FI"/>
        </w:rPr>
        <w:t xml:space="preserve"> </w:t>
      </w:r>
      <w:r w:rsidR="00582B44" w:rsidRPr="006A0240">
        <w:rPr>
          <w:sz w:val="24"/>
          <w:lang w:val="fi-FI"/>
        </w:rPr>
        <w:tab/>
      </w:r>
      <w:r w:rsidRPr="006A0240">
        <w:rPr>
          <w:sz w:val="24"/>
          <w:lang w:val="fi-FI"/>
        </w:rPr>
        <w:t>JO C, C/2023/594, 27.10.2023.</w:t>
      </w:r>
    </w:p>
  </w:footnote>
  <w:footnote w:id="7">
    <w:p w14:paraId="169F6948" w14:textId="77777777" w:rsidR="00860132" w:rsidRPr="006A0240" w:rsidRDefault="00860132" w:rsidP="00582B44">
      <w:pPr>
        <w:pStyle w:val="FootnoteText"/>
        <w:ind w:left="567" w:hanging="567"/>
        <w:rPr>
          <w:sz w:val="24"/>
          <w:lang w:val="fi-FI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6A0240">
        <w:rPr>
          <w:sz w:val="24"/>
          <w:lang w:val="fi-FI"/>
        </w:rPr>
        <w:t xml:space="preserve"> </w:t>
      </w:r>
      <w:r w:rsidR="00582B44" w:rsidRPr="006A0240">
        <w:rPr>
          <w:sz w:val="24"/>
          <w:lang w:val="fi-FI"/>
        </w:rPr>
        <w:tab/>
      </w:r>
      <w:r w:rsidRPr="006A0240">
        <w:rPr>
          <w:sz w:val="24"/>
          <w:lang w:val="fi-FI"/>
        </w:rPr>
        <w:t>JO C, C/2023/112, 12.10.2023.</w:t>
      </w:r>
    </w:p>
  </w:footnote>
  <w:footnote w:id="8">
    <w:p w14:paraId="7C96B6B6" w14:textId="77777777" w:rsidR="00860132" w:rsidRPr="006A0240" w:rsidRDefault="00860132" w:rsidP="00582B44">
      <w:pPr>
        <w:pStyle w:val="FootnoteText"/>
        <w:ind w:left="567" w:hanging="567"/>
        <w:rPr>
          <w:sz w:val="24"/>
          <w:lang w:val="fi-FI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6A0240">
        <w:rPr>
          <w:sz w:val="24"/>
          <w:lang w:val="fi-FI"/>
        </w:rPr>
        <w:t xml:space="preserve"> </w:t>
      </w:r>
      <w:r w:rsidR="00582B44" w:rsidRPr="006A0240">
        <w:rPr>
          <w:sz w:val="24"/>
          <w:lang w:val="fi-FI"/>
        </w:rPr>
        <w:tab/>
      </w:r>
      <w:r w:rsidRPr="006A0240">
        <w:rPr>
          <w:sz w:val="24"/>
          <w:lang w:val="fi-FI"/>
        </w:rPr>
        <w:t>JO L 193 de 30.7.2018, p. 1.</w:t>
      </w:r>
    </w:p>
  </w:footnote>
  <w:footnote w:id="9">
    <w:p w14:paraId="3CEC4FDD" w14:textId="77777777" w:rsidR="00860132" w:rsidRPr="006A0240" w:rsidRDefault="00860132" w:rsidP="00582B44">
      <w:pPr>
        <w:pStyle w:val="FootnoteText"/>
        <w:ind w:left="567" w:hanging="567"/>
        <w:rPr>
          <w:sz w:val="24"/>
          <w:lang w:val="da-DK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6A0240">
        <w:rPr>
          <w:sz w:val="24"/>
          <w:lang w:val="da-DK"/>
        </w:rPr>
        <w:t xml:space="preserve"> </w:t>
      </w:r>
      <w:r w:rsidR="00582B44" w:rsidRPr="006A0240">
        <w:rPr>
          <w:sz w:val="24"/>
          <w:lang w:val="da-DK"/>
        </w:rPr>
        <w:tab/>
      </w:r>
      <w:r w:rsidRPr="006A0240">
        <w:rPr>
          <w:sz w:val="24"/>
          <w:lang w:val="da-DK"/>
        </w:rPr>
        <w:t>JO L 295 de 21.11.2018, p. 138.</w:t>
      </w:r>
    </w:p>
  </w:footnote>
  <w:footnote w:id="10">
    <w:p w14:paraId="50C0B2EB" w14:textId="77777777" w:rsidR="00860132" w:rsidRPr="006A0240" w:rsidRDefault="00860132" w:rsidP="00582B44">
      <w:pPr>
        <w:pStyle w:val="FootnoteText"/>
        <w:ind w:left="567" w:hanging="567"/>
        <w:rPr>
          <w:sz w:val="24"/>
          <w:lang w:val="da-DK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6A0240">
        <w:rPr>
          <w:sz w:val="24"/>
          <w:lang w:val="da-DK"/>
        </w:rPr>
        <w:t xml:space="preserve"> </w:t>
      </w:r>
      <w:r w:rsidR="00582B44" w:rsidRPr="006A0240">
        <w:rPr>
          <w:sz w:val="24"/>
          <w:lang w:val="da-DK"/>
        </w:rPr>
        <w:tab/>
      </w:r>
      <w:r w:rsidRPr="006A0240">
        <w:rPr>
          <w:sz w:val="24"/>
          <w:lang w:val="da-DK"/>
        </w:rPr>
        <w:t>JO L 122 de 10.5.2019, p. 1.</w:t>
      </w:r>
    </w:p>
  </w:footnote>
  <w:footnote w:id="11">
    <w:p w14:paraId="0B9CAEDA" w14:textId="1F18840C" w:rsidR="00860132" w:rsidRPr="00582B44" w:rsidRDefault="00860132" w:rsidP="00582B44">
      <w:pPr>
        <w:pStyle w:val="FootnoteText"/>
        <w:ind w:left="567" w:hanging="567"/>
        <w:rPr>
          <w:sz w:val="24"/>
          <w:lang w:val="pt-PT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582B44">
        <w:rPr>
          <w:sz w:val="24"/>
          <w:lang w:val="pt-PT"/>
        </w:rPr>
        <w:t xml:space="preserve"> </w:t>
      </w:r>
      <w:r w:rsidR="00582B44" w:rsidRPr="00582B44">
        <w:rPr>
          <w:sz w:val="24"/>
          <w:lang w:val="pt-PT"/>
        </w:rPr>
        <w:tab/>
      </w:r>
      <w:r w:rsidR="00B14FBD">
        <w:rPr>
          <w:sz w:val="24"/>
          <w:lang w:val="pt-PT"/>
        </w:rPr>
        <w:t xml:space="preserve">JO C 38 </w:t>
      </w:r>
      <w:r w:rsidR="00B14FBD">
        <w:rPr>
          <w:sz w:val="24"/>
          <w:lang w:val="pt-PT"/>
        </w:rPr>
        <w:t>de</w:t>
      </w:r>
      <w:bookmarkStart w:id="9" w:name="_GoBack"/>
      <w:bookmarkEnd w:id="9"/>
      <w:r w:rsidRPr="00582B44">
        <w:rPr>
          <w:sz w:val="24"/>
          <w:lang w:val="pt-PT"/>
        </w:rPr>
        <w:t xml:space="preserve"> 31.1.2023, p. 194.</w:t>
      </w:r>
    </w:p>
  </w:footnote>
  <w:footnote w:id="12">
    <w:p w14:paraId="69C04D11" w14:textId="1B70949C" w:rsidR="00206D84" w:rsidRPr="006A0240" w:rsidRDefault="00206D84" w:rsidP="006A0240">
      <w:pPr>
        <w:pStyle w:val="FootnoteText"/>
        <w:ind w:left="567" w:hanging="567"/>
        <w:rPr>
          <w:sz w:val="24"/>
          <w:szCs w:val="24"/>
          <w:lang w:val="pt-PT"/>
        </w:rPr>
      </w:pPr>
      <w:r w:rsidRPr="006A0240">
        <w:rPr>
          <w:rStyle w:val="FootnoteReference"/>
          <w:sz w:val="24"/>
          <w:szCs w:val="24"/>
        </w:rPr>
        <w:footnoteRef/>
      </w:r>
      <w:r w:rsidRPr="006A0240">
        <w:rPr>
          <w:sz w:val="24"/>
          <w:szCs w:val="24"/>
          <w:lang w:val="pt-PT"/>
        </w:rPr>
        <w:t xml:space="preserve"> </w:t>
      </w:r>
      <w:r w:rsidRPr="006A0240">
        <w:rPr>
          <w:sz w:val="24"/>
          <w:szCs w:val="24"/>
          <w:lang w:val="pt-PT"/>
        </w:rPr>
        <w:tab/>
        <w:t>Regulamento (UE) 2018/1725 do Parlamento Europeu e do Conselho, de 23 de outubro de 2018, relativo à proteção das pessoas singulares no que diz respeito ao tratamento de dados pessoais pelas instituições e pelos órgãos e organismos da União e à livre circulação desses dados, e que revoga o Regulamento (CE) n.º 45/2001 e a Decisão n.º 1247/2002/CE (JO L 295 de 21.11.2018, p. 39).</w:t>
      </w:r>
    </w:p>
  </w:footnote>
  <w:footnote w:id="13">
    <w:p w14:paraId="14EC8DA1" w14:textId="7EED8A51" w:rsidR="00860132" w:rsidRPr="00582B44" w:rsidRDefault="00860132" w:rsidP="00582B44">
      <w:pPr>
        <w:pStyle w:val="FootnoteText"/>
        <w:ind w:left="567" w:hanging="567"/>
        <w:rPr>
          <w:sz w:val="24"/>
          <w:lang w:val="pt-PT"/>
        </w:rPr>
      </w:pPr>
      <w:r w:rsidRPr="00582B44">
        <w:rPr>
          <w:rStyle w:val="FootnoteReference"/>
          <w:sz w:val="24"/>
          <w:lang w:val="pt-PT"/>
        </w:rPr>
        <w:footnoteRef/>
      </w:r>
      <w:r w:rsidR="00582B44" w:rsidRPr="00582B44">
        <w:rPr>
          <w:sz w:val="24"/>
          <w:lang w:val="pt-PT"/>
        </w:rPr>
        <w:t xml:space="preserve"> </w:t>
      </w:r>
      <w:r w:rsidR="00582B44" w:rsidRPr="00582B44">
        <w:rPr>
          <w:sz w:val="24"/>
          <w:lang w:val="pt-PT"/>
        </w:rPr>
        <w:tab/>
      </w:r>
      <w:r w:rsidRPr="00582B44">
        <w:rPr>
          <w:sz w:val="24"/>
          <w:lang w:val="pt-PT"/>
        </w:rPr>
        <w:t xml:space="preserve">Textos </w:t>
      </w:r>
      <w:r w:rsidR="008353FC">
        <w:rPr>
          <w:sz w:val="24"/>
          <w:lang w:val="pt-PT"/>
        </w:rPr>
        <w:t>A</w:t>
      </w:r>
      <w:r w:rsidR="008353FC" w:rsidRPr="00582B44">
        <w:rPr>
          <w:sz w:val="24"/>
          <w:lang w:val="pt-PT"/>
        </w:rPr>
        <w:t>provados</w:t>
      </w:r>
      <w:r w:rsidRPr="00582B44">
        <w:rPr>
          <w:sz w:val="24"/>
          <w:lang w:val="pt-PT"/>
        </w:rPr>
        <w:t>, P9_</w:t>
      </w:r>
      <w:proofErr w:type="gramStart"/>
      <w:r w:rsidRPr="00582B44">
        <w:rPr>
          <w:sz w:val="24"/>
          <w:lang w:val="pt-PT"/>
        </w:rPr>
        <w:t>TA(</w:t>
      </w:r>
      <w:proofErr w:type="gramEnd"/>
      <w:r w:rsidRPr="00582B44">
        <w:rPr>
          <w:sz w:val="24"/>
          <w:lang w:val="pt-PT"/>
        </w:rPr>
        <w:t>2024)</w:t>
      </w:r>
      <w:r w:rsidR="006A0240" w:rsidRPr="00582B44">
        <w:rPr>
          <w:sz w:val="24"/>
          <w:lang w:val="pt-PT"/>
        </w:rPr>
        <w:t>0</w:t>
      </w:r>
      <w:r w:rsidR="00AC4DEE">
        <w:rPr>
          <w:sz w:val="24"/>
          <w:lang w:val="pt-PT"/>
        </w:rPr>
        <w:t>280</w:t>
      </w:r>
      <w:r w:rsidRPr="00582B44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F3666" w14:textId="77777777" w:rsidR="00064002" w:rsidRPr="00582B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A284C" w14:textId="77777777" w:rsidR="00064002" w:rsidRPr="00582B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24C6B" w14:textId="77777777" w:rsidR="00064002" w:rsidRPr="00582B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4"/>
    <w:docVar w:name="dvlangue" w:val="PT"/>
    <w:docVar w:name="dvnumam" w:val="0"/>
    <w:docVar w:name="dvpe" w:val="753.539"/>
    <w:docVar w:name="dvrapporteur" w:val="Relator: "/>
    <w:docVar w:name="dvtitre" w:val="Decisão do Parlamento Europeu, de ... de ... de 2024,_x000d__x000a_ sobre a quitação pela execução do orçamento da Agência da União Europeia para a Cooperação Judiciária Penal (Eurojust) para o exercício de 2022(2023/2168(DEC))"/>
  </w:docVars>
  <w:rsids>
    <w:rsidRoot w:val="00F5170B"/>
    <w:rsid w:val="00002272"/>
    <w:rsid w:val="00064002"/>
    <w:rsid w:val="000677B9"/>
    <w:rsid w:val="000831BA"/>
    <w:rsid w:val="00087C9C"/>
    <w:rsid w:val="000A42CC"/>
    <w:rsid w:val="000E7DD9"/>
    <w:rsid w:val="0010095E"/>
    <w:rsid w:val="00113C75"/>
    <w:rsid w:val="00125B37"/>
    <w:rsid w:val="00187494"/>
    <w:rsid w:val="001F32AE"/>
    <w:rsid w:val="00206D8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B44"/>
    <w:rsid w:val="005C2568"/>
    <w:rsid w:val="006037C0"/>
    <w:rsid w:val="00657E19"/>
    <w:rsid w:val="006631B6"/>
    <w:rsid w:val="00680577"/>
    <w:rsid w:val="006A024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3FC"/>
    <w:rsid w:val="00842779"/>
    <w:rsid w:val="0086013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EE1"/>
    <w:rsid w:val="00981893"/>
    <w:rsid w:val="009F67EF"/>
    <w:rsid w:val="00A1687D"/>
    <w:rsid w:val="00A43E52"/>
    <w:rsid w:val="00A4678D"/>
    <w:rsid w:val="00A778C7"/>
    <w:rsid w:val="00AB441E"/>
    <w:rsid w:val="00AB6293"/>
    <w:rsid w:val="00AC4DEE"/>
    <w:rsid w:val="00AE0928"/>
    <w:rsid w:val="00AF3B82"/>
    <w:rsid w:val="00B12E95"/>
    <w:rsid w:val="00B14FBD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47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70B"/>
    <w:rsid w:val="00F66325"/>
    <w:rsid w:val="00F74202"/>
    <w:rsid w:val="00F87713"/>
    <w:rsid w:val="00FB4360"/>
    <w:rsid w:val="00FD0C70"/>
    <w:rsid w:val="00FF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CB164"/>
  <w15:chartTrackingRefBased/>
  <w15:docId w15:val="{17766C23-EED2-490E-9DD7-6490AF78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601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60132"/>
    <w:pPr>
      <w:spacing w:before="480" w:after="240"/>
    </w:pPr>
  </w:style>
  <w:style w:type="paragraph" w:customStyle="1" w:styleId="PageHeading">
    <w:name w:val="PageHeading"/>
    <w:basedOn w:val="Normal"/>
    <w:rsid w:val="008601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60132"/>
    <w:rPr>
      <w:b/>
    </w:rPr>
  </w:style>
  <w:style w:type="paragraph" w:customStyle="1" w:styleId="NormalHanging12a">
    <w:name w:val="NormalHanging12a"/>
    <w:basedOn w:val="Normal"/>
    <w:link w:val="NormalHanging12aChar"/>
    <w:rsid w:val="00860132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60132"/>
    <w:pPr>
      <w:spacing w:after="240"/>
      <w:jc w:val="center"/>
    </w:pPr>
  </w:style>
  <w:style w:type="paragraph" w:styleId="Header">
    <w:name w:val="header"/>
    <w:basedOn w:val="Normal"/>
    <w:link w:val="HeaderChar"/>
    <w:rsid w:val="008601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32"/>
    <w:rPr>
      <w:sz w:val="24"/>
      <w:lang w:val="pt-PT"/>
    </w:rPr>
  </w:style>
  <w:style w:type="paragraph" w:customStyle="1" w:styleId="EPFooter">
    <w:name w:val="EPFooter"/>
    <w:basedOn w:val="Normal"/>
    <w:rsid w:val="008601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860132"/>
    <w:rPr>
      <w:sz w:val="24"/>
      <w:lang w:val="pt-PT"/>
    </w:rPr>
  </w:style>
  <w:style w:type="character" w:customStyle="1" w:styleId="Normal12HangingChar">
    <w:name w:val="Normal12Hanging Char"/>
    <w:link w:val="Normal12Hanging"/>
    <w:locked/>
    <w:rsid w:val="00860132"/>
    <w:rPr>
      <w:sz w:val="24"/>
    </w:rPr>
  </w:style>
  <w:style w:type="paragraph" w:customStyle="1" w:styleId="Normal12Hanging">
    <w:name w:val="Normal12Hanging"/>
    <w:basedOn w:val="Normal"/>
    <w:link w:val="Normal12HangingChar"/>
    <w:rsid w:val="00860132"/>
    <w:pPr>
      <w:spacing w:after="240"/>
      <w:ind w:left="567" w:hanging="567"/>
    </w:pPr>
    <w:rPr>
      <w:lang w:val="en-GB"/>
    </w:rPr>
  </w:style>
  <w:style w:type="character" w:styleId="CommentReference">
    <w:name w:val="annotation reference"/>
    <w:basedOn w:val="DefaultParagraphFont"/>
    <w:rsid w:val="008353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53F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353F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353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53FC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8353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53FC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6B9EC-019C-4C4B-9E3B-3E8578049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5087</Words>
  <Characters>26832</Characters>
  <Application>Microsoft Office Word</Application>
  <DocSecurity>0</DocSecurity>
  <Lines>223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2024-05-16T22:53:00Z</dcterms:created>
  <dcterms:modified xsi:type="dcterms:W3CDTF">2024-05-16T22:53:00Z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P9_TA(2024)0246_</vt:lpwstr>
  </property>
  <property fmtid="{D5CDD505-2E9C-101B-9397-08002B2CF9AE}" pid="4" name="&lt;Type&gt;">
    <vt:lpwstr>RR</vt:lpwstr>
  </property>
</Properties>
</file>