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4F1D" w:rsidTr="0010095E">
        <w:trPr>
          <w:trHeight w:hRule="exact" w:val="1418"/>
        </w:trPr>
        <w:tc>
          <w:tcPr>
            <w:tcW w:w="6804" w:type="dxa"/>
            <w:shd w:val="clear" w:color="auto" w:fill="auto"/>
            <w:vAlign w:val="center"/>
          </w:tcPr>
          <w:p w:rsidR="00751A4A" w:rsidRPr="008B4F1D" w:rsidRDefault="003E2FA8" w:rsidP="0010095E">
            <w:pPr>
              <w:pStyle w:val="EPName"/>
            </w:pPr>
            <w:r w:rsidRPr="008B4F1D">
              <w:t>Parlamentul European</w:t>
            </w:r>
          </w:p>
          <w:p w:rsidR="00751A4A" w:rsidRPr="008B4F1D" w:rsidRDefault="00817416" w:rsidP="00756632">
            <w:pPr>
              <w:pStyle w:val="EPTerm"/>
              <w:rPr>
                <w:rStyle w:val="HideTWBExt"/>
                <w:noProof w:val="0"/>
                <w:vanish w:val="0"/>
                <w:color w:val="auto"/>
              </w:rPr>
            </w:pPr>
            <w:r w:rsidRPr="008B4F1D">
              <w:t>2019-2024</w:t>
            </w:r>
          </w:p>
        </w:tc>
        <w:tc>
          <w:tcPr>
            <w:tcW w:w="2268" w:type="dxa"/>
            <w:shd w:val="clear" w:color="auto" w:fill="auto"/>
          </w:tcPr>
          <w:p w:rsidR="00751A4A" w:rsidRPr="008B4F1D" w:rsidRDefault="00187494" w:rsidP="0010095E">
            <w:pPr>
              <w:pStyle w:val="EPLogo"/>
            </w:pPr>
            <w:r w:rsidRPr="008B4F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4F1D" w:rsidRDefault="00D058B8" w:rsidP="004C5D52">
      <w:pPr>
        <w:pStyle w:val="LineTop"/>
      </w:pPr>
    </w:p>
    <w:p w:rsidR="00680577" w:rsidRPr="008B4F1D" w:rsidRDefault="003E2FA8" w:rsidP="00680577">
      <w:pPr>
        <w:pStyle w:val="EPBodyTA1"/>
      </w:pPr>
      <w:r w:rsidRPr="008B4F1D">
        <w:t>TEXTE ADOPTATE</w:t>
      </w:r>
    </w:p>
    <w:p w:rsidR="00D058B8" w:rsidRPr="008B4F1D" w:rsidRDefault="00D058B8" w:rsidP="00D058B8">
      <w:pPr>
        <w:pStyle w:val="LineBottom"/>
      </w:pPr>
    </w:p>
    <w:p w:rsidR="003E2FA8" w:rsidRPr="008B4F1D" w:rsidRDefault="003E2FA8" w:rsidP="003E2FA8">
      <w:pPr>
        <w:pStyle w:val="ATHeading1"/>
      </w:pPr>
      <w:bookmarkStart w:id="0" w:name="TANumber"/>
      <w:r w:rsidRPr="008B4F1D">
        <w:t>P9_TA(2024)0</w:t>
      </w:r>
      <w:bookmarkEnd w:id="0"/>
      <w:r w:rsidR="008B4F1D" w:rsidRPr="008B4F1D">
        <w:t>246</w:t>
      </w:r>
    </w:p>
    <w:p w:rsidR="003E2FA8" w:rsidRPr="008B4F1D" w:rsidRDefault="003E2FA8" w:rsidP="003E2FA8">
      <w:pPr>
        <w:pStyle w:val="ATHeading2"/>
      </w:pPr>
      <w:bookmarkStart w:id="1" w:name="title"/>
      <w:r w:rsidRPr="008B4F1D">
        <w:t>Descărcarea de gestiune 2022: Agenția Uniunii Europene pentru Cooperare în Materie de Justiție Penală (</w:t>
      </w:r>
      <w:proofErr w:type="spellStart"/>
      <w:r w:rsidRPr="008B4F1D">
        <w:t>Eurojust</w:t>
      </w:r>
      <w:proofErr w:type="spellEnd"/>
      <w:r w:rsidRPr="008B4F1D">
        <w:t>)</w:t>
      </w:r>
      <w:bookmarkEnd w:id="1"/>
    </w:p>
    <w:p w:rsidR="003E2FA8" w:rsidRPr="008B4F1D" w:rsidRDefault="003E2FA8" w:rsidP="003E2FA8">
      <w:pPr>
        <w:rPr>
          <w:i/>
          <w:vanish/>
        </w:rPr>
      </w:pPr>
      <w:r w:rsidRPr="008B4F1D">
        <w:rPr>
          <w:i/>
        </w:rPr>
        <w:fldChar w:fldCharType="begin"/>
      </w:r>
      <w:r w:rsidRPr="008B4F1D">
        <w:rPr>
          <w:i/>
        </w:rPr>
        <w:instrText xml:space="preserve"> TC"(</w:instrText>
      </w:r>
      <w:bookmarkStart w:id="2" w:name="DocNumber"/>
      <w:r w:rsidRPr="008B4F1D">
        <w:rPr>
          <w:i/>
        </w:rPr>
        <w:instrText>A9-0099/2024</w:instrText>
      </w:r>
      <w:bookmarkEnd w:id="2"/>
      <w:r w:rsidRPr="008B4F1D">
        <w:rPr>
          <w:i/>
        </w:rPr>
        <w:instrText xml:space="preserve"> - Raportor: Petri </w:instrText>
      </w:r>
      <w:proofErr w:type="spellStart"/>
      <w:r w:rsidRPr="008B4F1D">
        <w:rPr>
          <w:i/>
        </w:rPr>
        <w:instrText>Sarvamaa</w:instrText>
      </w:r>
      <w:proofErr w:type="spellEnd"/>
      <w:r w:rsidRPr="008B4F1D">
        <w:rPr>
          <w:i/>
        </w:rPr>
        <w:instrText xml:space="preserve">)"\l3 \n&gt; \* MERGEFORMAT </w:instrText>
      </w:r>
      <w:r w:rsidRPr="008B4F1D">
        <w:rPr>
          <w:i/>
        </w:rPr>
        <w:fldChar w:fldCharType="end"/>
      </w:r>
    </w:p>
    <w:p w:rsidR="003E2FA8" w:rsidRPr="008B4F1D" w:rsidRDefault="003E2FA8" w:rsidP="003E2FA8">
      <w:pPr>
        <w:rPr>
          <w:vanish/>
        </w:rPr>
      </w:pPr>
      <w:bookmarkStart w:id="3" w:name="Commission"/>
      <w:r w:rsidRPr="008B4F1D">
        <w:rPr>
          <w:vanish/>
        </w:rPr>
        <w:t>Comisia pentru control bugetar</w:t>
      </w:r>
      <w:bookmarkEnd w:id="3"/>
    </w:p>
    <w:p w:rsidR="003E2FA8" w:rsidRPr="008B4F1D" w:rsidRDefault="003E2FA8" w:rsidP="003E2FA8">
      <w:pPr>
        <w:rPr>
          <w:vanish/>
        </w:rPr>
      </w:pPr>
      <w:bookmarkStart w:id="4" w:name="PE"/>
      <w:r w:rsidRPr="008B4F1D">
        <w:rPr>
          <w:vanish/>
        </w:rPr>
        <w:t>PE753.539</w:t>
      </w:r>
      <w:bookmarkEnd w:id="4"/>
    </w:p>
    <w:p w:rsidR="003E2FA8" w:rsidRPr="008B4F1D" w:rsidRDefault="003E2FA8" w:rsidP="00C816D9">
      <w:pPr>
        <w:pStyle w:val="ATHeading3"/>
      </w:pPr>
      <w:bookmarkStart w:id="5" w:name="Sujet"/>
      <w:r w:rsidRPr="008B4F1D">
        <w:t>1. Decizia Parlamentului European din 11 aprilie 2024 privind descărcarea de gestiune pentru execuția bugetului Agenției Uniunii Europene pentru Cooperare în Materie de Justiție Penală (</w:t>
      </w:r>
      <w:proofErr w:type="spellStart"/>
      <w:r w:rsidRPr="008B4F1D">
        <w:t>Eurojust</w:t>
      </w:r>
      <w:proofErr w:type="spellEnd"/>
      <w:r w:rsidRPr="008B4F1D">
        <w:t>) aferent exercițiului financiar 2022</w:t>
      </w:r>
      <w:bookmarkEnd w:id="5"/>
      <w:r w:rsidRPr="008B4F1D">
        <w:t xml:space="preserve"> </w:t>
      </w:r>
      <w:bookmarkStart w:id="6" w:name="References"/>
      <w:r w:rsidRPr="008B4F1D">
        <w:t>(2023/2168(DEC))</w:t>
      </w:r>
      <w:bookmarkEnd w:id="6"/>
    </w:p>
    <w:p w:rsidR="00121688" w:rsidRPr="008B4F1D" w:rsidRDefault="00121688" w:rsidP="00121688">
      <w:pPr>
        <w:pStyle w:val="EPComma"/>
      </w:pPr>
      <w:bookmarkStart w:id="7" w:name="TextBodyBegin"/>
      <w:bookmarkEnd w:id="7"/>
      <w:r w:rsidRPr="008B4F1D">
        <w:rPr>
          <w:i/>
          <w:iCs/>
        </w:rPr>
        <w:t>Parlamentul European</w:t>
      </w:r>
      <w:r w:rsidRPr="008B4F1D">
        <w:t>,</w:t>
      </w:r>
    </w:p>
    <w:p w:rsidR="00121688" w:rsidRPr="008B4F1D" w:rsidRDefault="00121688" w:rsidP="00121688">
      <w:pPr>
        <w:pStyle w:val="NormalHanging12a"/>
      </w:pPr>
      <w:r w:rsidRPr="008B4F1D">
        <w:t>–</w:t>
      </w:r>
      <w:r w:rsidRPr="008B4F1D">
        <w:tab/>
        <w:t>având în vedere conturile anuale finale ale Agenției Uniunii Europene pentru Cooperare în Materie de Justiție Penală (</w:t>
      </w:r>
      <w:proofErr w:type="spellStart"/>
      <w:r w:rsidRPr="008B4F1D">
        <w:t>Eurojust</w:t>
      </w:r>
      <w:proofErr w:type="spellEnd"/>
      <w:r w:rsidRPr="008B4F1D">
        <w:t>) pentru exercițiul financiar 2022,</w:t>
      </w:r>
    </w:p>
    <w:p w:rsidR="00121688" w:rsidRPr="008B4F1D" w:rsidRDefault="00121688" w:rsidP="00121688">
      <w:pPr>
        <w:pStyle w:val="NormalHanging12a"/>
      </w:pPr>
      <w:r w:rsidRPr="008B4F1D">
        <w:t>–</w:t>
      </w:r>
      <w:r w:rsidRPr="008B4F1D">
        <w:tab/>
        <w:t>având în vedere Raportul anual al Curții de Conturi privind agențiile UE pentru exercițiul financiar 2022, însoțit de răspunsurile agențiilor</w:t>
      </w:r>
      <w:r w:rsidRPr="008B4F1D">
        <w:rPr>
          <w:rStyle w:val="FootnoteReference"/>
        </w:rPr>
        <w:footnoteReference w:id="1"/>
      </w:r>
      <w:r w:rsidRPr="008B4F1D">
        <w:t>,</w:t>
      </w:r>
    </w:p>
    <w:p w:rsidR="00121688" w:rsidRPr="008B4F1D" w:rsidRDefault="00121688" w:rsidP="00121688">
      <w:pPr>
        <w:pStyle w:val="NormalHanging12a"/>
      </w:pPr>
      <w:r w:rsidRPr="008B4F1D">
        <w:t>–</w:t>
      </w:r>
      <w:r w:rsidRPr="008B4F1D">
        <w:tab/>
        <w:t>având în vedere declarația de asigurare</w:t>
      </w:r>
      <w:r w:rsidRPr="008B4F1D">
        <w:rPr>
          <w:rStyle w:val="FootnoteReference"/>
        </w:rPr>
        <w:footnoteReference w:id="2"/>
      </w:r>
      <w:r w:rsidRPr="008B4F1D">
        <w:t xml:space="preserve"> privind fiabilitatea conturilor și legalitatea și regularitatea operațiunilor subiacente întocmită de Curtea de Conturi pentru exercițiul 2022 în temeiul articolului 287 din Tratatul privind funcționarea Uniunii Europene,</w:t>
      </w:r>
    </w:p>
    <w:p w:rsidR="00121688" w:rsidRPr="008B4F1D" w:rsidRDefault="00121688" w:rsidP="00121688">
      <w:pPr>
        <w:pStyle w:val="NormalHanging12a"/>
      </w:pPr>
      <w:r w:rsidRPr="008B4F1D">
        <w:t>–</w:t>
      </w:r>
      <w:r w:rsidRPr="008B4F1D">
        <w:tab/>
        <w:t>având în vedere Recomandarea Consiliului din 22 februarie 2024 privind descărcarea de gestiune a Agenției în ceea ce privește execuția bugetară pentru exercițiul financiar 2022 (</w:t>
      </w:r>
      <w:r w:rsidR="00385EC6" w:rsidRPr="008B4F1D">
        <w:t>06180/2024 – C9</w:t>
      </w:r>
      <w:r w:rsidR="00385EC6" w:rsidRPr="008B4F1D">
        <w:noBreakHyphen/>
        <w:t>0106/2024</w:t>
      </w:r>
      <w:r w:rsidRPr="008B4F1D">
        <w:t>),</w:t>
      </w:r>
    </w:p>
    <w:p w:rsidR="00121688" w:rsidRPr="008B4F1D" w:rsidRDefault="00121688" w:rsidP="00121688">
      <w:pPr>
        <w:pStyle w:val="NormalHanging12a"/>
      </w:pPr>
      <w:r w:rsidRPr="008B4F1D">
        <w:t>–</w:t>
      </w:r>
      <w:r w:rsidRPr="008B4F1D">
        <w:tab/>
        <w:t>având în vedere articolul 319 din Tratatul privind funcționarea Uniunii Europene,</w:t>
      </w:r>
    </w:p>
    <w:p w:rsidR="00121688" w:rsidRPr="008B4F1D" w:rsidRDefault="00121688" w:rsidP="00121688">
      <w:pPr>
        <w:pStyle w:val="NormalHanging12a"/>
      </w:pPr>
      <w:r w:rsidRPr="008B4F1D">
        <w:t>–</w:t>
      </w:r>
      <w:r w:rsidRPr="008B4F1D">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8B4F1D">
        <w:rPr>
          <w:rStyle w:val="FootnoteReference"/>
        </w:rPr>
        <w:footnoteReference w:id="3"/>
      </w:r>
      <w:r w:rsidRPr="008B4F1D">
        <w:t>, în special articolul 70,</w:t>
      </w:r>
    </w:p>
    <w:p w:rsidR="00121688" w:rsidRPr="008B4F1D" w:rsidRDefault="00121688" w:rsidP="00121688">
      <w:pPr>
        <w:pStyle w:val="NormalHanging12a"/>
      </w:pPr>
      <w:r w:rsidRPr="008B4F1D">
        <w:t>–</w:t>
      </w:r>
      <w:r w:rsidRPr="008B4F1D">
        <w:tab/>
        <w:t>având în vedere Regulamentul (UE) 2018/172</w:t>
      </w:r>
      <w:bookmarkStart w:id="8" w:name="_GoBack"/>
      <w:bookmarkEnd w:id="8"/>
      <w:r w:rsidRPr="008B4F1D">
        <w:t xml:space="preserve">7 al Parlamentului European și al </w:t>
      </w:r>
      <w:r w:rsidRPr="008B4F1D">
        <w:lastRenderedPageBreak/>
        <w:t>Consiliului din 14 noiembrie 2018 privind Agenția Uniunii Europene pentru Cooperare în Materie de Justiție Penală (</w:t>
      </w:r>
      <w:proofErr w:type="spellStart"/>
      <w:r w:rsidRPr="008B4F1D">
        <w:t>Eurojust</w:t>
      </w:r>
      <w:proofErr w:type="spellEnd"/>
      <w:r w:rsidRPr="008B4F1D">
        <w:t>) și de înlocuire și abrogare a Deciziei 2002/187/JAI a Consiliului</w:t>
      </w:r>
      <w:r w:rsidRPr="008B4F1D">
        <w:rPr>
          <w:rStyle w:val="FootnoteReference"/>
        </w:rPr>
        <w:footnoteReference w:id="4"/>
      </w:r>
      <w:r w:rsidRPr="008B4F1D">
        <w:t>, în special articolul 63,</w:t>
      </w:r>
    </w:p>
    <w:p w:rsidR="00121688" w:rsidRPr="008B4F1D" w:rsidRDefault="00121688" w:rsidP="00121688">
      <w:pPr>
        <w:pStyle w:val="NormalHanging12a"/>
      </w:pPr>
      <w:r w:rsidRPr="008B4F1D">
        <w:t>–</w:t>
      </w:r>
      <w:r w:rsidRPr="008B4F1D">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8B4F1D">
        <w:rPr>
          <w:rStyle w:val="FootnoteReference"/>
        </w:rPr>
        <w:footnoteReference w:id="5"/>
      </w:r>
      <w:r w:rsidRPr="008B4F1D">
        <w:t>, în special articolul 105,</w:t>
      </w:r>
    </w:p>
    <w:p w:rsidR="00121688" w:rsidRPr="008B4F1D" w:rsidRDefault="00121688" w:rsidP="00121688">
      <w:pPr>
        <w:pStyle w:val="NormalHanging12a"/>
      </w:pPr>
      <w:r w:rsidRPr="008B4F1D">
        <w:t>–</w:t>
      </w:r>
      <w:r w:rsidRPr="008B4F1D">
        <w:tab/>
        <w:t>având în vedere articolul 100 și anexa V la Regulamentul său de procedură,</w:t>
      </w:r>
    </w:p>
    <w:p w:rsidR="00121688" w:rsidRPr="008B4F1D" w:rsidRDefault="00121688" w:rsidP="00121688">
      <w:pPr>
        <w:pStyle w:val="NormalHanging12a"/>
      </w:pPr>
      <w:r w:rsidRPr="008B4F1D">
        <w:t>–</w:t>
      </w:r>
      <w:r w:rsidRPr="008B4F1D">
        <w:tab/>
        <w:t>având în vedere avizul Comisiei pentru libertăți civile, justiție și afaceri interne,</w:t>
      </w:r>
    </w:p>
    <w:p w:rsidR="00121688" w:rsidRPr="008B4F1D" w:rsidRDefault="00121688" w:rsidP="00121688">
      <w:pPr>
        <w:pStyle w:val="NormalHanging12a"/>
      </w:pPr>
      <w:r w:rsidRPr="008B4F1D">
        <w:t>–</w:t>
      </w:r>
      <w:r w:rsidRPr="008B4F1D">
        <w:tab/>
        <w:t>având în vedere raportul Comisiei pentru control bugetar (A9-0099/2024),</w:t>
      </w:r>
    </w:p>
    <w:p w:rsidR="00121688" w:rsidRPr="008B4F1D" w:rsidRDefault="00121688" w:rsidP="00121688">
      <w:pPr>
        <w:pStyle w:val="NormalHanging12a"/>
      </w:pPr>
      <w:r w:rsidRPr="008B4F1D">
        <w:t>1.</w:t>
      </w:r>
      <w:r w:rsidRPr="008B4F1D">
        <w:tab/>
        <w:t>acordă directorului administrativ al Agenției Uniunii Europene pentru Cooperare în Materie de Justiție Penală (</w:t>
      </w:r>
      <w:proofErr w:type="spellStart"/>
      <w:r w:rsidRPr="008B4F1D">
        <w:t>Eurojust</w:t>
      </w:r>
      <w:proofErr w:type="spellEnd"/>
      <w:r w:rsidRPr="008B4F1D">
        <w:t xml:space="preserve">) descărcarea de gestiune pentru execuția bugetului Agenției aferent exercițiului financiar 2022; </w:t>
      </w:r>
    </w:p>
    <w:p w:rsidR="00121688" w:rsidRPr="008B4F1D" w:rsidRDefault="00121688" w:rsidP="00121688">
      <w:pPr>
        <w:pStyle w:val="NormalHanging12a"/>
      </w:pPr>
      <w:r w:rsidRPr="008B4F1D">
        <w:t>2.</w:t>
      </w:r>
      <w:r w:rsidRPr="008B4F1D">
        <w:tab/>
        <w:t>își prezintă observațiile în cadrul rezoluției de mai jos;</w:t>
      </w:r>
    </w:p>
    <w:p w:rsidR="00121688" w:rsidRPr="008B4F1D" w:rsidRDefault="00121688" w:rsidP="00121688">
      <w:pPr>
        <w:pStyle w:val="NormalHanging12a"/>
      </w:pPr>
      <w:r w:rsidRPr="008B4F1D">
        <w:t>3.</w:t>
      </w:r>
      <w:r w:rsidRPr="008B4F1D">
        <w:tab/>
        <w:t>încredințează Președintei sarcina de a transmite prezenta decizie împreună cu rezoluția Parlamentului, ca parte integrantă a acesteia, directorului administrativ al Agenției Uniunii Europene pentru Cooperare în Materie de Justiție Penală (</w:t>
      </w:r>
      <w:proofErr w:type="spellStart"/>
      <w:r w:rsidRPr="008B4F1D">
        <w:t>Eurojust</w:t>
      </w:r>
      <w:proofErr w:type="spellEnd"/>
      <w:r w:rsidRPr="008B4F1D">
        <w:t xml:space="preserve">), Consiliului, Comisiei și Curții de Conturi și de a asigura publicarea acestora în </w:t>
      </w:r>
      <w:r w:rsidRPr="008B4F1D">
        <w:rPr>
          <w:i/>
          <w:iCs/>
        </w:rPr>
        <w:t>Jurnalul Oficial al Uniunii Europene</w:t>
      </w:r>
      <w:r w:rsidRPr="008B4F1D">
        <w:t xml:space="preserve"> (seria L).</w:t>
      </w:r>
    </w:p>
    <w:p w:rsidR="00121688" w:rsidRPr="008B4F1D" w:rsidRDefault="00121688" w:rsidP="00121688"/>
    <w:p w:rsidR="00121688" w:rsidRPr="008B4F1D" w:rsidRDefault="00121688" w:rsidP="00121688">
      <w:pPr>
        <w:widowControl/>
        <w:rPr>
          <w:rFonts w:ascii="Arial" w:hAnsi="Arial" w:cs="Arial"/>
          <w:b/>
        </w:rPr>
        <w:sectPr w:rsidR="00121688" w:rsidRPr="008B4F1D" w:rsidSect="00595750">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21688" w:rsidRPr="008B4F1D" w:rsidRDefault="00C816D9" w:rsidP="00C816D9">
      <w:pPr>
        <w:pStyle w:val="ATHeading3"/>
      </w:pPr>
      <w:r w:rsidRPr="008B4F1D">
        <w:lastRenderedPageBreak/>
        <w:t xml:space="preserve">2. Decizia Parlamentului European din 11 aprilie 2024 </w:t>
      </w:r>
      <w:r w:rsidR="00121688" w:rsidRPr="008B4F1D">
        <w:t>privind închiderea conturilor Agenției Uniunii Europene pentru Cooperare în Materie de Justiție Penală (</w:t>
      </w:r>
      <w:proofErr w:type="spellStart"/>
      <w:r w:rsidR="00121688" w:rsidRPr="008B4F1D">
        <w:t>Eurojust</w:t>
      </w:r>
      <w:proofErr w:type="spellEnd"/>
      <w:r w:rsidR="00121688" w:rsidRPr="008B4F1D">
        <w:t>) pentru exercițiul financiar 2022</w:t>
      </w:r>
      <w:r w:rsidRPr="008B4F1D">
        <w:t xml:space="preserve"> </w:t>
      </w:r>
      <w:r w:rsidR="00121688" w:rsidRPr="008B4F1D">
        <w:t>(2023/2168(DEC))</w:t>
      </w:r>
    </w:p>
    <w:p w:rsidR="00121688" w:rsidRPr="008B4F1D" w:rsidRDefault="00121688" w:rsidP="00121688">
      <w:pPr>
        <w:pStyle w:val="EPComma"/>
      </w:pPr>
      <w:r w:rsidRPr="008B4F1D">
        <w:rPr>
          <w:i/>
          <w:iCs/>
        </w:rPr>
        <w:t>Parlamentul European</w:t>
      </w:r>
      <w:r w:rsidRPr="008B4F1D">
        <w:t>,</w:t>
      </w:r>
    </w:p>
    <w:p w:rsidR="00121688" w:rsidRPr="008B4F1D" w:rsidRDefault="00121688" w:rsidP="00121688">
      <w:pPr>
        <w:pStyle w:val="NormalHanging12a"/>
      </w:pPr>
      <w:r w:rsidRPr="008B4F1D">
        <w:t>–</w:t>
      </w:r>
      <w:r w:rsidRPr="008B4F1D">
        <w:tab/>
        <w:t>având în vedere conturile anuale finale ale Agenției Uniunii Europene pentru Cooperare în Materie de Justiție Penală (</w:t>
      </w:r>
      <w:proofErr w:type="spellStart"/>
      <w:r w:rsidRPr="008B4F1D">
        <w:t>Eurojust</w:t>
      </w:r>
      <w:proofErr w:type="spellEnd"/>
      <w:r w:rsidRPr="008B4F1D">
        <w:t>) pentru exercițiul financiar 2022,</w:t>
      </w:r>
    </w:p>
    <w:p w:rsidR="00121688" w:rsidRPr="008B4F1D" w:rsidRDefault="00121688" w:rsidP="00121688">
      <w:pPr>
        <w:pStyle w:val="NormalHanging12a"/>
      </w:pPr>
      <w:r w:rsidRPr="008B4F1D">
        <w:t>–</w:t>
      </w:r>
      <w:r w:rsidRPr="008B4F1D">
        <w:tab/>
        <w:t>având în vedere Raportul anual al Curții de Conturi privind agențiile UE pentru exercițiul financiar 2022, însoțit de răspunsurile agențiilor</w:t>
      </w:r>
      <w:r w:rsidRPr="008B4F1D">
        <w:rPr>
          <w:rStyle w:val="FootnoteReference"/>
        </w:rPr>
        <w:footnoteReference w:id="6"/>
      </w:r>
      <w:r w:rsidRPr="008B4F1D">
        <w:t>,</w:t>
      </w:r>
    </w:p>
    <w:p w:rsidR="00121688" w:rsidRPr="008B4F1D" w:rsidRDefault="00121688" w:rsidP="00121688">
      <w:pPr>
        <w:pStyle w:val="NormalHanging12a"/>
      </w:pPr>
      <w:r w:rsidRPr="008B4F1D">
        <w:t>–</w:t>
      </w:r>
      <w:r w:rsidRPr="008B4F1D">
        <w:tab/>
        <w:t>având în vedere declarația de asigurare</w:t>
      </w:r>
      <w:r w:rsidRPr="008B4F1D">
        <w:rPr>
          <w:rStyle w:val="FootnoteReference"/>
        </w:rPr>
        <w:footnoteReference w:id="7"/>
      </w:r>
      <w:r w:rsidRPr="008B4F1D">
        <w:t xml:space="preserve"> privind fiabilitatea conturilor și legalitatea și regularitatea operațiunilor subiacente întocmită de Curtea de Conturi pentru exercițiul 2022 în temeiul articolului 287 din Tratatul privind funcționarea Uniunii Europene,</w:t>
      </w:r>
    </w:p>
    <w:p w:rsidR="00121688" w:rsidRPr="008B4F1D" w:rsidRDefault="00121688" w:rsidP="00121688">
      <w:pPr>
        <w:pStyle w:val="NormalHanging12a"/>
      </w:pPr>
      <w:r w:rsidRPr="008B4F1D">
        <w:t>–</w:t>
      </w:r>
      <w:r w:rsidRPr="008B4F1D">
        <w:tab/>
        <w:t>având în vedere Recomandarea Consiliului din 22 februarie 2024 privind descărcarea de gestiune a Agenției în ceea ce privește execuția bugetară pentru exercițiul financiar 2022 (</w:t>
      </w:r>
      <w:r w:rsidR="00385EC6" w:rsidRPr="008B4F1D">
        <w:t>06180/2024 – C9</w:t>
      </w:r>
      <w:r w:rsidR="00385EC6" w:rsidRPr="008B4F1D">
        <w:noBreakHyphen/>
        <w:t>0106/2024</w:t>
      </w:r>
      <w:r w:rsidRPr="008B4F1D">
        <w:t>),</w:t>
      </w:r>
    </w:p>
    <w:p w:rsidR="00121688" w:rsidRPr="008B4F1D" w:rsidRDefault="00121688" w:rsidP="00121688">
      <w:pPr>
        <w:pStyle w:val="NormalHanging12a"/>
      </w:pPr>
      <w:r w:rsidRPr="008B4F1D">
        <w:t>–</w:t>
      </w:r>
      <w:r w:rsidRPr="008B4F1D">
        <w:tab/>
        <w:t>având în vedere articolul 319 din Tratatul privind funcționarea Uniunii Europene,</w:t>
      </w:r>
    </w:p>
    <w:p w:rsidR="00121688" w:rsidRPr="008B4F1D" w:rsidRDefault="00121688" w:rsidP="00121688">
      <w:pPr>
        <w:pStyle w:val="NormalHanging12a"/>
      </w:pPr>
      <w:r w:rsidRPr="008B4F1D">
        <w:t>–</w:t>
      </w:r>
      <w:r w:rsidRPr="008B4F1D">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8B4F1D">
        <w:rPr>
          <w:rStyle w:val="FootnoteReference"/>
        </w:rPr>
        <w:footnoteReference w:id="8"/>
      </w:r>
      <w:r w:rsidRPr="008B4F1D">
        <w:t>, în special articolul 70,</w:t>
      </w:r>
    </w:p>
    <w:p w:rsidR="00121688" w:rsidRPr="008B4F1D" w:rsidRDefault="00121688" w:rsidP="00121688">
      <w:pPr>
        <w:pStyle w:val="NormalHanging12a"/>
      </w:pPr>
      <w:r w:rsidRPr="008B4F1D">
        <w:t>–</w:t>
      </w:r>
      <w:r w:rsidRPr="008B4F1D">
        <w:tab/>
        <w:t>având în vedere Regulamentul (UE) 2018/1727 al Parlamentului European și al Consiliului din 14 noiembrie 2018 privind Agenția Uniunii Europene pentru Cooperare în Materie de Justiție Penală (</w:t>
      </w:r>
      <w:proofErr w:type="spellStart"/>
      <w:r w:rsidRPr="008B4F1D">
        <w:t>Eurojust</w:t>
      </w:r>
      <w:proofErr w:type="spellEnd"/>
      <w:r w:rsidRPr="008B4F1D">
        <w:t>) și de înlocuire și abrogare a Deciziei 2002/187/JAI a Consiliului</w:t>
      </w:r>
      <w:r w:rsidRPr="008B4F1D">
        <w:rPr>
          <w:rStyle w:val="FootnoteReference"/>
        </w:rPr>
        <w:footnoteReference w:id="9"/>
      </w:r>
      <w:r w:rsidRPr="008B4F1D">
        <w:t>, în special articolul 63,</w:t>
      </w:r>
    </w:p>
    <w:p w:rsidR="00121688" w:rsidRPr="008B4F1D" w:rsidRDefault="00121688" w:rsidP="00121688">
      <w:pPr>
        <w:pStyle w:val="NormalHanging12a"/>
      </w:pPr>
      <w:r w:rsidRPr="008B4F1D">
        <w:t>–</w:t>
      </w:r>
      <w:r w:rsidRPr="008B4F1D">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8B4F1D">
        <w:rPr>
          <w:rStyle w:val="FootnoteReference"/>
        </w:rPr>
        <w:footnoteReference w:id="10"/>
      </w:r>
      <w:r w:rsidRPr="008B4F1D">
        <w:t>, în special articolul 105,</w:t>
      </w:r>
    </w:p>
    <w:p w:rsidR="00121688" w:rsidRPr="008B4F1D" w:rsidRDefault="00121688" w:rsidP="00121688">
      <w:pPr>
        <w:pStyle w:val="NormalHanging12a"/>
      </w:pPr>
      <w:r w:rsidRPr="008B4F1D">
        <w:t>–</w:t>
      </w:r>
      <w:r w:rsidRPr="008B4F1D">
        <w:tab/>
        <w:t>având în vedere articolul 100 și anexa V la Regulamentul său de procedură,</w:t>
      </w:r>
    </w:p>
    <w:p w:rsidR="00121688" w:rsidRPr="008B4F1D" w:rsidRDefault="00121688" w:rsidP="00121688">
      <w:pPr>
        <w:pStyle w:val="NormalHanging12a"/>
      </w:pPr>
      <w:r w:rsidRPr="008B4F1D">
        <w:t>–</w:t>
      </w:r>
      <w:r w:rsidRPr="008B4F1D">
        <w:tab/>
        <w:t>având în vedere avizul Comisiei pentru libertăți civile, justiție și afaceri interne,</w:t>
      </w:r>
    </w:p>
    <w:p w:rsidR="00121688" w:rsidRPr="008B4F1D" w:rsidRDefault="00121688" w:rsidP="00121688">
      <w:pPr>
        <w:pStyle w:val="NormalHanging12a"/>
      </w:pPr>
      <w:r w:rsidRPr="008B4F1D">
        <w:t>–</w:t>
      </w:r>
      <w:r w:rsidRPr="008B4F1D">
        <w:tab/>
        <w:t>având în vedere raportul Comisiei pentru control bugetar (A9-0099/2024),</w:t>
      </w:r>
    </w:p>
    <w:p w:rsidR="00121688" w:rsidRPr="008B4F1D" w:rsidRDefault="00121688" w:rsidP="00121688">
      <w:pPr>
        <w:pStyle w:val="NormalHanging12a"/>
      </w:pPr>
      <w:r w:rsidRPr="008B4F1D">
        <w:t>1.</w:t>
      </w:r>
      <w:r w:rsidRPr="008B4F1D">
        <w:tab/>
        <w:t xml:space="preserve">aprobă închiderea conturilor Agenției Uniunii Europene pentru Cooperare în Materie de </w:t>
      </w:r>
      <w:r w:rsidRPr="008B4F1D">
        <w:lastRenderedPageBreak/>
        <w:t>Justiție Penală (</w:t>
      </w:r>
      <w:proofErr w:type="spellStart"/>
      <w:r w:rsidRPr="008B4F1D">
        <w:t>Eurojust</w:t>
      </w:r>
      <w:proofErr w:type="spellEnd"/>
      <w:r w:rsidRPr="008B4F1D">
        <w:t>) pentru exercițiul financiar 2022;</w:t>
      </w:r>
    </w:p>
    <w:p w:rsidR="00121688" w:rsidRPr="008B4F1D" w:rsidRDefault="00121688" w:rsidP="00121688">
      <w:pPr>
        <w:pStyle w:val="NormalHanging12a"/>
      </w:pPr>
      <w:r w:rsidRPr="008B4F1D">
        <w:t>2.</w:t>
      </w:r>
      <w:r w:rsidRPr="008B4F1D">
        <w:tab/>
        <w:t>încredințează Președintei sarcina de a transmite prezenta decizie directorului administrativ al Agenției Uniunii Europene pentru Cooperare în Materie de Justiție Penală (</w:t>
      </w:r>
      <w:proofErr w:type="spellStart"/>
      <w:r w:rsidRPr="008B4F1D">
        <w:t>Eurojust</w:t>
      </w:r>
      <w:proofErr w:type="spellEnd"/>
      <w:r w:rsidRPr="008B4F1D">
        <w:t xml:space="preserve">), Consiliului, Comisiei și Curții de Conturi și de a asigura publicarea acesteia în </w:t>
      </w:r>
      <w:r w:rsidRPr="008B4F1D">
        <w:rPr>
          <w:i/>
          <w:iCs/>
        </w:rPr>
        <w:t>Jurnalul Oficial al Uniunii Europene</w:t>
      </w:r>
      <w:r w:rsidRPr="008B4F1D">
        <w:t xml:space="preserve"> (seria L).</w:t>
      </w:r>
    </w:p>
    <w:p w:rsidR="00121688" w:rsidRPr="008B4F1D" w:rsidRDefault="00121688" w:rsidP="00121688"/>
    <w:p w:rsidR="00121688" w:rsidRPr="008B4F1D" w:rsidRDefault="00121688" w:rsidP="00121688">
      <w:pPr>
        <w:widowControl/>
        <w:rPr>
          <w:rFonts w:ascii="Arial" w:hAnsi="Arial" w:cs="Arial"/>
          <w:b/>
        </w:rPr>
        <w:sectPr w:rsidR="00121688" w:rsidRPr="008B4F1D" w:rsidSect="00595750">
          <w:footnotePr>
            <w:numRestart w:val="eachPage"/>
          </w:footnotePr>
          <w:endnotePr>
            <w:numFmt w:val="decimal"/>
          </w:endnotePr>
          <w:pgSz w:w="11906" w:h="16838"/>
          <w:pgMar w:top="1134" w:right="1418" w:bottom="1418" w:left="1418" w:header="567" w:footer="567" w:gutter="0"/>
          <w:cols w:space="720"/>
          <w:docGrid w:linePitch="326"/>
        </w:sectPr>
      </w:pPr>
    </w:p>
    <w:p w:rsidR="00121688" w:rsidRPr="008B4F1D" w:rsidRDefault="00C816D9" w:rsidP="00C816D9">
      <w:pPr>
        <w:pStyle w:val="ATHeading3"/>
      </w:pPr>
      <w:r w:rsidRPr="008B4F1D">
        <w:lastRenderedPageBreak/>
        <w:t xml:space="preserve">3. Rezoluția Parlamentului European din 11 aprilie 2024 </w:t>
      </w:r>
      <w:r w:rsidR="00121688" w:rsidRPr="008B4F1D">
        <w:t>conținând observațiile care fac parte integrantă din decizia privind descărcarea de gestiune pentru execuția bugetului Agenției Uniunii Europene pentru Cooperare în Materie de Justiție Penală (</w:t>
      </w:r>
      <w:proofErr w:type="spellStart"/>
      <w:r w:rsidR="00121688" w:rsidRPr="008B4F1D">
        <w:t>Eurojust</w:t>
      </w:r>
      <w:proofErr w:type="spellEnd"/>
      <w:r w:rsidR="00121688" w:rsidRPr="008B4F1D">
        <w:t>) aferent exercițiului financiar 2022</w:t>
      </w:r>
      <w:r w:rsidRPr="008B4F1D">
        <w:t xml:space="preserve"> </w:t>
      </w:r>
      <w:r w:rsidR="00121688" w:rsidRPr="008B4F1D">
        <w:t>(2023/2168(DEC))</w:t>
      </w:r>
    </w:p>
    <w:p w:rsidR="00121688" w:rsidRPr="008B4F1D" w:rsidRDefault="00121688" w:rsidP="00121688">
      <w:pPr>
        <w:pStyle w:val="EPComma"/>
      </w:pPr>
      <w:r w:rsidRPr="008B4F1D">
        <w:rPr>
          <w:i/>
          <w:iCs/>
        </w:rPr>
        <w:t>Parlamentul European</w:t>
      </w:r>
      <w:r w:rsidRPr="008B4F1D">
        <w:t>,</w:t>
      </w:r>
    </w:p>
    <w:p w:rsidR="00121688" w:rsidRPr="008B4F1D" w:rsidRDefault="00121688" w:rsidP="00121688">
      <w:pPr>
        <w:pStyle w:val="NormalHanging12a"/>
      </w:pPr>
      <w:r w:rsidRPr="008B4F1D">
        <w:t>–</w:t>
      </w:r>
      <w:r w:rsidRPr="008B4F1D">
        <w:tab/>
        <w:t>având în vedere decizia sa privind descărcarea de gestiune pentru execuția bugetului Agenției Uniunii Europene pentru Cooperare în Materie de Justiție Penală (</w:t>
      </w:r>
      <w:proofErr w:type="spellStart"/>
      <w:r w:rsidRPr="008B4F1D">
        <w:t>Eurojust</w:t>
      </w:r>
      <w:proofErr w:type="spellEnd"/>
      <w:r w:rsidRPr="008B4F1D">
        <w:t>) aferent exercițiului financiar 2022,</w:t>
      </w:r>
    </w:p>
    <w:p w:rsidR="00121688" w:rsidRPr="008B4F1D" w:rsidRDefault="00121688" w:rsidP="00121688">
      <w:pPr>
        <w:pStyle w:val="NormalHanging12a"/>
      </w:pPr>
      <w:r w:rsidRPr="008B4F1D">
        <w:t>–</w:t>
      </w:r>
      <w:r w:rsidRPr="008B4F1D">
        <w:tab/>
        <w:t>având în vedere articolul 100 și anexa V la Regulamentul său de procedură,</w:t>
      </w:r>
    </w:p>
    <w:p w:rsidR="00121688" w:rsidRPr="008B4F1D" w:rsidRDefault="00121688" w:rsidP="00121688">
      <w:pPr>
        <w:pStyle w:val="NormalHanging12a"/>
      </w:pPr>
      <w:r w:rsidRPr="008B4F1D">
        <w:t>–</w:t>
      </w:r>
      <w:r w:rsidRPr="008B4F1D">
        <w:tab/>
        <w:t>având în vedere avizul Comisiei pentru libertăți civile, justiție și afaceri interne,</w:t>
      </w:r>
    </w:p>
    <w:p w:rsidR="00121688" w:rsidRPr="008B4F1D" w:rsidRDefault="00121688" w:rsidP="00121688">
      <w:pPr>
        <w:pStyle w:val="NormalHanging12a"/>
      </w:pPr>
      <w:r w:rsidRPr="008B4F1D">
        <w:t>–</w:t>
      </w:r>
      <w:r w:rsidRPr="008B4F1D">
        <w:tab/>
        <w:t>având în vedere raportul Comisiei pentru control bugetar (A9-0099/2024),</w:t>
      </w:r>
    </w:p>
    <w:p w:rsidR="00121688" w:rsidRPr="008B4F1D" w:rsidRDefault="00121688" w:rsidP="00121688">
      <w:pPr>
        <w:pStyle w:val="Normal12Hanging"/>
        <w:rPr>
          <w:szCs w:val="24"/>
          <w:lang w:val="ro-RO"/>
        </w:rPr>
      </w:pPr>
      <w:r w:rsidRPr="008B4F1D">
        <w:rPr>
          <w:lang w:val="ro-RO"/>
        </w:rPr>
        <w:t>A.</w:t>
      </w:r>
      <w:r w:rsidRPr="008B4F1D">
        <w:rPr>
          <w:lang w:val="ro-RO"/>
        </w:rPr>
        <w:tab/>
        <w:t>întrucât, potrivit situației veniturilor și cheltuielilor sale</w:t>
      </w:r>
      <w:r w:rsidRPr="008B4F1D">
        <w:rPr>
          <w:rStyle w:val="FootnoteReference"/>
          <w:szCs w:val="24"/>
          <w:lang w:val="ro-RO"/>
        </w:rPr>
        <w:footnoteReference w:id="11"/>
      </w:r>
      <w:r w:rsidRPr="008B4F1D">
        <w:rPr>
          <w:lang w:val="ro-RO"/>
        </w:rPr>
        <w:t>, bugetul definitiv al Agenției Uniunii Europene pentru Cooperare în Materie de Justiție Penală (</w:t>
      </w:r>
      <w:proofErr w:type="spellStart"/>
      <w:r w:rsidRPr="008B4F1D">
        <w:rPr>
          <w:lang w:val="ro-RO"/>
        </w:rPr>
        <w:t>Eurojust</w:t>
      </w:r>
      <w:proofErr w:type="spellEnd"/>
      <w:r w:rsidRPr="008B4F1D">
        <w:rPr>
          <w:lang w:val="ro-RO"/>
        </w:rPr>
        <w:t>) („Agenția”) aferent exercițiului financiar 2022 a fost de 50 183 522 EUR, ceea ce reprezintă o scădere cu 5,84 % față de 2021; întrucât bugetul Agenției provine aproape exclusiv de la bugetul Uniunii;</w:t>
      </w:r>
    </w:p>
    <w:p w:rsidR="00121688" w:rsidRPr="008B4F1D" w:rsidRDefault="00121688" w:rsidP="00121688">
      <w:pPr>
        <w:pStyle w:val="Normal12Hanging"/>
        <w:rPr>
          <w:szCs w:val="24"/>
          <w:lang w:val="ro-RO"/>
        </w:rPr>
      </w:pPr>
      <w:r w:rsidRPr="008B4F1D">
        <w:rPr>
          <w:lang w:val="ro-RO"/>
        </w:rPr>
        <w:t>B.</w:t>
      </w:r>
      <w:r w:rsidRPr="008B4F1D">
        <w:rPr>
          <w:lang w:val="ro-RO"/>
        </w:rPr>
        <w:tab/>
        <w:t>întrucât Curtea de Conturi („Curtea”), în raportul său privind conturile anuale ale Agenției pentru exercițiul financiar 2022 („raportul Curții”), declară că a obținut asigurări rezonabile cu privire la fiabilitatea conturilor anuale ale Agenției și cu privire la legalitatea și regularitatea operațiunilor subiacente,</w:t>
      </w:r>
    </w:p>
    <w:p w:rsidR="00121688" w:rsidRPr="008B4F1D" w:rsidRDefault="00121688" w:rsidP="00121688">
      <w:pPr>
        <w:pStyle w:val="Normal12Hanging"/>
        <w:rPr>
          <w:b/>
          <w:i/>
          <w:szCs w:val="24"/>
          <w:lang w:val="ro-RO"/>
        </w:rPr>
      </w:pPr>
      <w:r w:rsidRPr="008B4F1D">
        <w:rPr>
          <w:b/>
          <w:i/>
          <w:lang w:val="ro-RO"/>
        </w:rPr>
        <w:t>Gestiunea bugetară și financiară</w:t>
      </w:r>
    </w:p>
    <w:p w:rsidR="00121688" w:rsidRPr="008B4F1D" w:rsidRDefault="00121688" w:rsidP="00121688">
      <w:pPr>
        <w:pStyle w:val="Normal12Hanging"/>
        <w:rPr>
          <w:szCs w:val="24"/>
          <w:lang w:val="ro-RO"/>
        </w:rPr>
      </w:pPr>
      <w:r w:rsidRPr="008B4F1D">
        <w:rPr>
          <w:lang w:val="ro-RO"/>
        </w:rPr>
        <w:t>1.</w:t>
      </w:r>
      <w:r w:rsidRPr="008B4F1D">
        <w:rPr>
          <w:lang w:val="ro-RO"/>
        </w:rPr>
        <w:tab/>
        <w:t>constată cu satisfacție că eforturile de monitorizare a bugetului au condus la o rată de execuție bugetară de 99,93 % a creditelor de angajament pentru 2022; constată că rata de execuție a creditelor de plată aferente exercițiului respectiv a fost de 89,22 %, ceea ce reprezintă o creștere cu 4,64 % față de 2021;</w:t>
      </w:r>
    </w:p>
    <w:p w:rsidR="00121688" w:rsidRPr="008B4F1D" w:rsidRDefault="00121688" w:rsidP="00121688">
      <w:pPr>
        <w:pStyle w:val="Normal12Hanging"/>
        <w:rPr>
          <w:szCs w:val="24"/>
          <w:lang w:val="ro-RO"/>
        </w:rPr>
      </w:pPr>
      <w:r w:rsidRPr="008B4F1D">
        <w:rPr>
          <w:lang w:val="ro-RO"/>
        </w:rPr>
        <w:t>2.</w:t>
      </w:r>
      <w:r w:rsidRPr="008B4F1D">
        <w:rPr>
          <w:lang w:val="ro-RO"/>
        </w:rPr>
        <w:tab/>
        <w:t>observă că în 2022 au apărut diverse noi nevoi de finanțare, inclusiv legate de infrastructura pentru noul CMS (</w:t>
      </w:r>
      <w:r w:rsidR="00385EC6" w:rsidRPr="008B4F1D">
        <w:rPr>
          <w:szCs w:val="24"/>
        </w:rPr>
        <w:t xml:space="preserve">Case Management System, </w:t>
      </w:r>
      <w:r w:rsidRPr="008B4F1D">
        <w:rPr>
          <w:lang w:val="ro-RO"/>
        </w:rPr>
        <w:t>sistemul de gestionare a cazurilor), de consolidarea aferentă noilor sarcini CICED</w:t>
      </w:r>
      <w:r w:rsidR="00385EC6" w:rsidRPr="008B4F1D">
        <w:rPr>
          <w:lang w:val="ro-RO"/>
        </w:rPr>
        <w:t xml:space="preserve"> (</w:t>
      </w:r>
      <w:r w:rsidR="00385EC6" w:rsidRPr="008B4F1D">
        <w:rPr>
          <w:szCs w:val="24"/>
        </w:rPr>
        <w:t>Core International Crime Evidence Database,</w:t>
      </w:r>
      <w:r w:rsidR="00385EC6" w:rsidRPr="008B4F1D">
        <w:t xml:space="preserve"> </w:t>
      </w:r>
      <w:r w:rsidRPr="008B4F1D">
        <w:rPr>
          <w:lang w:val="ro-RO"/>
        </w:rPr>
        <w:t>baza de date cu probe privind cele mai grave crime internaționale) și de creșterile salariale datorate inflației ridicate; constată că aceste nevoi de finanțare au fost acoperite prin două bugete rectificative (în valoare totală de 5,7 milioane EUR) și prin mai multe transferuri bugetare;</w:t>
      </w:r>
    </w:p>
    <w:p w:rsidR="00121688" w:rsidRPr="008B4F1D" w:rsidRDefault="00121688" w:rsidP="00121688">
      <w:pPr>
        <w:pStyle w:val="Normal12Hanging"/>
        <w:rPr>
          <w:szCs w:val="24"/>
          <w:lang w:val="ro-RO"/>
        </w:rPr>
      </w:pPr>
      <w:r w:rsidRPr="008B4F1D">
        <w:rPr>
          <w:lang w:val="ro-RO"/>
        </w:rPr>
        <w:t>3.</w:t>
      </w:r>
      <w:r w:rsidRPr="008B4F1D">
        <w:rPr>
          <w:lang w:val="ro-RO"/>
        </w:rPr>
        <w:tab/>
        <w:t xml:space="preserve">remarcă introducerea de către Agenție, în 2022, a noului sistem contabil și de gestiune financiară al Comisiei (SUMMA), precum și aspectele tehnice conexe care au avut un impact asupra execuției bugetului Agenției și asupra raportării; ia act, în special, de opinia Agenției potrivit căreia aceste aspecte au afectat, de asemenea, rata ridicată a plăților care nu au fost executate la timp (52,9 %) și au complicat monitorizarea </w:t>
      </w:r>
      <w:r w:rsidRPr="008B4F1D">
        <w:rPr>
          <w:lang w:val="ro-RO"/>
        </w:rPr>
        <w:lastRenderedPageBreak/>
        <w:t>domeniilor cu o volatilitate ridicată a costurilor, cum ar fi reuniunile de coordonare; remarcă, în acest context, observația din raportul Curții potrivit căreia Agenția, încălcând unele dintre dispozițiile Regulamentului financiar, nu și-a actualizat strategia de gestionare și control al riscurilor pentru a acoperi riscurile legate de aplicarea SUMMA, nici circuitele sale financiare și strategia sa de control ex ante și ex post și nu verifică în mod specific drepturile care au fost atribuite unui utilizator în cadrul sistemului respectiv, ceea ce prezintă riscul ca rolurile utilizatorilor din cadrul SUMMA să nu fie atribuite și actualizate corect;</w:t>
      </w:r>
    </w:p>
    <w:p w:rsidR="00121688" w:rsidRPr="008B4F1D" w:rsidRDefault="00121688" w:rsidP="00121688">
      <w:pPr>
        <w:pStyle w:val="NormalHanging12a"/>
      </w:pPr>
      <w:r w:rsidRPr="008B4F1D">
        <w:t>4.</w:t>
      </w:r>
      <w:r w:rsidRPr="008B4F1D">
        <w:tab/>
        <w:t xml:space="preserve">ia act cu îngrijorare de observația din raportul Curții potrivit căreia Agenția nu a respectat termenele de plată prevăzute în Regulamentul financiar pentru 1 222 din totalul de 2 308 plăți (52,9 %); reamintește și subliniază că, în 720 de cazuri (31,5 %), plățile au înregistrat întârzieri mai mari de 30 de zile; constată că Agenția atribuie această deficiență, care în opinia Curții expune Agenția la riscuri financiare și </w:t>
      </w:r>
      <w:proofErr w:type="spellStart"/>
      <w:r w:rsidRPr="008B4F1D">
        <w:t>reputaționale</w:t>
      </w:r>
      <w:proofErr w:type="spellEnd"/>
      <w:r w:rsidRPr="008B4F1D">
        <w:t xml:space="preserve"> și contravine principiului economiei, aplicării sistemului SUMMA; ia act de răspunsul Agenției potrivit căruia SUMMA s-a aflat într-o etapă-pilot și au apărut întârzieri și dificultăți tehnice în procesarea tranzacțiilor, ceea ce a afectat formarea personalului și a creat unele provocări în privința gestiunii bugetare; observă, în fine, că, în pofida creșterii cuantumului plăților întârziate, Agenția nu a plătit nicio dobândă de întârziere; invită Agenția să trateze pe deplin această observație, abordând dificultățile tehnice în prelucrarea tranzacțiilor, și să informeze autoritatea care acordă descărcarea de gestiune cu privire la progresele înregistrate;</w:t>
      </w:r>
    </w:p>
    <w:p w:rsidR="00121688" w:rsidRPr="008B4F1D" w:rsidRDefault="00121688" w:rsidP="00121688">
      <w:pPr>
        <w:pStyle w:val="Normal12Hanging"/>
        <w:rPr>
          <w:b/>
          <w:i/>
          <w:szCs w:val="24"/>
          <w:lang w:val="ro-RO"/>
        </w:rPr>
      </w:pPr>
      <w:r w:rsidRPr="008B4F1D">
        <w:rPr>
          <w:b/>
          <w:i/>
          <w:lang w:val="ro-RO"/>
        </w:rPr>
        <w:t>Performanța</w:t>
      </w:r>
    </w:p>
    <w:p w:rsidR="00121688" w:rsidRPr="008B4F1D" w:rsidRDefault="00121688" w:rsidP="00121688">
      <w:pPr>
        <w:pStyle w:val="NormalHanging12a"/>
        <w:rPr>
          <w:szCs w:val="24"/>
        </w:rPr>
      </w:pPr>
      <w:r w:rsidRPr="008B4F1D">
        <w:t>5.</w:t>
      </w:r>
      <w:r w:rsidRPr="008B4F1D">
        <w:tab/>
        <w:t>constată că Agenția aplică indicatori-cheie de performanță (ICP), pentru a determina valoarea adăugată generată de activitățile sale și pentru a-și îmbunătăți gestiunea bugetară; evidențiază noua strategie multianuală 2022-2024 (MAS) a Agenției, care stabilește cinci obiective, fiecare acoperind o serie de domenii de acțiune strategică; observă că Agenția a definit 67 ICP în planul său anual de lucru pentru 2022 și 14 ICP multianuali pentru MAS; observă că, exceptând ICP considerați a fi nemăsurabili sau irelevanți, Agenția a atins obiectivele pentru 47 din 59 ICP (88 %), ceea ce reprezintă o creștere comparativ cu 2021 (73 %); constată că, în 2022, Agenția a înregistrat progrese constante în direcția realizării ICP multianuali, 10 dintre aceștia (72 %) fiind în grafic în ceea ce privește atingerea obiectivului lor, iar trei (21 %) necesitând o atenție suplimentară, iar rezultatele finale pentru ICP ai MAS vor fi raportate la sfârșitul anului 2024;</w:t>
      </w:r>
    </w:p>
    <w:p w:rsidR="00121688" w:rsidRPr="008B4F1D" w:rsidRDefault="00121688" w:rsidP="00121688">
      <w:pPr>
        <w:pStyle w:val="NormalHanging12a"/>
      </w:pPr>
      <w:r w:rsidRPr="008B4F1D">
        <w:t>6.</w:t>
      </w:r>
      <w:r w:rsidRPr="008B4F1D">
        <w:tab/>
        <w:t xml:space="preserve">constată că numărul de cazuri înaintate Agenției de către statele membre a continuat să crească, cu un total de 11 544 de cazuri tratate în 2022 (dintre care 5 227 au fost nou deschise), ceea ce reprezintă o creștere de 14 % față de 2021; salută, în acest context, contribuția Agenției la furnizarea de consiliere juridică, analiză și asistență operațională, care a dus la 941 de rezultate operaționale în sprijinul a 528 de cazuri, inclusiv în ceea ce privește cazuri complexe care au condus la arestarea de traficanți de persoane (inclusiv </w:t>
      </w:r>
      <w:proofErr w:type="spellStart"/>
      <w:r w:rsidRPr="008B4F1D">
        <w:t>migranți</w:t>
      </w:r>
      <w:proofErr w:type="spellEnd"/>
      <w:r w:rsidRPr="008B4F1D">
        <w:t xml:space="preserve">), precum și reprimarea rețelelor infracționale sau acțiuni împotriva acestora în domenii precum spălarea banilor, exploatarea sexuală, frauda cu investiții online sau traficul de droguri; constată cu satisfacție, de asemenea, că, în 2022, Agenția a sprijinit 265 de echipe comune de anchetă (dintre care 78 nou înființate), a organizat 528 de reuniuni de coordonare și 22 de centre de coordonare, a facilitat executarea a 1 262 de mandate europene de arestare (dintre care 504 cazuri noi) și a permis utilizarea a 5 415 ordine europene de anchetă (dintre care aproximativ jumătate au fost deschise </w:t>
      </w:r>
      <w:r w:rsidRPr="008B4F1D">
        <w:lastRenderedPageBreak/>
        <w:t xml:space="preserve">recent); ia act de faptul că Agenția întreține relații de cooperare cu </w:t>
      </w:r>
      <w:r w:rsidR="00385EC6" w:rsidRPr="008B4F1D">
        <w:t>Oficiul European de Luptă Antifraudă (</w:t>
      </w:r>
      <w:r w:rsidRPr="008B4F1D">
        <w:t>OLAF</w:t>
      </w:r>
      <w:r w:rsidR="00385EC6" w:rsidRPr="008B4F1D">
        <w:t>)</w:t>
      </w:r>
      <w:r w:rsidRPr="008B4F1D">
        <w:t xml:space="preserve">, pentru a intensifica lupta împotriva infracțiunilor care aduc atingere intereselor financiare ale </w:t>
      </w:r>
      <w:r w:rsidR="00385EC6" w:rsidRPr="008B4F1D">
        <w:t>Uniunii</w:t>
      </w:r>
      <w:r w:rsidRPr="008B4F1D">
        <w:t>;</w:t>
      </w:r>
    </w:p>
    <w:p w:rsidR="00121688" w:rsidRPr="008B4F1D" w:rsidRDefault="00121688" w:rsidP="00121688">
      <w:pPr>
        <w:pStyle w:val="NormalHanging12a"/>
        <w:rPr>
          <w:szCs w:val="24"/>
        </w:rPr>
      </w:pPr>
      <w:r w:rsidRPr="008B4F1D">
        <w:t>7.</w:t>
      </w:r>
      <w:r w:rsidRPr="008B4F1D">
        <w:tab/>
        <w:t>felicită Agenția pentru acțiunile întreprinse ca răspuns la invadarea ilegală și neprovocată a Ucrainei de către Rusia în 2022; observă că, la trei săptămâni de la începerea războiului, Agenția a sprijinit constituirea echipei comune care anchetează crimele internaționale cele mai grave comise în Ucraina care au fost raportate, cu scopul de a facilita anchetele și urmăririle penale în statele în cauză; observă că Agenția a oferit sprijin juridic și operațional birourilor naționale legate de extinderea acordului privind echipa comună de anchetă la noi părți (Estonia, Letonia, România și Slovacia), precum și analize și avize juridice legate de participarea Curții Penale Internaționale în cadrul echipei comune de anchetă; constată, de asemenea, că Agenția oferă sprijin operațional Grupului operativ al UE „Înghețare și punere sub sechestru” instituit de Comisie prin coordonarea aplicării de către statele membre a sancțiunilor Uniunii prin intermediul dreptului penal, realizată prin mai multe acțiuni, cum ar fi verificarea încrucișată periodică a listei persoanelor și întreprinderilor sancționate de Uniune în raport cu datele Agenției privind cazurile existente tratate de Agenție și colectarea de informații relevante la nivel național cu privire la anchetele anterioare și în curs legate de persoanele și întreprinderile enumerate pe lista de sancțiuni pentru a facilita procedurile penale;</w:t>
      </w:r>
    </w:p>
    <w:p w:rsidR="00121688" w:rsidRPr="008B4F1D" w:rsidRDefault="00121688" w:rsidP="00121688">
      <w:pPr>
        <w:pStyle w:val="NormalHanging12a"/>
      </w:pPr>
      <w:r w:rsidRPr="008B4F1D">
        <w:t>8.</w:t>
      </w:r>
      <w:r w:rsidRPr="008B4F1D">
        <w:tab/>
        <w:t xml:space="preserve">salută faptul că, în 2022, Agenția și-a consolidat cooperarea operațională și strategică cu diverse părți interesate, cum ar fi agențiile europene din domeniul justiției și afacerilor interne (JAI), instituțiile Uniunii, OLAF, </w:t>
      </w:r>
      <w:r w:rsidR="00385EC6" w:rsidRPr="008B4F1D">
        <w:t>Parchetul European (</w:t>
      </w:r>
      <w:r w:rsidRPr="008B4F1D">
        <w:t>EPPO</w:t>
      </w:r>
      <w:r w:rsidR="00385EC6" w:rsidRPr="008B4F1D">
        <w:t>)</w:t>
      </w:r>
      <w:r w:rsidRPr="008B4F1D">
        <w:t xml:space="preserve">, precum și rețelele de practicieni în domeniul judiciar, țările terțe și organizațiile internaționale; ia act, în special, de cooperarea Agenției cu Agenția </w:t>
      </w:r>
      <w:r w:rsidR="00385EC6" w:rsidRPr="008B4F1D">
        <w:t xml:space="preserve">Uniunii Europene </w:t>
      </w:r>
      <w:r w:rsidRPr="008B4F1D">
        <w:t xml:space="preserve">pentru Gestionarea Operațională a Sistemelor Informatice la Scară Largă în Spațiul de Libertate, Securitate și Justiție (eu-LISA) în legătură cu un raport comun referitor la inteligența artificială (IA) care sprijină cooperarea transfrontalieră în domeniul justiției penale, cu Agenția </w:t>
      </w:r>
      <w:r w:rsidR="00385EC6" w:rsidRPr="008B4F1D">
        <w:t xml:space="preserve">Uniunii Europene </w:t>
      </w:r>
      <w:r w:rsidRPr="008B4F1D">
        <w:t xml:space="preserve">pentru Formare în Materie de Aplicare a Legii (CEPOL) privind 16 cursuri care acoperă cooperarea judiciară și cu Agenția </w:t>
      </w:r>
      <w:r w:rsidR="00385EC6" w:rsidRPr="008B4F1D">
        <w:t xml:space="preserve">Uniunii Europene </w:t>
      </w:r>
      <w:r w:rsidRPr="008B4F1D">
        <w:t xml:space="preserve">pentru Cooperare în Materie de Aplicare a Legii (Europol) privind proiectul SIRIUS și sistemul de căutare de tip „rezultat pozitiv/negativ” al Europol, cu autoritățile naționale din 20 de state membre, Europol, OLAF și EPPO privind operațiunea SENTINEL de combatere a fraudelor ce vizează fondurile de redresare în urma pandemiei de COVID-19; reliefează contribuția Agenției la inițiativele Comisiei în domeniul digitalizării justiției (SIS II, CMS, ECRIS-TCN, printre altele); observă că Agenția s-a bazat pe o rețea tot mai mare de puncte de contact cu autoritățile competente din țările terțe, iar în 2022, numărul total de puncte de contact ale Agenției a crescut, incluzând Australia, Bahrain și Marocul; apreciază extinderea cooperării Agenției în domeniul penal la nivel internațional, în special prin intermediul programului </w:t>
      </w:r>
      <w:proofErr w:type="spellStart"/>
      <w:r w:rsidRPr="008B4F1D">
        <w:t>EuroMed</w:t>
      </w:r>
      <w:proofErr w:type="spellEnd"/>
      <w:r w:rsidRPr="008B4F1D">
        <w:t xml:space="preserve"> Justiție cu țările partenere din sud și al unui proiect finanțat de UE axat pe cooperarea transfrontalieră în domeniul justiției penale în Balcanii de Vest;</w:t>
      </w:r>
    </w:p>
    <w:p w:rsidR="00121688" w:rsidRPr="008B4F1D" w:rsidRDefault="00121688" w:rsidP="00121688">
      <w:pPr>
        <w:pStyle w:val="NormalHanging12a"/>
        <w:jc w:val="both"/>
      </w:pPr>
      <w:r w:rsidRPr="008B4F1D">
        <w:t>9.</w:t>
      </w:r>
      <w:r w:rsidRPr="008B4F1D">
        <w:tab/>
        <w:t>apreciază cooperarea transnațională dintre autoritățile judiciare facilitată de Agenție și cooperarea strânsă cu toți actorii din lanțul justiției penale, care au contribuit la arestarea a peste 4 000 de suspecți, la confiscarea și/sau înghețarea de active provenite din săvârșirea de infracțiuni în valoare de aproape 3 miliarde EUR și la confiscarea de droguri în valoare de aproape 12 miliarde EUR;</w:t>
      </w:r>
    </w:p>
    <w:p w:rsidR="00121688" w:rsidRPr="008B4F1D" w:rsidRDefault="00121688" w:rsidP="00121688">
      <w:pPr>
        <w:pStyle w:val="NormalHanging12a"/>
        <w:rPr>
          <w:b/>
          <w:i/>
          <w:szCs w:val="24"/>
        </w:rPr>
      </w:pPr>
      <w:r w:rsidRPr="008B4F1D">
        <w:rPr>
          <w:b/>
          <w:i/>
        </w:rPr>
        <w:lastRenderedPageBreak/>
        <w:t>Realizări în materie de eficiență</w:t>
      </w:r>
    </w:p>
    <w:p w:rsidR="00121688" w:rsidRPr="008B4F1D" w:rsidRDefault="00121688" w:rsidP="00121688">
      <w:pPr>
        <w:pStyle w:val="NormalHanging12a"/>
        <w:rPr>
          <w:szCs w:val="24"/>
        </w:rPr>
      </w:pPr>
      <w:r w:rsidRPr="008B4F1D">
        <w:t>10.</w:t>
      </w:r>
      <w:r w:rsidRPr="008B4F1D">
        <w:tab/>
        <w:t>subliniază că, pe lângă implementarea SUMMA, Agenția și-a îmbunătățit și mai mult procesele și instrumentele de gestionare pe activități, prin creșterea eficienței, a calității/integrității datelor și a posibilității de utilizare a instrumentului său de planificare, prin introducerea unui nou instrument de înregistrare a activităților și prin continuarea trecerii treptate de la ICP privind performanțele la ICP privind rezultatele; felicită Agenția pentru inițierea unei discuții cu Europol pentru a examina posibila partajare a serviciilor medicale în viitor; salută, de asemenea, decizia Agenției de a menține anumite creșteri ale eficienței obținute în timpul pandemiei</w:t>
      </w:r>
      <w:r w:rsidR="00385EC6" w:rsidRPr="008B4F1D">
        <w:t xml:space="preserve"> de COVID-19</w:t>
      </w:r>
      <w:r w:rsidRPr="008B4F1D">
        <w:t>; constată, pe baza răspunsurilor Agenției la întrebările cu solicitare de răspuns scris ale Parlamentului, că, în 2022, Agenția a organizat online 47 % dintre reuniunile de coordonare și toate cursurile de formare și procedurile de selecție a personalului, reducând astfel în mod semnificativ costurile financiare și de resurse umane aferente, iar în format hibrid 29 % din totalul reuniunilor de coordonare;</w:t>
      </w:r>
    </w:p>
    <w:p w:rsidR="00121688" w:rsidRPr="008B4F1D" w:rsidRDefault="00121688" w:rsidP="00121688">
      <w:pPr>
        <w:pStyle w:val="NormalHanging12a"/>
        <w:rPr>
          <w:szCs w:val="24"/>
        </w:rPr>
      </w:pPr>
      <w:r w:rsidRPr="008B4F1D">
        <w:t>11.</w:t>
      </w:r>
      <w:r w:rsidRPr="008B4F1D">
        <w:tab/>
        <w:t xml:space="preserve">ia act de faptul că, pentru a crește eficiența, în 2022 au fost lansate două proiecte la nivelul întregii organizații, portalul de autoservire al Agenției și </w:t>
      </w:r>
      <w:proofErr w:type="spellStart"/>
      <w:r w:rsidRPr="008B4F1D">
        <w:t>Pexip</w:t>
      </w:r>
      <w:proofErr w:type="spellEnd"/>
      <w:r w:rsidRPr="008B4F1D">
        <w:t xml:space="preserve">, noul sistem de videoconferință pentru reuniuni de coordonare și centre de coordonare, cu până la cel puțin 10 interpretări simultane; constată, de asemenea, că analiza privind migrarea </w:t>
      </w:r>
      <w:proofErr w:type="spellStart"/>
      <w:r w:rsidRPr="008B4F1D">
        <w:t>extranetului</w:t>
      </w:r>
      <w:proofErr w:type="spellEnd"/>
      <w:r w:rsidRPr="008B4F1D">
        <w:t xml:space="preserve"> existent și selectarea furnizorilor pentru înlocuirea sistemului bibliotecii au fost realizate, iar un instrument certificat de semnătură electronică este în curs de dezvoltare, urmând să fie finalizat în 2024; felicită Agenția pentru implementarea a patru noi module SYSPER (evaluare, denumiri/descrieri ale posturilor, NDP, raportare), pe lângă cele cinci module deja implementate în anii precedenți; ia act de angajamentul Agenției de a implementa pe deplin SYSPER până în 2024;</w:t>
      </w:r>
    </w:p>
    <w:p w:rsidR="00121688" w:rsidRPr="008B4F1D" w:rsidRDefault="00121688" w:rsidP="00121688">
      <w:pPr>
        <w:pStyle w:val="NormalHanging12a"/>
        <w:rPr>
          <w:szCs w:val="24"/>
        </w:rPr>
      </w:pPr>
      <w:r w:rsidRPr="008B4F1D">
        <w:t>12.</w:t>
      </w:r>
      <w:r w:rsidRPr="008B4F1D">
        <w:tab/>
        <w:t>remarcă, din raportul Curții, că Agenția nu se numără încă printre agențiile care au elaborat planuri corporative pentru a îmbunătăți eficiența energetică și neutralitatea climatică a operațiunilor lor, au integrat o formă de raportare de mediu în rapoartele lor anuale de activitate sau au primit înregistrarea</w:t>
      </w:r>
      <w:r w:rsidR="00385EC6" w:rsidRPr="008B4F1D">
        <w:t xml:space="preserve"> sistemului de management de mediu și audit </w:t>
      </w:r>
      <w:r w:rsidRPr="008B4F1D">
        <w:t>EMAS; reamintește că, în 2021, Agenția a inițiat punerea în aplicare a cadrului de conformitate EMAS/ISO 14001; remarcă, în acest context, că, în 2022, Agenția a primit raportul final de la societatea de consultanță externă, inclusiv toate informațiile relevante privind reglementările în materie de mediu din Țările de Jos; constată, totodată, că, în 2022, Agenția s-a alăturat licitației publice pentru consultanță în domeniul sistemelor de management de mediu și al reducerii și compensării emisiilor de gaze cu efect de seră;</w:t>
      </w:r>
    </w:p>
    <w:p w:rsidR="00121688" w:rsidRPr="008B4F1D" w:rsidRDefault="00121688" w:rsidP="00121688">
      <w:pPr>
        <w:pStyle w:val="Normal12Hanging"/>
        <w:rPr>
          <w:b/>
          <w:i/>
          <w:szCs w:val="24"/>
          <w:lang w:val="ro-RO"/>
        </w:rPr>
      </w:pPr>
      <w:r w:rsidRPr="008B4F1D">
        <w:rPr>
          <w:b/>
          <w:i/>
          <w:lang w:val="ro-RO"/>
        </w:rPr>
        <w:t>Politica de personal</w:t>
      </w:r>
    </w:p>
    <w:p w:rsidR="00121688" w:rsidRPr="008B4F1D" w:rsidRDefault="00121688" w:rsidP="00121688">
      <w:pPr>
        <w:pStyle w:val="Normal12Hanging"/>
        <w:rPr>
          <w:szCs w:val="24"/>
          <w:lang w:val="ro-RO"/>
        </w:rPr>
      </w:pPr>
      <w:r w:rsidRPr="008B4F1D">
        <w:rPr>
          <w:lang w:val="ro-RO"/>
        </w:rPr>
        <w:t>13.</w:t>
      </w:r>
      <w:r w:rsidRPr="008B4F1D">
        <w:rPr>
          <w:lang w:val="ro-RO"/>
        </w:rPr>
        <w:tab/>
        <w:t>observă că, la 31 decembrie 2022, schema de personal a Agenției era completată în proporție de 100 % (la fel ca în 2021), fiind ocupate 221 din cele 221 de posturi de agenți temporari autorizate de bugetul Uniunii pentru 2022 – 209 din cei 221 de agenți temporari erau deja în funcție și s-au trimis 12 scrisori cu oferte de angajare; constată că în 2022 pentru Agenție au lucrat și 18 agenți contractuali și 22 de experți naționali detașați; constată, de asemenea, că a fost efectuat un exercițiu de reclasificare, ceea ce a dus la reclasificarea a 53 de membri ai personalului;</w:t>
      </w:r>
    </w:p>
    <w:p w:rsidR="00121688" w:rsidRPr="008B4F1D" w:rsidRDefault="00121688" w:rsidP="00121688">
      <w:pPr>
        <w:pStyle w:val="NormalHanging12a"/>
      </w:pPr>
      <w:r w:rsidRPr="008B4F1D">
        <w:t>14.</w:t>
      </w:r>
      <w:r w:rsidRPr="008B4F1D">
        <w:tab/>
        <w:t xml:space="preserve">ia act de distribuția genurilor în cadrul Agenției în 2022: 6 bărbați (60 %) și 4 femei (40 %) în posturile de conducere de nivel superior și mediu, 16 bărbați (64 %) și 9 </w:t>
      </w:r>
      <w:r w:rsidRPr="008B4F1D">
        <w:lastRenderedPageBreak/>
        <w:t>femei (36 %) în consiliul de administrație al Agenției și 85 de bărbați (33 %) și 175 de femei (67 %) la nivelul întregului personal; invită Agenția să asigure un echilibru de gen mai bun la toate nivelurile personalului și să încurajeze mai mult femeile să candideze pentru posturi de conducere, precum și bărbații să candideze în cadrul selecțiilor externe pentru restul posturilor; observă că Agenția nu este responsabilă de componența consiliului său de administrație (denumit în continuare „Colegiul”), deoarece membrii naționali ai Colegiului sunt numiți direct de statele membre respective; solicită Comisiei și statelor membre să țină cont că este important să se garanteze echilibrul de gen atunci când sunt desemnați membrii Colegiului;</w:t>
      </w:r>
    </w:p>
    <w:p w:rsidR="00121688" w:rsidRPr="008B4F1D" w:rsidRDefault="00121688" w:rsidP="00121688">
      <w:pPr>
        <w:pStyle w:val="NormalHanging12a"/>
        <w:rPr>
          <w:szCs w:val="24"/>
        </w:rPr>
      </w:pPr>
      <w:r w:rsidRPr="008B4F1D">
        <w:t>15.</w:t>
      </w:r>
      <w:r w:rsidRPr="008B4F1D">
        <w:tab/>
        <w:t>observă că, între 2017 și 2022, Agenția a solicitat consiliere din partea unei firme de avocatură externe specializate în dreptul funcției publice al Uniunii pentru mai multe cereri de asistență în legătură cu acuzații de hărțuire psihologică; constată că o cerere de asistență primită în 2021 a condus la deschiderea a două anchete administrative separate, Agenția solicitând sprijinul a doi anchetatori externi; ia act de faptul că, în ambele cazuri, anchetele au fost închise fără acțiuni suplimentare, iar unul dintre cazuri a fost adus ulterior în fața instanței; invită Agenția să informeze autoritatea care acordă descărcarea de gestiune despre rezultatul în această privință;</w:t>
      </w:r>
    </w:p>
    <w:p w:rsidR="00121688" w:rsidRPr="008B4F1D" w:rsidRDefault="00121688" w:rsidP="00121688">
      <w:pPr>
        <w:pStyle w:val="NormalHanging12a"/>
        <w:rPr>
          <w:szCs w:val="24"/>
        </w:rPr>
      </w:pPr>
      <w:r w:rsidRPr="008B4F1D">
        <w:t>16.</w:t>
      </w:r>
      <w:r w:rsidRPr="008B4F1D">
        <w:tab/>
        <w:t>subliniază că, în 2022, Agenția a adoptat norme de punere în aplicare a Statutului funcționarilor privind, printre altele, desfășurarea anchetelor administrative și a procedurilor disciplinare, concediul pentru vizitarea țării de origine de către personalul care își desfășoară activitatea într-o țară terță și plata alocației școlare acordate membrilor personalului în anumite condiții; salută măsurile luate de Agenție pentru integrarea persoanelor cu dizabilități, precum și angajamentul Agenției de a adopta, în cadrul punerii în aplicare a strategiei privind resursele umane, „Carta privind diversitatea și incluziunea” aprobată de Grupul de lucru pentru diversitate și incluziune al Rețelei JAI;</w:t>
      </w:r>
    </w:p>
    <w:p w:rsidR="00121688" w:rsidRPr="008B4F1D" w:rsidRDefault="00121688" w:rsidP="00121688">
      <w:pPr>
        <w:pStyle w:val="NormalHanging12a"/>
      </w:pPr>
      <w:r w:rsidRPr="008B4F1D">
        <w:t>17.</w:t>
      </w:r>
      <w:r w:rsidRPr="008B4F1D">
        <w:tab/>
        <w:t>constată că personalul Agenției a lucrat în principal de la distanță până în martie 2022; observă că, în aprilie 2022, toți membrii personalului s-au întors la sediul Agenției; remarcă, în acest context, că Agenția a instituit măsuri tranzitorii privind munca la birou și munca la distanță și a organizat ateliere pentru a ajuta personalul să se adapteze la ideea de a se întoarce la birou după ce a lucrat continuu la distanță timp de doi ani; constată, de asemenea, că rezultatele sondajului realizat de Agenție în 2023 în rândul personalului indică faptul că măsurile cu caracter social luate de Agenție în 2022 au atenuat efectiv impactul pe care l-a avut extinderea muncii la distanță asupra personalului; constată, în special, că 96 % dintre respondenți și-au exprimat satisfacția cu privire la posibilitatea de a se coordona cu membrii echipei, deși lucrează în locuri diferite;</w:t>
      </w:r>
    </w:p>
    <w:p w:rsidR="00121688" w:rsidRPr="008B4F1D" w:rsidRDefault="00121688" w:rsidP="00121688">
      <w:pPr>
        <w:pStyle w:val="NormalHanging12a"/>
        <w:rPr>
          <w:b/>
          <w:i/>
        </w:rPr>
      </w:pPr>
      <w:r w:rsidRPr="008B4F1D">
        <w:t>18.</w:t>
      </w:r>
      <w:r w:rsidRPr="008B4F1D">
        <w:tab/>
        <w:t>ia act cu satisfacție de faptul că, la 31 decembrie 2022, Agenția dispunea de personal din 26 de state membre; constată că cele mai reprezentate naționalități în rândul personalului Agenției erau naționalitățile neerlandeză, italiană, spaniolă și română; reamintește importanța echilibrului geografic și încurajează Agenția să continue să ia măsurile necesare pentru a avea o reprezentare geografică echilibrată și echitabilă;</w:t>
      </w:r>
    </w:p>
    <w:p w:rsidR="00121688" w:rsidRPr="008B4F1D" w:rsidRDefault="00121688" w:rsidP="00121688">
      <w:pPr>
        <w:pStyle w:val="Normal12Hanging"/>
        <w:rPr>
          <w:b/>
          <w:i/>
          <w:szCs w:val="24"/>
          <w:lang w:val="ro-RO"/>
        </w:rPr>
      </w:pPr>
      <w:r w:rsidRPr="008B4F1D">
        <w:rPr>
          <w:b/>
          <w:i/>
          <w:lang w:val="ro-RO"/>
        </w:rPr>
        <w:t>Achizițiile publice</w:t>
      </w:r>
    </w:p>
    <w:p w:rsidR="00121688" w:rsidRPr="008B4F1D" w:rsidRDefault="00121688" w:rsidP="00121688">
      <w:pPr>
        <w:pStyle w:val="NormalHanging12a"/>
      </w:pPr>
      <w:r w:rsidRPr="008B4F1D">
        <w:t>19.</w:t>
      </w:r>
      <w:r w:rsidRPr="008B4F1D">
        <w:tab/>
        <w:t xml:space="preserve">reamintește observația din raportul Curții pentru 2020 potrivit căreia un contract-cadru pentru leasingul de autovehicule cu un singur operator economic nu era adecvat naturii </w:t>
      </w:r>
      <w:r w:rsidRPr="008B4F1D">
        <w:lastRenderedPageBreak/>
        <w:t>serviciilor solicitate, iar contractul atribuit ca rezultat al procedurii, precum și toate plățile aferente erau neconforme; constată din raportul Curții că, în 2022, Agenția a plătit în mod neregulamentar 59 281 EUR în temeiul acestui contract, iar observația este încă deschisă; invită Agenția să examineze posibilitatea de a pune capăt acestui contract-cadru și de a lansa o nouă procedură cu reluarea licitației, așa cum a considerat oportun Curtea în cazul respectiv de leasing de autovehicule;</w:t>
      </w:r>
    </w:p>
    <w:p w:rsidR="00121688" w:rsidRPr="008B4F1D" w:rsidRDefault="00121688" w:rsidP="00121688">
      <w:pPr>
        <w:pStyle w:val="NormalHanging12a"/>
        <w:rPr>
          <w:szCs w:val="24"/>
        </w:rPr>
      </w:pPr>
      <w:r w:rsidRPr="008B4F1D">
        <w:t>20.</w:t>
      </w:r>
      <w:r w:rsidRPr="008B4F1D">
        <w:tab/>
        <w:t>remarcă, pe baza raportului Agenției privind acțiunile întreprinse în urma descărcării de gestiune pentru 2021 (denumit în continuare „raportul privind acțiunile întreprinse”), că Agenția continuă testarea instrumentului de gestionare a achizițiilor publice (PPMT), cu intenția de a-l utiliza pentru toate noile proceduri de achiziții lansate începând cu 2024;</w:t>
      </w:r>
    </w:p>
    <w:p w:rsidR="00121688" w:rsidRPr="008B4F1D" w:rsidRDefault="00121688" w:rsidP="00121688">
      <w:pPr>
        <w:pStyle w:val="Normal12Hanging"/>
        <w:rPr>
          <w:b/>
          <w:i/>
          <w:szCs w:val="24"/>
          <w:lang w:val="ro-RO"/>
        </w:rPr>
      </w:pPr>
      <w:r w:rsidRPr="008B4F1D">
        <w:rPr>
          <w:b/>
          <w:i/>
          <w:lang w:val="ro-RO"/>
        </w:rPr>
        <w:t>Prevenirea și gestionarea conflictelor de interese și transparența</w:t>
      </w:r>
    </w:p>
    <w:p w:rsidR="00121688" w:rsidRPr="008B4F1D" w:rsidRDefault="00121688" w:rsidP="00121688">
      <w:pPr>
        <w:pStyle w:val="Normal12Hanging"/>
        <w:rPr>
          <w:szCs w:val="24"/>
          <w:lang w:val="ro-RO"/>
        </w:rPr>
      </w:pPr>
      <w:r w:rsidRPr="008B4F1D">
        <w:rPr>
          <w:lang w:val="ro-RO"/>
        </w:rPr>
        <w:t>21.</w:t>
      </w:r>
      <w:r w:rsidRPr="008B4F1D">
        <w:rPr>
          <w:lang w:val="ro-RO"/>
        </w:rPr>
        <w:tab/>
        <w:t>ia act de procedura operațională standard a Agenției privind gestionarea conflictelor de interese, aplicabilă tuturor candidaților cărora li se oferă un post în cadrul Agenției, nou-veniților, personalului care își schimbă postul, precum și tuturor membrilor personalului care părăsesc Agenția; subliniază că Agenția a instituit un cod deontologic pentru membrii Colegiului și ai Comitetului executiv, totuși fără o politică în domeniul „ușilor turnante”; constată că, în 2022, au existat cazuri de conflicte de interese raportate și gestionate, în special în ceea ce privește implicarea membrilor Colegiului în procedurile legate de personal; constată cu satisfacție că persoanele în cauză s-au recuzat și nu au participat la deliberările și la procesul decizional al Colegiului în această privință;</w:t>
      </w:r>
    </w:p>
    <w:p w:rsidR="00121688" w:rsidRPr="008B4F1D" w:rsidRDefault="00121688" w:rsidP="00121688">
      <w:pPr>
        <w:pStyle w:val="Normal12Hanging"/>
        <w:rPr>
          <w:szCs w:val="24"/>
          <w:lang w:val="ro-RO"/>
        </w:rPr>
      </w:pPr>
      <w:r w:rsidRPr="008B4F1D">
        <w:rPr>
          <w:lang w:val="ro-RO"/>
        </w:rPr>
        <w:t>22.</w:t>
      </w:r>
      <w:r w:rsidRPr="008B4F1D">
        <w:rPr>
          <w:lang w:val="ro-RO"/>
        </w:rPr>
        <w:tab/>
        <w:t xml:space="preserve">ia act de faptul că, deși Agenția nu organizează reuniuni cu lobbiști, reuniunile Comitetului executiv al Agenției cu invitații externi care vizitează Agenția au fost publicate în contul de </w:t>
      </w:r>
      <w:proofErr w:type="spellStart"/>
      <w:r w:rsidRPr="008B4F1D">
        <w:rPr>
          <w:lang w:val="ro-RO"/>
        </w:rPr>
        <w:t>Twitter</w:t>
      </w:r>
      <w:proofErr w:type="spellEnd"/>
      <w:r w:rsidRPr="008B4F1D">
        <w:rPr>
          <w:lang w:val="ro-RO"/>
        </w:rPr>
        <w:t xml:space="preserve"> al Agenției în 2022 și, începând din 2023, pe site-ul public al Agenției; regretă profund că, în pofida apelurilor repetate ale Parlamentului din mai multe rezoluții privind descărcarea de gestiune, Agenția nu publică încă pe site-ul său CV-urile tuturor membrilor personalului său de conducere de nivel superior, ale experților interni și ale experților externi; îndeamnă Agenția să publice CV-urile respective sau să explice motivele pentru care Agenția nu a făcut încă acest lucru;</w:t>
      </w:r>
    </w:p>
    <w:p w:rsidR="00121688" w:rsidRPr="008B4F1D" w:rsidRDefault="00121688" w:rsidP="00121688">
      <w:pPr>
        <w:pStyle w:val="Normal12Hanging"/>
        <w:rPr>
          <w:b/>
          <w:i/>
          <w:szCs w:val="24"/>
          <w:lang w:val="ro-RO"/>
        </w:rPr>
      </w:pPr>
      <w:r w:rsidRPr="008B4F1D">
        <w:rPr>
          <w:b/>
          <w:i/>
          <w:lang w:val="ro-RO"/>
        </w:rPr>
        <w:t>Controlul intern</w:t>
      </w:r>
    </w:p>
    <w:p w:rsidR="00121688" w:rsidRPr="008B4F1D" w:rsidRDefault="00121688" w:rsidP="00121688">
      <w:pPr>
        <w:pStyle w:val="NormalHanging12a"/>
        <w:rPr>
          <w:szCs w:val="24"/>
        </w:rPr>
      </w:pPr>
      <w:r w:rsidRPr="008B4F1D">
        <w:t>23.</w:t>
      </w:r>
      <w:r w:rsidRPr="008B4F1D">
        <w:tab/>
        <w:t>reamintește că, în 2021, OLAF a efectuat o anchetă în urma unei plângeri anonime privind acuzații de nereguli în procedurile de recrutare; observă că, în 2022, OLAF a raportat că nu au fost constatate nereguli în acest sens; remarcă, de asemenea, în acest context, că, deoarece ancheta era încă parțial pendinte la sfârșitul anului 2022 și din motive de confidențialitate, OLAF a decis să nu comunice mai multe detalii în etapa respectivă; salută, pe baza raportului privind acțiunile întreprinse, angajamentul Agenției de a informa în timp util autoritatea care acordă descărcarea de gestiune cu privire la orice evoluție în această privință;</w:t>
      </w:r>
    </w:p>
    <w:p w:rsidR="00121688" w:rsidRPr="008B4F1D" w:rsidRDefault="00121688" w:rsidP="00121688">
      <w:pPr>
        <w:pStyle w:val="NormalHanging12a"/>
        <w:rPr>
          <w:szCs w:val="24"/>
        </w:rPr>
      </w:pPr>
      <w:r w:rsidRPr="008B4F1D">
        <w:t>24.</w:t>
      </w:r>
      <w:r w:rsidRPr="008B4F1D">
        <w:tab/>
        <w:t xml:space="preserve">observă că, la sfârșitul anului 2022, erau mult în întârziere patru recomandări emise de Serviciul de Audit Intern al Comisiei (IAS) în 2019 și 2021; constată, în acest context, că, în ceea ce privește recomandarea IAS din 2021 din proprie inițiativă privind sarcinile operaționale, grupul de lucru intern relevant al Agenției a convenit asupra unui document strategic și a unui plan de acțiune, cu acțiuni pe termen scurt și pe termen </w:t>
      </w:r>
      <w:r w:rsidR="008442F3" w:rsidRPr="008B4F1D">
        <w:t>mediu</w:t>
      </w:r>
      <w:r w:rsidRPr="008B4F1D">
        <w:t xml:space="preserve">, dintre care unele au fost deja puse în aplicare în 2023, Agenția marcând această recomandare ca fiind pusă în aplicare, sub rezerva evaluării finale de către IAS; </w:t>
      </w:r>
      <w:r w:rsidRPr="008B4F1D">
        <w:lastRenderedPageBreak/>
        <w:t xml:space="preserve">remarcă, de asemenea, din raportul privind acțiunile întreprinse, în ceea ce privește recomandarea IAS din 2021 ca Agenția să efectueze un sondaj </w:t>
      </w:r>
      <w:proofErr w:type="spellStart"/>
      <w:r w:rsidRPr="008B4F1D">
        <w:t>iCAT</w:t>
      </w:r>
      <w:proofErr w:type="spellEnd"/>
      <w:r w:rsidRPr="008B4F1D">
        <w:t xml:space="preserve"> pentru a consolida evaluarea tipurilor informale de control, că lansarea acestui sondaj, planificată pentru T4 2022, a fost amânată din cauza implementării unor proiecte interorganizaționale majore (de exemplu, SUMMA), a creșterii volumului de lucru datorate noilor priorități legate de războiul din Ucraina, precum și a perioadei de tranziție dintre plecarea directorului administrativ anterior și numirea noului director administrativ; constată, în acest context, că întrebările relevante ale </w:t>
      </w:r>
      <w:proofErr w:type="spellStart"/>
      <w:r w:rsidRPr="008B4F1D">
        <w:t>iCAT</w:t>
      </w:r>
      <w:proofErr w:type="spellEnd"/>
      <w:r w:rsidRPr="008B4F1D">
        <w:t xml:space="preserve"> au fost integrate în ancheta Agenției privind implicarea lansată în T2 2023; constată, în cele din urmă, că, sub rezerva evaluării finale de către IAS, această recomandare este considerată, de asemenea, pusă în aplicare de Agenție; invită Agenția să accelereze punerea în aplicare a recomandărilor IAS rămase deschise, în special a celor care înregistrează întârzieri semnificative;</w:t>
      </w:r>
    </w:p>
    <w:p w:rsidR="00121688" w:rsidRPr="008B4F1D" w:rsidRDefault="00121688" w:rsidP="00121688">
      <w:pPr>
        <w:pStyle w:val="NormalHanging12a"/>
      </w:pPr>
      <w:r w:rsidRPr="008B4F1D">
        <w:t>25.</w:t>
      </w:r>
      <w:r w:rsidRPr="008B4F1D">
        <w:tab/>
        <w:t>ia act cu îngrijorare de creșterea semnificativă a numărului și valorii cazurilor de neconformitate în 2022 (43 de cazuri în valoare de 294 000 EUR) față de 2021 (33 de cazuri în valoare de 18 000 EUR), astfel de cazuri fiind legate în principal de probleme precum o factură mai mare decât angajamentul juridic, un angajament bugetar care a avut loc după atribuirea angajamentului juridic sau absența unui ordin de cumpărare sau a unui contract specific; observă că Agenția a explicat că această creștere este legată de dificultățile întâmpinate în gestiunea bugetară și financiară în 2022, ca urmare a introducerii SUMMA; invită Agenția să trateze aceste observații și să examineze abordări pentru ca în viitor să nu mai aibă loc astfel de situații;</w:t>
      </w:r>
    </w:p>
    <w:p w:rsidR="00121688" w:rsidRPr="008B4F1D" w:rsidRDefault="00121688" w:rsidP="00121688">
      <w:pPr>
        <w:pStyle w:val="NormalHanging12a"/>
        <w:rPr>
          <w:szCs w:val="24"/>
        </w:rPr>
      </w:pPr>
      <w:r w:rsidRPr="008B4F1D">
        <w:t>26.</w:t>
      </w:r>
      <w:r w:rsidRPr="008B4F1D">
        <w:tab/>
        <w:t>constată că, în 2022, componentele și principiile cadrului de control intern al Agenției erau prezente și funcționale, iar sistemul a fost în general eficace, fiind necesare unele îmbunătățiri în ceea ce privește, de exemplu, punerea în aplicare a SUMMA și nevoia de a adopta un plan de recuperare în caz de dezastru; felicită Agenția pentru adoptarea unei politici privind funcțiile sensibile, pentru proiectul de evaluare a raportului cost-eficacitate și a beneficiilor numirii unei structuri de audit intern și pentru absența unor recomandări sau observații critice de audit în 2022; invită Agenția să informeze autoritatea care acordă descărcarea de gestiune cu privire la rezultatul evaluării structurii de audit intern; salută, în fine, acțiunile suplimentare întreprinse de Agenție ca urmare a adoptării, în 2021, a strategiei antifraudă a Agenției; constată, în acest sens, că Agenția a adoptat în 2022 noi proceduri interne pentru gestionarea activelor și a inventarului;</w:t>
      </w:r>
    </w:p>
    <w:p w:rsidR="00121688" w:rsidRPr="008B4F1D" w:rsidRDefault="00121688" w:rsidP="00121688">
      <w:pPr>
        <w:pStyle w:val="Normal12Hanging"/>
        <w:rPr>
          <w:b/>
          <w:i/>
          <w:szCs w:val="24"/>
          <w:lang w:val="ro-RO"/>
        </w:rPr>
      </w:pPr>
      <w:r w:rsidRPr="008B4F1D">
        <w:rPr>
          <w:b/>
          <w:i/>
          <w:lang w:val="ro-RO"/>
        </w:rPr>
        <w:t>Alte observații</w:t>
      </w:r>
    </w:p>
    <w:p w:rsidR="00121688" w:rsidRPr="008B4F1D" w:rsidRDefault="00121688" w:rsidP="00121688">
      <w:pPr>
        <w:pStyle w:val="Normal12Hanging"/>
        <w:rPr>
          <w:szCs w:val="24"/>
          <w:lang w:val="ro-RO"/>
        </w:rPr>
      </w:pPr>
      <w:r w:rsidRPr="008B4F1D">
        <w:rPr>
          <w:lang w:val="ro-RO"/>
        </w:rPr>
        <w:t>27.</w:t>
      </w:r>
      <w:r w:rsidRPr="008B4F1D">
        <w:rPr>
          <w:lang w:val="ro-RO"/>
        </w:rPr>
        <w:tab/>
        <w:t>felicită Agenția că a investit în activitățile sale de comunicare pentru a spori vizibilitatea și înțelegerea activității sale în rândul unui public larg; remarcă, prin urmare, o creștere a indicatorilor Agenției pe platformele de comunicare socială cu 40 %, a numărului de vizitatori ai site-ului Agenției cu aproape 100 % și a numărului comunicatelor de presă și al știrilor cu 16 % în 2022 comparativ cu 2021, acest din urmă indicator ducând la o creștere de aproape cinci ori mai mare a numărului de mențiuni față de 2021;</w:t>
      </w:r>
    </w:p>
    <w:p w:rsidR="00121688" w:rsidRPr="008B4F1D" w:rsidRDefault="00121688" w:rsidP="008442F3">
      <w:pPr>
        <w:pStyle w:val="Normal12Hanging"/>
      </w:pPr>
      <w:r w:rsidRPr="008B4F1D">
        <w:rPr>
          <w:lang w:val="ro-RO"/>
        </w:rPr>
        <w:t>28.</w:t>
      </w:r>
      <w:r w:rsidRPr="008B4F1D">
        <w:rPr>
          <w:lang w:val="ro-RO"/>
        </w:rPr>
        <w:tab/>
        <w:t xml:space="preserve">salută eforturile continue ale Agenției în 2022 de a-și consolida conformitatea în materie de protecție a datelor; salută creșterea numărului de membri ai echipei responsabilului cu protecția datelor (RPD) din cadrul Agenției cu încă două persoane </w:t>
      </w:r>
      <w:r w:rsidRPr="008B4F1D">
        <w:rPr>
          <w:lang w:val="ro-RO"/>
        </w:rPr>
        <w:lastRenderedPageBreak/>
        <w:t>pentru noile sarcini legate de Regulamentul (UE) 2018/1725</w:t>
      </w:r>
      <w:r w:rsidR="008442F3" w:rsidRPr="008B4F1D">
        <w:rPr>
          <w:vertAlign w:val="superscript"/>
        </w:rPr>
        <w:footnoteReference w:id="12"/>
      </w:r>
      <w:r w:rsidR="008442F3" w:rsidRPr="008B4F1D">
        <w:t xml:space="preserve"> </w:t>
      </w:r>
      <w:r w:rsidRPr="008B4F1D">
        <w:rPr>
          <w:lang w:val="ro-RO"/>
        </w:rPr>
        <w:t>și extinderea mandatului Agenției la crimele internaționale cele mai grave, care se adaugă cerințelor de protecție a datelor; observă că, în 2022, RPD și Autoritatea Europeană pentru Protecția Datelor au continuat să organizeze reuniuni periodice (bilunare), precum și reuniuni ad-hoc și consultări cu privire la diverse aspecte legate de protecția datelor, cum ar fi încălcările securității datelor și plângerile, printre altele;</w:t>
      </w:r>
    </w:p>
    <w:p w:rsidR="00121688" w:rsidRPr="008B4F1D" w:rsidRDefault="00121688" w:rsidP="00121688">
      <w:pPr>
        <w:pStyle w:val="Normal12Hanging"/>
        <w:rPr>
          <w:szCs w:val="24"/>
          <w:lang w:val="ro-RO"/>
        </w:rPr>
      </w:pPr>
      <w:r w:rsidRPr="008B4F1D">
        <w:rPr>
          <w:lang w:val="ro-RO"/>
        </w:rPr>
        <w:t>29.</w:t>
      </w:r>
      <w:r w:rsidRPr="008B4F1D">
        <w:rPr>
          <w:lang w:val="ro-RO"/>
        </w:rPr>
        <w:tab/>
        <w:t xml:space="preserve">felicită, totodată, Agenția pentru aplicarea în 2022 a mai multor măsuri pentru a spori securitatea cibernetică și protecția evidențelor digitale aflate în posesia sa, cum ar fi utilizarea de telefoane mobile corporative gestionate și securizate la nivel central, introducerea unor sesiuni interne de sensibilizare </w:t>
      </w:r>
      <w:proofErr w:type="spellStart"/>
      <w:r w:rsidRPr="008B4F1D">
        <w:rPr>
          <w:lang w:val="ro-RO"/>
        </w:rPr>
        <w:t>CyberCafe</w:t>
      </w:r>
      <w:proofErr w:type="spellEnd"/>
      <w:r w:rsidRPr="008B4F1D">
        <w:rPr>
          <w:lang w:val="ro-RO"/>
        </w:rPr>
        <w:t xml:space="preserve"> și implementarea protecției împotriva atacurilor de tip „</w:t>
      </w:r>
      <w:proofErr w:type="spellStart"/>
      <w:r w:rsidRPr="008B4F1D">
        <w:rPr>
          <w:lang w:val="ro-RO"/>
        </w:rPr>
        <w:t>Distributed</w:t>
      </w:r>
      <w:proofErr w:type="spellEnd"/>
      <w:r w:rsidRPr="008B4F1D">
        <w:rPr>
          <w:lang w:val="ro-RO"/>
        </w:rPr>
        <w:t xml:space="preserve"> </w:t>
      </w:r>
      <w:proofErr w:type="spellStart"/>
      <w:r w:rsidRPr="008B4F1D">
        <w:rPr>
          <w:lang w:val="ro-RO"/>
        </w:rPr>
        <w:t>Denial</w:t>
      </w:r>
      <w:proofErr w:type="spellEnd"/>
      <w:r w:rsidRPr="008B4F1D">
        <w:rPr>
          <w:lang w:val="ro-RO"/>
        </w:rPr>
        <w:t xml:space="preserve"> of Service”, printre altele;</w:t>
      </w:r>
    </w:p>
    <w:p w:rsidR="00121688" w:rsidRPr="008B4F1D" w:rsidRDefault="00121688" w:rsidP="00121688">
      <w:pPr>
        <w:pStyle w:val="NormalCenter12a"/>
      </w:pPr>
      <w:r w:rsidRPr="008B4F1D">
        <w:t>°</w:t>
      </w:r>
    </w:p>
    <w:p w:rsidR="00121688" w:rsidRPr="008B4F1D" w:rsidRDefault="00121688" w:rsidP="00121688">
      <w:pPr>
        <w:pStyle w:val="NormalCenter12a"/>
      </w:pPr>
      <w:r w:rsidRPr="008B4F1D">
        <w:t>°</w:t>
      </w:r>
      <w:r w:rsidRPr="008B4F1D">
        <w:tab/>
        <w:t>°</w:t>
      </w:r>
    </w:p>
    <w:p w:rsidR="00385EC6" w:rsidRPr="008B4F1D" w:rsidRDefault="00121688" w:rsidP="00385EC6">
      <w:pPr>
        <w:pStyle w:val="NormalHanging12a"/>
      </w:pPr>
      <w:r w:rsidRPr="008B4F1D">
        <w:t>30.</w:t>
      </w:r>
      <w:r w:rsidRPr="008B4F1D">
        <w:tab/>
        <w:t xml:space="preserve">face trimitere, pentru alte observații cu caracter orizontal care însoțesc decizia privind descărcarea de gestiune, la Rezoluția sa din </w:t>
      </w:r>
      <w:r w:rsidR="008442F3" w:rsidRPr="008B4F1D">
        <w:t xml:space="preserve">11 aprilie </w:t>
      </w:r>
      <w:r w:rsidRPr="008B4F1D">
        <w:t>2024</w:t>
      </w:r>
      <w:r w:rsidRPr="008B4F1D">
        <w:rPr>
          <w:rStyle w:val="FootnoteReference"/>
        </w:rPr>
        <w:footnoteReference w:id="13"/>
      </w:r>
      <w:r w:rsidRPr="008B4F1D">
        <w:t xml:space="preserve"> referitoare la performanțele, gestiunea financiară și controlul agențiilor.</w:t>
      </w:r>
    </w:p>
    <w:p w:rsidR="00121688" w:rsidRPr="008B4F1D" w:rsidRDefault="00121688" w:rsidP="00121688">
      <w:pPr>
        <w:pStyle w:val="NormalHanging12a"/>
        <w:ind w:left="560" w:hanging="560"/>
      </w:pPr>
    </w:p>
    <w:sectPr w:rsidR="00121688" w:rsidRPr="008B4F1D" w:rsidSect="0059575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FA8" w:rsidRPr="00595750" w:rsidRDefault="003E2FA8">
      <w:r w:rsidRPr="00595750">
        <w:separator/>
      </w:r>
    </w:p>
  </w:endnote>
  <w:endnote w:type="continuationSeparator" w:id="0">
    <w:p w:rsidR="003E2FA8" w:rsidRPr="00595750" w:rsidRDefault="003E2FA8">
      <w:r w:rsidRPr="005957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688" w:rsidRPr="00595750" w:rsidRDefault="00121688" w:rsidP="002867D4">
    <w:pPr>
      <w:pStyle w:val="EPFooter"/>
    </w:pPr>
    <w:r w:rsidRPr="00595750">
      <w:t>PE</w:t>
    </w:r>
    <w:r w:rsidRPr="00595750">
      <w:rPr>
        <w:rStyle w:val="HideTWBExt"/>
      </w:rPr>
      <w:t>&lt;</w:t>
    </w:r>
    <w:proofErr w:type="spellStart"/>
    <w:r w:rsidRPr="00595750">
      <w:rPr>
        <w:rStyle w:val="HideTWBExt"/>
      </w:rPr>
      <w:t>NoPE</w:t>
    </w:r>
    <w:proofErr w:type="spellEnd"/>
    <w:r w:rsidRPr="00595750">
      <w:rPr>
        <w:rStyle w:val="HideTWBExt"/>
      </w:rPr>
      <w:t>&gt;</w:t>
    </w:r>
    <w:r w:rsidRPr="00595750">
      <w:t>753.539</w:t>
    </w:r>
    <w:r w:rsidRPr="00595750">
      <w:rPr>
        <w:rStyle w:val="HideTWBExt"/>
      </w:rPr>
      <w:t>&lt;/</w:t>
    </w:r>
    <w:proofErr w:type="spellStart"/>
    <w:r w:rsidRPr="00595750">
      <w:rPr>
        <w:rStyle w:val="HideTWBExt"/>
      </w:rPr>
      <w:t>NoPE</w:t>
    </w:r>
    <w:proofErr w:type="spellEnd"/>
    <w:r w:rsidRPr="00595750">
      <w:rPr>
        <w:rStyle w:val="HideTWBExt"/>
      </w:rPr>
      <w:t>&gt;&lt;Version&gt;</w:t>
    </w:r>
    <w:r w:rsidRPr="00595750">
      <w:t>v02-00</w:t>
    </w:r>
    <w:r w:rsidRPr="00595750">
      <w:rPr>
        <w:rStyle w:val="HideTWBExt"/>
      </w:rPr>
      <w:t>&lt;/</w:t>
    </w:r>
    <w:proofErr w:type="spellStart"/>
    <w:r w:rsidRPr="00595750">
      <w:rPr>
        <w:rStyle w:val="HideTWBExt"/>
      </w:rPr>
      <w:t>Version</w:t>
    </w:r>
    <w:proofErr w:type="spellEnd"/>
    <w:r w:rsidRPr="00595750">
      <w:rPr>
        <w:rStyle w:val="HideTWBExt"/>
      </w:rPr>
      <w:t>&gt;</w:t>
    </w:r>
    <w:r w:rsidRPr="00595750">
      <w:tab/>
    </w:r>
    <w:r w:rsidRPr="00595750">
      <w:fldChar w:fldCharType="begin"/>
    </w:r>
    <w:r w:rsidRPr="00595750">
      <w:instrText xml:space="preserve"> PAGE  \* MERGEFORMAT </w:instrText>
    </w:r>
    <w:r w:rsidRPr="00595750">
      <w:fldChar w:fldCharType="separate"/>
    </w:r>
    <w:r w:rsidR="00595750" w:rsidRPr="00595750">
      <w:rPr>
        <w:noProof/>
      </w:rPr>
      <w:t>2</w:t>
    </w:r>
    <w:r w:rsidRPr="00595750">
      <w:fldChar w:fldCharType="end"/>
    </w:r>
    <w:r w:rsidRPr="00595750">
      <w:t>/</w:t>
    </w:r>
    <w:r w:rsidR="008B4F1D">
      <w:fldChar w:fldCharType="begin"/>
    </w:r>
    <w:r w:rsidR="008B4F1D">
      <w:instrText xml:space="preserve"> NUMPAGES  \* MERGEFORMAT </w:instrText>
    </w:r>
    <w:r w:rsidR="008B4F1D">
      <w:fldChar w:fldCharType="separate"/>
    </w:r>
    <w:r w:rsidR="00595750" w:rsidRPr="00595750">
      <w:rPr>
        <w:noProof/>
      </w:rPr>
      <w:t>3</w:t>
    </w:r>
    <w:r w:rsidR="008B4F1D">
      <w:rPr>
        <w:noProof/>
      </w:rPr>
      <w:fldChar w:fldCharType="end"/>
    </w:r>
    <w:r w:rsidRPr="00595750">
      <w:tab/>
    </w:r>
    <w:r w:rsidRPr="00595750">
      <w:rPr>
        <w:rStyle w:val="HideTWBExt"/>
      </w:rPr>
      <w:t>&lt;PathFdR&gt;</w:t>
    </w:r>
    <w:r w:rsidRPr="00595750">
      <w:t>RR\1298768RO.docx</w:t>
    </w:r>
    <w:r w:rsidRPr="00595750">
      <w:rPr>
        <w:rStyle w:val="HideTWBExt"/>
      </w:rPr>
      <w:t>&lt;/</w:t>
    </w:r>
    <w:proofErr w:type="spellStart"/>
    <w:r w:rsidRPr="00595750">
      <w:rPr>
        <w:rStyle w:val="HideTWBExt"/>
      </w:rPr>
      <w:t>PathFdR</w:t>
    </w:r>
    <w:proofErr w:type="spellEnd"/>
    <w:r w:rsidRPr="00595750">
      <w:rPr>
        <w:rStyle w:val="HideTWBExt"/>
      </w:rPr>
      <w:t>&gt;</w:t>
    </w:r>
  </w:p>
  <w:p w:rsidR="00121688" w:rsidRPr="00595750" w:rsidRDefault="00121688" w:rsidP="002867D4">
    <w:pPr>
      <w:pStyle w:val="EPFooter2"/>
    </w:pPr>
    <w:r w:rsidRPr="0059575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688" w:rsidRPr="00595750" w:rsidRDefault="00121688" w:rsidP="002867D4">
    <w:pPr>
      <w:pStyle w:val="EPFooter"/>
    </w:pPr>
    <w:r w:rsidRPr="00595750">
      <w:rPr>
        <w:rStyle w:val="HideTWBExt"/>
      </w:rPr>
      <w:t>&lt;PathFdR&gt;</w:t>
    </w:r>
    <w:r w:rsidRPr="00595750">
      <w:t>RR\1298768RO.docx</w:t>
    </w:r>
    <w:r w:rsidRPr="00595750">
      <w:rPr>
        <w:rStyle w:val="HideTWBExt"/>
      </w:rPr>
      <w:t>&lt;/</w:t>
    </w:r>
    <w:proofErr w:type="spellStart"/>
    <w:r w:rsidRPr="00595750">
      <w:rPr>
        <w:rStyle w:val="HideTWBExt"/>
      </w:rPr>
      <w:t>PathFdR</w:t>
    </w:r>
    <w:proofErr w:type="spellEnd"/>
    <w:r w:rsidRPr="00595750">
      <w:rPr>
        <w:rStyle w:val="HideTWBExt"/>
      </w:rPr>
      <w:t>&gt;</w:t>
    </w:r>
    <w:r w:rsidRPr="00595750">
      <w:tab/>
    </w:r>
    <w:r w:rsidRPr="00595750">
      <w:tab/>
      <w:t>PE</w:t>
    </w:r>
    <w:r w:rsidRPr="00595750">
      <w:rPr>
        <w:rStyle w:val="HideTWBExt"/>
      </w:rPr>
      <w:t>&lt;</w:t>
    </w:r>
    <w:proofErr w:type="spellStart"/>
    <w:r w:rsidRPr="00595750">
      <w:rPr>
        <w:rStyle w:val="HideTWBExt"/>
      </w:rPr>
      <w:t>NoPE</w:t>
    </w:r>
    <w:proofErr w:type="spellEnd"/>
    <w:r w:rsidRPr="00595750">
      <w:rPr>
        <w:rStyle w:val="HideTWBExt"/>
      </w:rPr>
      <w:t>&gt;</w:t>
    </w:r>
    <w:r w:rsidRPr="00595750">
      <w:t>753.539</w:t>
    </w:r>
    <w:r w:rsidRPr="00595750">
      <w:rPr>
        <w:rStyle w:val="HideTWBExt"/>
      </w:rPr>
      <w:t>&lt;/</w:t>
    </w:r>
    <w:proofErr w:type="spellStart"/>
    <w:r w:rsidRPr="00595750">
      <w:rPr>
        <w:rStyle w:val="HideTWBExt"/>
      </w:rPr>
      <w:t>NoPE</w:t>
    </w:r>
    <w:proofErr w:type="spellEnd"/>
    <w:r w:rsidRPr="00595750">
      <w:rPr>
        <w:rStyle w:val="HideTWBExt"/>
      </w:rPr>
      <w:t>&gt;&lt;Version&gt;</w:t>
    </w:r>
    <w:r w:rsidRPr="00595750">
      <w:t>v02-00</w:t>
    </w:r>
    <w:r w:rsidRPr="00595750">
      <w:rPr>
        <w:rStyle w:val="HideTWBExt"/>
      </w:rPr>
      <w:t>&lt;/</w:t>
    </w:r>
    <w:proofErr w:type="spellStart"/>
    <w:r w:rsidRPr="00595750">
      <w:rPr>
        <w:rStyle w:val="HideTWBExt"/>
      </w:rPr>
      <w:t>Version</w:t>
    </w:r>
    <w:proofErr w:type="spellEnd"/>
    <w:r w:rsidRPr="00595750">
      <w:rPr>
        <w:rStyle w:val="HideTWBExt"/>
      </w:rPr>
      <w:t>&gt;</w:t>
    </w:r>
  </w:p>
  <w:p w:rsidR="00121688" w:rsidRPr="00595750" w:rsidRDefault="00121688" w:rsidP="002867D4">
    <w:pPr>
      <w:pStyle w:val="EPFooter2"/>
    </w:pPr>
    <w:r w:rsidRPr="00595750">
      <w:t>RO</w:t>
    </w:r>
    <w:r w:rsidRPr="00595750">
      <w:tab/>
    </w:r>
    <w:r w:rsidRPr="00595750">
      <w:rPr>
        <w:b w:val="0"/>
        <w:i/>
        <w:color w:val="C0C0C0"/>
        <w:sz w:val="22"/>
      </w:rPr>
      <w:t>Unită în diversitate</w:t>
    </w:r>
    <w:r w:rsidRPr="0059575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50"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5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FA8" w:rsidRPr="00595750" w:rsidRDefault="003E2FA8">
      <w:r w:rsidRPr="00595750">
        <w:separator/>
      </w:r>
    </w:p>
  </w:footnote>
  <w:footnote w:type="continuationSeparator" w:id="0">
    <w:p w:rsidR="003E2FA8" w:rsidRPr="00595750" w:rsidRDefault="003E2FA8">
      <w:r w:rsidRPr="00595750">
        <w:continuationSeparator/>
      </w:r>
    </w:p>
  </w:footnote>
  <w:footnote w:id="1">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C, C/2023/594, 27.10.2023.</w:t>
      </w:r>
    </w:p>
  </w:footnote>
  <w:footnote w:id="2">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C, C/2023/112, 12.10.2023.</w:t>
      </w:r>
    </w:p>
  </w:footnote>
  <w:footnote w:id="3">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L 193, 30.7.2018, p. 1.</w:t>
      </w:r>
    </w:p>
  </w:footnote>
  <w:footnote w:id="4">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L 295, 21.11.2018, p. 138.</w:t>
      </w:r>
    </w:p>
  </w:footnote>
  <w:footnote w:id="5">
    <w:p w:rsidR="00121688" w:rsidRPr="008B4F1D" w:rsidRDefault="00121688" w:rsidP="008442F3">
      <w:pPr>
        <w:pStyle w:val="FootnoteText"/>
        <w:ind w:left="851" w:hanging="851"/>
        <w:rPr>
          <w:sz w:val="24"/>
          <w:szCs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L 122, 10.5.2019, p. 1.</w:t>
      </w:r>
    </w:p>
  </w:footnote>
  <w:footnote w:id="6">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C, C/2023/594, 27.10.2023.</w:t>
      </w:r>
    </w:p>
  </w:footnote>
  <w:footnote w:id="7">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C, C/2023/112, 12.10.2023.</w:t>
      </w:r>
    </w:p>
  </w:footnote>
  <w:footnote w:id="8">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L 193, 30.7.2018, p. 1.</w:t>
      </w:r>
    </w:p>
  </w:footnote>
  <w:footnote w:id="9">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L 295, 21.11.2018, p. 138.</w:t>
      </w:r>
    </w:p>
  </w:footnote>
  <w:footnote w:id="10">
    <w:p w:rsidR="00121688" w:rsidRPr="008B4F1D" w:rsidRDefault="00121688" w:rsidP="008442F3">
      <w:pPr>
        <w:pStyle w:val="FootnoteText"/>
        <w:ind w:left="851" w:hanging="851"/>
        <w:rPr>
          <w:sz w:val="24"/>
          <w:szCs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L 122, 10.5.2019, p. 1.</w:t>
      </w:r>
    </w:p>
  </w:footnote>
  <w:footnote w:id="11">
    <w:p w:rsidR="00121688" w:rsidRPr="008B4F1D"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JO C 38, 31.1.2023, p. 194.</w:t>
      </w:r>
    </w:p>
  </w:footnote>
  <w:footnote w:id="12">
    <w:p w:rsidR="008442F3" w:rsidRPr="008B4F1D" w:rsidRDefault="008442F3" w:rsidP="008442F3">
      <w:pPr>
        <w:pStyle w:val="FootnoteText"/>
        <w:ind w:left="851" w:hanging="851"/>
        <w:rPr>
          <w:lang w:val="en-GB"/>
        </w:rPr>
      </w:pPr>
      <w:r w:rsidRPr="008B4F1D">
        <w:rPr>
          <w:rStyle w:val="FootnoteReference"/>
        </w:rPr>
        <w:footnoteRef/>
      </w:r>
      <w:r w:rsidRPr="008B4F1D">
        <w:rPr>
          <w:lang w:val="en-GB"/>
        </w:rPr>
        <w:t xml:space="preserve"> </w:t>
      </w:r>
      <w:r w:rsidRPr="008B4F1D">
        <w:rPr>
          <w:lang w:val="en-GB"/>
        </w:rPr>
        <w:tab/>
      </w:r>
      <w:proofErr w:type="spellStart"/>
      <w:r w:rsidRPr="008B4F1D">
        <w:rPr>
          <w:lang w:val="en-GB"/>
        </w:rPr>
        <w:t>Regulamentul</w:t>
      </w:r>
      <w:proofErr w:type="spellEnd"/>
      <w:r w:rsidRPr="008B4F1D">
        <w:rPr>
          <w:lang w:val="en-GB"/>
        </w:rPr>
        <w:t xml:space="preserve"> (UE) 2018/1725 al </w:t>
      </w:r>
      <w:proofErr w:type="spellStart"/>
      <w:r w:rsidRPr="008B4F1D">
        <w:rPr>
          <w:lang w:val="en-GB"/>
        </w:rPr>
        <w:t>Parlamentului</w:t>
      </w:r>
      <w:proofErr w:type="spellEnd"/>
      <w:r w:rsidRPr="008B4F1D">
        <w:rPr>
          <w:lang w:val="en-GB"/>
        </w:rPr>
        <w:t xml:space="preserve"> European </w:t>
      </w:r>
      <w:proofErr w:type="spellStart"/>
      <w:r w:rsidRPr="008B4F1D">
        <w:rPr>
          <w:lang w:val="en-GB"/>
        </w:rPr>
        <w:t>și</w:t>
      </w:r>
      <w:proofErr w:type="spellEnd"/>
      <w:r w:rsidRPr="008B4F1D">
        <w:rPr>
          <w:lang w:val="en-GB"/>
        </w:rPr>
        <w:t xml:space="preserve"> al </w:t>
      </w:r>
      <w:proofErr w:type="spellStart"/>
      <w:r w:rsidRPr="008B4F1D">
        <w:rPr>
          <w:lang w:val="en-GB"/>
        </w:rPr>
        <w:t>Consiliului</w:t>
      </w:r>
      <w:proofErr w:type="spellEnd"/>
      <w:r w:rsidRPr="008B4F1D">
        <w:rPr>
          <w:lang w:val="en-GB"/>
        </w:rPr>
        <w:t xml:space="preserve"> din 23 </w:t>
      </w:r>
      <w:proofErr w:type="spellStart"/>
      <w:r w:rsidRPr="008B4F1D">
        <w:rPr>
          <w:lang w:val="en-GB"/>
        </w:rPr>
        <w:t>octombrie</w:t>
      </w:r>
      <w:proofErr w:type="spellEnd"/>
      <w:r w:rsidRPr="008B4F1D">
        <w:rPr>
          <w:lang w:val="en-GB"/>
        </w:rPr>
        <w:t xml:space="preserve"> 2018 </w:t>
      </w:r>
      <w:proofErr w:type="spellStart"/>
      <w:r w:rsidRPr="008B4F1D">
        <w:rPr>
          <w:lang w:val="en-GB"/>
        </w:rPr>
        <w:t>privind</w:t>
      </w:r>
      <w:proofErr w:type="spellEnd"/>
      <w:r w:rsidRPr="008B4F1D">
        <w:rPr>
          <w:lang w:val="en-GB"/>
        </w:rPr>
        <w:t xml:space="preserve"> </w:t>
      </w:r>
      <w:proofErr w:type="spellStart"/>
      <w:r w:rsidRPr="008B4F1D">
        <w:rPr>
          <w:lang w:val="en-GB"/>
        </w:rPr>
        <w:t>protecția</w:t>
      </w:r>
      <w:proofErr w:type="spellEnd"/>
      <w:r w:rsidRPr="008B4F1D">
        <w:rPr>
          <w:lang w:val="en-GB"/>
        </w:rPr>
        <w:t xml:space="preserve"> </w:t>
      </w:r>
      <w:proofErr w:type="spellStart"/>
      <w:r w:rsidRPr="008B4F1D">
        <w:rPr>
          <w:lang w:val="en-GB"/>
        </w:rPr>
        <w:t>persoanelor</w:t>
      </w:r>
      <w:proofErr w:type="spellEnd"/>
      <w:r w:rsidRPr="008B4F1D">
        <w:rPr>
          <w:lang w:val="en-GB"/>
        </w:rPr>
        <w:t xml:space="preserve"> </w:t>
      </w:r>
      <w:proofErr w:type="spellStart"/>
      <w:r w:rsidRPr="008B4F1D">
        <w:rPr>
          <w:lang w:val="en-GB"/>
        </w:rPr>
        <w:t>fizice</w:t>
      </w:r>
      <w:proofErr w:type="spellEnd"/>
      <w:r w:rsidRPr="008B4F1D">
        <w:rPr>
          <w:lang w:val="en-GB"/>
        </w:rPr>
        <w:t xml:space="preserve"> </w:t>
      </w:r>
      <w:proofErr w:type="spellStart"/>
      <w:r w:rsidRPr="008B4F1D">
        <w:rPr>
          <w:lang w:val="en-GB"/>
        </w:rPr>
        <w:t>în</w:t>
      </w:r>
      <w:proofErr w:type="spellEnd"/>
      <w:r w:rsidRPr="008B4F1D">
        <w:rPr>
          <w:lang w:val="en-GB"/>
        </w:rPr>
        <w:t xml:space="preserve"> </w:t>
      </w:r>
      <w:proofErr w:type="spellStart"/>
      <w:r w:rsidRPr="008B4F1D">
        <w:rPr>
          <w:lang w:val="en-GB"/>
        </w:rPr>
        <w:t>ceea</w:t>
      </w:r>
      <w:proofErr w:type="spellEnd"/>
      <w:r w:rsidRPr="008B4F1D">
        <w:rPr>
          <w:lang w:val="en-GB"/>
        </w:rPr>
        <w:t xml:space="preserve"> </w:t>
      </w:r>
      <w:proofErr w:type="spellStart"/>
      <w:r w:rsidRPr="008B4F1D">
        <w:rPr>
          <w:lang w:val="en-GB"/>
        </w:rPr>
        <w:t>ce</w:t>
      </w:r>
      <w:proofErr w:type="spellEnd"/>
      <w:r w:rsidRPr="008B4F1D">
        <w:rPr>
          <w:lang w:val="en-GB"/>
        </w:rPr>
        <w:t xml:space="preserve"> </w:t>
      </w:r>
      <w:proofErr w:type="spellStart"/>
      <w:r w:rsidRPr="008B4F1D">
        <w:rPr>
          <w:lang w:val="en-GB"/>
        </w:rPr>
        <w:t>privește</w:t>
      </w:r>
      <w:proofErr w:type="spellEnd"/>
      <w:r w:rsidRPr="008B4F1D">
        <w:rPr>
          <w:lang w:val="en-GB"/>
        </w:rPr>
        <w:t xml:space="preserve"> </w:t>
      </w:r>
      <w:proofErr w:type="spellStart"/>
      <w:r w:rsidRPr="008B4F1D">
        <w:rPr>
          <w:lang w:val="en-GB"/>
        </w:rPr>
        <w:t>prelucrarea</w:t>
      </w:r>
      <w:proofErr w:type="spellEnd"/>
      <w:r w:rsidRPr="008B4F1D">
        <w:rPr>
          <w:lang w:val="en-GB"/>
        </w:rPr>
        <w:t xml:space="preserve"> </w:t>
      </w:r>
      <w:proofErr w:type="spellStart"/>
      <w:r w:rsidRPr="008B4F1D">
        <w:rPr>
          <w:lang w:val="en-GB"/>
        </w:rPr>
        <w:t>datelor</w:t>
      </w:r>
      <w:proofErr w:type="spellEnd"/>
      <w:r w:rsidRPr="008B4F1D">
        <w:rPr>
          <w:lang w:val="en-GB"/>
        </w:rPr>
        <w:t xml:space="preserve"> cu </w:t>
      </w:r>
      <w:proofErr w:type="spellStart"/>
      <w:r w:rsidRPr="008B4F1D">
        <w:rPr>
          <w:lang w:val="en-GB"/>
        </w:rPr>
        <w:t>caracter</w:t>
      </w:r>
      <w:proofErr w:type="spellEnd"/>
      <w:r w:rsidRPr="008B4F1D">
        <w:rPr>
          <w:lang w:val="en-GB"/>
        </w:rPr>
        <w:t xml:space="preserve"> personal de </w:t>
      </w:r>
      <w:proofErr w:type="spellStart"/>
      <w:r w:rsidRPr="008B4F1D">
        <w:rPr>
          <w:lang w:val="en-GB"/>
        </w:rPr>
        <w:t>către</w:t>
      </w:r>
      <w:proofErr w:type="spellEnd"/>
      <w:r w:rsidRPr="008B4F1D">
        <w:rPr>
          <w:lang w:val="en-GB"/>
        </w:rPr>
        <w:t xml:space="preserve"> </w:t>
      </w:r>
      <w:proofErr w:type="spellStart"/>
      <w:r w:rsidRPr="008B4F1D">
        <w:rPr>
          <w:lang w:val="en-GB"/>
        </w:rPr>
        <w:t>instituțiile</w:t>
      </w:r>
      <w:proofErr w:type="spellEnd"/>
      <w:r w:rsidRPr="008B4F1D">
        <w:rPr>
          <w:lang w:val="en-GB"/>
        </w:rPr>
        <w:t xml:space="preserve">, </w:t>
      </w:r>
      <w:proofErr w:type="spellStart"/>
      <w:r w:rsidRPr="008B4F1D">
        <w:rPr>
          <w:lang w:val="en-GB"/>
        </w:rPr>
        <w:t>organele</w:t>
      </w:r>
      <w:proofErr w:type="spellEnd"/>
      <w:r w:rsidRPr="008B4F1D">
        <w:rPr>
          <w:lang w:val="en-GB"/>
        </w:rPr>
        <w:t xml:space="preserve">, </w:t>
      </w:r>
      <w:proofErr w:type="spellStart"/>
      <w:r w:rsidRPr="008B4F1D">
        <w:rPr>
          <w:lang w:val="en-GB"/>
        </w:rPr>
        <w:t>oficiile</w:t>
      </w:r>
      <w:proofErr w:type="spellEnd"/>
      <w:r w:rsidRPr="008B4F1D">
        <w:rPr>
          <w:lang w:val="en-GB"/>
        </w:rPr>
        <w:t xml:space="preserve"> </w:t>
      </w:r>
      <w:proofErr w:type="spellStart"/>
      <w:r w:rsidRPr="008B4F1D">
        <w:rPr>
          <w:lang w:val="en-GB"/>
        </w:rPr>
        <w:t>și</w:t>
      </w:r>
      <w:proofErr w:type="spellEnd"/>
      <w:r w:rsidRPr="008B4F1D">
        <w:rPr>
          <w:lang w:val="en-GB"/>
        </w:rPr>
        <w:t xml:space="preserve"> </w:t>
      </w:r>
      <w:proofErr w:type="spellStart"/>
      <w:r w:rsidRPr="008B4F1D">
        <w:rPr>
          <w:lang w:val="en-GB"/>
        </w:rPr>
        <w:t>agențiile</w:t>
      </w:r>
      <w:proofErr w:type="spellEnd"/>
      <w:r w:rsidRPr="008B4F1D">
        <w:rPr>
          <w:lang w:val="en-GB"/>
        </w:rPr>
        <w:t xml:space="preserve"> </w:t>
      </w:r>
      <w:proofErr w:type="spellStart"/>
      <w:r w:rsidRPr="008B4F1D">
        <w:rPr>
          <w:lang w:val="en-GB"/>
        </w:rPr>
        <w:t>Uniunii</w:t>
      </w:r>
      <w:proofErr w:type="spellEnd"/>
      <w:r w:rsidRPr="008B4F1D">
        <w:rPr>
          <w:lang w:val="en-GB"/>
        </w:rPr>
        <w:t xml:space="preserve"> </w:t>
      </w:r>
      <w:proofErr w:type="spellStart"/>
      <w:r w:rsidRPr="008B4F1D">
        <w:rPr>
          <w:lang w:val="en-GB"/>
        </w:rPr>
        <w:t>și</w:t>
      </w:r>
      <w:proofErr w:type="spellEnd"/>
      <w:r w:rsidRPr="008B4F1D">
        <w:rPr>
          <w:lang w:val="en-GB"/>
        </w:rPr>
        <w:t xml:space="preserve"> </w:t>
      </w:r>
      <w:proofErr w:type="spellStart"/>
      <w:r w:rsidRPr="008B4F1D">
        <w:rPr>
          <w:lang w:val="en-GB"/>
        </w:rPr>
        <w:t>privind</w:t>
      </w:r>
      <w:proofErr w:type="spellEnd"/>
      <w:r w:rsidRPr="008B4F1D">
        <w:rPr>
          <w:lang w:val="en-GB"/>
        </w:rPr>
        <w:t xml:space="preserve"> </w:t>
      </w:r>
      <w:proofErr w:type="spellStart"/>
      <w:r w:rsidRPr="008B4F1D">
        <w:rPr>
          <w:lang w:val="en-GB"/>
        </w:rPr>
        <w:t>libera</w:t>
      </w:r>
      <w:proofErr w:type="spellEnd"/>
      <w:r w:rsidRPr="008B4F1D">
        <w:rPr>
          <w:lang w:val="en-GB"/>
        </w:rPr>
        <w:t xml:space="preserve"> </w:t>
      </w:r>
      <w:proofErr w:type="spellStart"/>
      <w:r w:rsidRPr="008B4F1D">
        <w:rPr>
          <w:lang w:val="en-GB"/>
        </w:rPr>
        <w:t>circulație</w:t>
      </w:r>
      <w:proofErr w:type="spellEnd"/>
      <w:r w:rsidRPr="008B4F1D">
        <w:rPr>
          <w:lang w:val="en-GB"/>
        </w:rPr>
        <w:t xml:space="preserve"> a </w:t>
      </w:r>
      <w:proofErr w:type="spellStart"/>
      <w:r w:rsidRPr="008B4F1D">
        <w:rPr>
          <w:lang w:val="en-GB"/>
        </w:rPr>
        <w:t>acestor</w:t>
      </w:r>
      <w:proofErr w:type="spellEnd"/>
      <w:r w:rsidRPr="008B4F1D">
        <w:rPr>
          <w:lang w:val="en-GB"/>
        </w:rPr>
        <w:t xml:space="preserve"> date </w:t>
      </w:r>
      <w:proofErr w:type="spellStart"/>
      <w:r w:rsidRPr="008B4F1D">
        <w:rPr>
          <w:lang w:val="en-GB"/>
        </w:rPr>
        <w:t>și</w:t>
      </w:r>
      <w:proofErr w:type="spellEnd"/>
      <w:r w:rsidRPr="008B4F1D">
        <w:rPr>
          <w:lang w:val="en-GB"/>
        </w:rPr>
        <w:t xml:space="preserve"> de </w:t>
      </w:r>
      <w:proofErr w:type="spellStart"/>
      <w:r w:rsidRPr="008B4F1D">
        <w:rPr>
          <w:lang w:val="en-GB"/>
        </w:rPr>
        <w:t>abrogare</w:t>
      </w:r>
      <w:proofErr w:type="spellEnd"/>
      <w:r w:rsidRPr="008B4F1D">
        <w:rPr>
          <w:lang w:val="en-GB"/>
        </w:rPr>
        <w:t xml:space="preserve"> a </w:t>
      </w:r>
      <w:proofErr w:type="spellStart"/>
      <w:r w:rsidRPr="008B4F1D">
        <w:rPr>
          <w:lang w:val="en-GB"/>
        </w:rPr>
        <w:t>Regulamentului</w:t>
      </w:r>
      <w:proofErr w:type="spellEnd"/>
      <w:r w:rsidRPr="008B4F1D">
        <w:rPr>
          <w:lang w:val="en-GB"/>
        </w:rPr>
        <w:t xml:space="preserve"> (CE) </w:t>
      </w:r>
      <w:proofErr w:type="spellStart"/>
      <w:r w:rsidRPr="008B4F1D">
        <w:rPr>
          <w:lang w:val="en-GB"/>
        </w:rPr>
        <w:t>nr</w:t>
      </w:r>
      <w:proofErr w:type="spellEnd"/>
      <w:r w:rsidRPr="008B4F1D">
        <w:rPr>
          <w:lang w:val="en-GB"/>
        </w:rPr>
        <w:t xml:space="preserve">. </w:t>
      </w:r>
      <w:proofErr w:type="gramStart"/>
      <w:r w:rsidRPr="008B4F1D">
        <w:rPr>
          <w:lang w:val="en-GB"/>
        </w:rPr>
        <w:t>45/2001</w:t>
      </w:r>
      <w:proofErr w:type="gramEnd"/>
      <w:r w:rsidRPr="008B4F1D">
        <w:rPr>
          <w:lang w:val="en-GB"/>
        </w:rPr>
        <w:t xml:space="preserve"> </w:t>
      </w:r>
      <w:proofErr w:type="spellStart"/>
      <w:r w:rsidRPr="008B4F1D">
        <w:rPr>
          <w:lang w:val="en-GB"/>
        </w:rPr>
        <w:t>și</w:t>
      </w:r>
      <w:proofErr w:type="spellEnd"/>
      <w:r w:rsidRPr="008B4F1D">
        <w:rPr>
          <w:lang w:val="en-GB"/>
        </w:rPr>
        <w:t xml:space="preserve"> a </w:t>
      </w:r>
      <w:proofErr w:type="spellStart"/>
      <w:r w:rsidRPr="008B4F1D">
        <w:rPr>
          <w:lang w:val="en-GB"/>
        </w:rPr>
        <w:t>Deciziei</w:t>
      </w:r>
      <w:proofErr w:type="spellEnd"/>
      <w:r w:rsidRPr="008B4F1D">
        <w:rPr>
          <w:lang w:val="en-GB"/>
        </w:rPr>
        <w:t xml:space="preserve"> </w:t>
      </w:r>
      <w:proofErr w:type="spellStart"/>
      <w:r w:rsidRPr="008B4F1D">
        <w:rPr>
          <w:lang w:val="en-GB"/>
        </w:rPr>
        <w:t>nr</w:t>
      </w:r>
      <w:proofErr w:type="spellEnd"/>
      <w:r w:rsidRPr="008B4F1D">
        <w:rPr>
          <w:lang w:val="en-GB"/>
        </w:rPr>
        <w:t>. 1247/2002/CE (JO L 295, 21.11.2018, p. 39).</w:t>
      </w:r>
    </w:p>
  </w:footnote>
  <w:footnote w:id="13">
    <w:p w:rsidR="00121688" w:rsidRPr="00595750" w:rsidRDefault="00121688" w:rsidP="008442F3">
      <w:pPr>
        <w:pStyle w:val="FootnoteText"/>
        <w:ind w:left="851" w:hanging="851"/>
        <w:rPr>
          <w:sz w:val="24"/>
          <w:lang w:val="ro-RO"/>
        </w:rPr>
      </w:pPr>
      <w:r w:rsidRPr="008B4F1D">
        <w:rPr>
          <w:rStyle w:val="FootnoteReference"/>
          <w:sz w:val="24"/>
          <w:lang w:val="ro-RO"/>
        </w:rPr>
        <w:footnoteRef/>
      </w:r>
      <w:r w:rsidR="00595750" w:rsidRPr="008B4F1D">
        <w:rPr>
          <w:sz w:val="24"/>
          <w:lang w:val="ro-RO"/>
        </w:rPr>
        <w:t xml:space="preserve"> </w:t>
      </w:r>
      <w:r w:rsidR="00595750" w:rsidRPr="008B4F1D">
        <w:rPr>
          <w:sz w:val="24"/>
          <w:lang w:val="ro-RO"/>
        </w:rPr>
        <w:tab/>
      </w:r>
      <w:r w:rsidRPr="008B4F1D">
        <w:rPr>
          <w:sz w:val="24"/>
          <w:lang w:val="ro-RO"/>
        </w:rPr>
        <w:t>Texte adoptate, P9_TA(2024)0</w:t>
      </w:r>
      <w:r w:rsidR="008B4F1D" w:rsidRPr="008B4F1D">
        <w:rPr>
          <w:sz w:val="24"/>
          <w:lang w:val="ro-RO"/>
        </w:rPr>
        <w:t>280</w:t>
      </w:r>
      <w:r w:rsidRPr="008B4F1D">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7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9/2024"/>
    <w:docVar w:name="dvlangue" w:val="RO"/>
    <w:docVar w:name="dvnumam" w:val="0"/>
    <w:docVar w:name="dvpe" w:val="753.539"/>
    <w:docVar w:name="dvrapporteur" w:val="Raportor: "/>
    <w:docVar w:name="dvtitre" w:val="1. Decizia Parlamentului European din 11 aprilie 2024 privind descărcarea de gestiune pentru execuția bugetului Agenției Uniunii Europene pentru Cooperare în Materie de Justiție Penală (Eurojust) aferent exercițiului financiar 2022(2023/2168(DEC))"/>
  </w:docVars>
  <w:rsids>
    <w:rsidRoot w:val="003E2FA8"/>
    <w:rsid w:val="00002272"/>
    <w:rsid w:val="00064002"/>
    <w:rsid w:val="000677B9"/>
    <w:rsid w:val="000831BA"/>
    <w:rsid w:val="000A42CC"/>
    <w:rsid w:val="000E7DD9"/>
    <w:rsid w:val="0010095E"/>
    <w:rsid w:val="00121688"/>
    <w:rsid w:val="00125B37"/>
    <w:rsid w:val="00187494"/>
    <w:rsid w:val="001F32AE"/>
    <w:rsid w:val="002767FF"/>
    <w:rsid w:val="002B18FE"/>
    <w:rsid w:val="002B5493"/>
    <w:rsid w:val="00343214"/>
    <w:rsid w:val="00361C00"/>
    <w:rsid w:val="00385EC6"/>
    <w:rsid w:val="00395FA1"/>
    <w:rsid w:val="003E15D4"/>
    <w:rsid w:val="003E2FA8"/>
    <w:rsid w:val="00411CCE"/>
    <w:rsid w:val="0041666E"/>
    <w:rsid w:val="00421060"/>
    <w:rsid w:val="00471C19"/>
    <w:rsid w:val="004867E3"/>
    <w:rsid w:val="00494A28"/>
    <w:rsid w:val="004C0004"/>
    <w:rsid w:val="004C5D52"/>
    <w:rsid w:val="0050519A"/>
    <w:rsid w:val="005072A1"/>
    <w:rsid w:val="00514517"/>
    <w:rsid w:val="00545827"/>
    <w:rsid w:val="00560270"/>
    <w:rsid w:val="0059575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2F3"/>
    <w:rsid w:val="00865F67"/>
    <w:rsid w:val="00881A7B"/>
    <w:rsid w:val="008840E5"/>
    <w:rsid w:val="00887B3E"/>
    <w:rsid w:val="008B4F1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6D9"/>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0B0E5"/>
  <w15:chartTrackingRefBased/>
  <w15:docId w15:val="{9360A9C8-AEBC-43AC-831E-25B7B6076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2168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21688"/>
    <w:pPr>
      <w:spacing w:before="480" w:after="240"/>
    </w:pPr>
  </w:style>
  <w:style w:type="paragraph" w:customStyle="1" w:styleId="PageHeading">
    <w:name w:val="PageHeading"/>
    <w:basedOn w:val="Normal"/>
    <w:rsid w:val="00121688"/>
    <w:pPr>
      <w:keepNext/>
      <w:spacing w:after="480"/>
      <w:jc w:val="center"/>
    </w:pPr>
    <w:rPr>
      <w:rFonts w:ascii="Arial" w:hAnsi="Arial" w:cs="Arial"/>
      <w:b/>
    </w:rPr>
  </w:style>
  <w:style w:type="paragraph" w:customStyle="1" w:styleId="NormalBold">
    <w:name w:val="NormalBold"/>
    <w:basedOn w:val="Normal"/>
    <w:rsid w:val="00121688"/>
    <w:rPr>
      <w:b/>
    </w:rPr>
  </w:style>
  <w:style w:type="paragraph" w:customStyle="1" w:styleId="NormalHanging12a">
    <w:name w:val="NormalHanging12a"/>
    <w:basedOn w:val="Normal"/>
    <w:link w:val="NormalHanging12aChar"/>
    <w:rsid w:val="00121688"/>
    <w:pPr>
      <w:spacing w:after="240"/>
      <w:ind w:left="567" w:hanging="567"/>
    </w:pPr>
  </w:style>
  <w:style w:type="paragraph" w:customStyle="1" w:styleId="NormalCenter12a">
    <w:name w:val="NormalCenter12a"/>
    <w:basedOn w:val="Normal"/>
    <w:rsid w:val="00121688"/>
    <w:pPr>
      <w:spacing w:after="240"/>
      <w:jc w:val="center"/>
    </w:pPr>
  </w:style>
  <w:style w:type="paragraph" w:styleId="Header">
    <w:name w:val="header"/>
    <w:basedOn w:val="Normal"/>
    <w:link w:val="HeaderChar"/>
    <w:rsid w:val="00121688"/>
    <w:pPr>
      <w:tabs>
        <w:tab w:val="center" w:pos="4513"/>
        <w:tab w:val="right" w:pos="9026"/>
      </w:tabs>
    </w:pPr>
  </w:style>
  <w:style w:type="character" w:customStyle="1" w:styleId="HeaderChar">
    <w:name w:val="Header Char"/>
    <w:basedOn w:val="DefaultParagraphFont"/>
    <w:link w:val="Header"/>
    <w:rsid w:val="00121688"/>
    <w:rPr>
      <w:sz w:val="24"/>
      <w:lang w:val="ro-RO"/>
    </w:rPr>
  </w:style>
  <w:style w:type="paragraph" w:customStyle="1" w:styleId="EPFooter">
    <w:name w:val="EPFooter"/>
    <w:basedOn w:val="Normal"/>
    <w:rsid w:val="0012168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21688"/>
    <w:rPr>
      <w:sz w:val="24"/>
      <w:lang w:val="ro-RO"/>
    </w:rPr>
  </w:style>
  <w:style w:type="character" w:customStyle="1" w:styleId="Normal12HangingChar">
    <w:name w:val="Normal12Hanging Char"/>
    <w:link w:val="Normal12Hanging"/>
    <w:locked/>
    <w:rsid w:val="00121688"/>
    <w:rPr>
      <w:sz w:val="24"/>
    </w:rPr>
  </w:style>
  <w:style w:type="paragraph" w:customStyle="1" w:styleId="Normal12Hanging">
    <w:name w:val="Normal12Hanging"/>
    <w:basedOn w:val="Normal"/>
    <w:link w:val="Normal12HangingChar"/>
    <w:rsid w:val="00121688"/>
    <w:pPr>
      <w:spacing w:after="240"/>
      <w:ind w:left="567" w:hanging="567"/>
    </w:pPr>
    <w:rPr>
      <w:lang w:val="en-GB"/>
    </w:rPr>
  </w:style>
  <w:style w:type="paragraph" w:customStyle="1" w:styleId="Normal24a">
    <w:name w:val="Normal24a"/>
    <w:basedOn w:val="Normal"/>
    <w:rsid w:val="00121688"/>
    <w:pPr>
      <w:spacing w:after="480"/>
    </w:pPr>
  </w:style>
  <w:style w:type="paragraph" w:customStyle="1" w:styleId="NormalBoldCenter">
    <w:name w:val="NormalBoldCenter"/>
    <w:basedOn w:val="Normal"/>
    <w:rsid w:val="00121688"/>
    <w:pPr>
      <w:jc w:val="center"/>
    </w:pPr>
    <w:rPr>
      <w:b/>
    </w:rPr>
  </w:style>
  <w:style w:type="paragraph" w:customStyle="1" w:styleId="Normal12a">
    <w:name w:val="Normal12a"/>
    <w:basedOn w:val="Normal"/>
    <w:rsid w:val="00121688"/>
    <w:pPr>
      <w:spacing w:after="240"/>
    </w:pPr>
  </w:style>
  <w:style w:type="paragraph" w:customStyle="1" w:styleId="PageHeadingNotTOC">
    <w:name w:val="PageHeadingNotTOC"/>
    <w:basedOn w:val="Normal"/>
    <w:rsid w:val="00121688"/>
    <w:pPr>
      <w:keepNext/>
      <w:spacing w:after="480"/>
      <w:jc w:val="center"/>
    </w:pPr>
    <w:rPr>
      <w:rFonts w:ascii="Arial" w:hAnsi="Arial" w:cs="Arial"/>
      <w:b/>
    </w:rPr>
  </w:style>
  <w:style w:type="paragraph" w:customStyle="1" w:styleId="RollCallSymbols14pt">
    <w:name w:val="RollCallSymbols14pt"/>
    <w:basedOn w:val="Normal"/>
    <w:rsid w:val="0012168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21688"/>
    <w:pPr>
      <w:tabs>
        <w:tab w:val="center" w:pos="284"/>
        <w:tab w:val="left" w:pos="426"/>
      </w:tabs>
    </w:pPr>
    <w:rPr>
      <w:snapToGrid w:val="0"/>
      <w:lang w:eastAsia="en-US"/>
    </w:rPr>
  </w:style>
  <w:style w:type="paragraph" w:customStyle="1" w:styleId="RollCallVotes">
    <w:name w:val="RollCallVotes"/>
    <w:basedOn w:val="Normal"/>
    <w:rsid w:val="00121688"/>
    <w:pPr>
      <w:spacing w:before="120" w:after="120"/>
      <w:jc w:val="center"/>
    </w:pPr>
    <w:rPr>
      <w:b/>
      <w:bCs/>
      <w:snapToGrid w:val="0"/>
      <w:sz w:val="16"/>
      <w:lang w:eastAsia="en-US"/>
    </w:rPr>
  </w:style>
  <w:style w:type="paragraph" w:customStyle="1" w:styleId="RollCallTable">
    <w:name w:val="RollCallTable"/>
    <w:basedOn w:val="Normal"/>
    <w:rsid w:val="00121688"/>
    <w:pPr>
      <w:spacing w:before="120" w:after="120"/>
    </w:pPr>
    <w:rPr>
      <w:snapToGrid w:val="0"/>
      <w:sz w:val="16"/>
      <w:lang w:eastAsia="en-US"/>
    </w:rPr>
  </w:style>
  <w:style w:type="paragraph" w:styleId="Footer">
    <w:name w:val="footer"/>
    <w:basedOn w:val="Normal"/>
    <w:link w:val="FooterChar"/>
    <w:rsid w:val="00C816D9"/>
    <w:pPr>
      <w:tabs>
        <w:tab w:val="center" w:pos="4513"/>
        <w:tab w:val="right" w:pos="9026"/>
      </w:tabs>
    </w:pPr>
  </w:style>
  <w:style w:type="character" w:customStyle="1" w:styleId="FooterChar">
    <w:name w:val="Footer Char"/>
    <w:basedOn w:val="DefaultParagraphFont"/>
    <w:link w:val="Footer"/>
    <w:rsid w:val="00C816D9"/>
    <w:rPr>
      <w:sz w:val="24"/>
      <w:lang w:val="ro-RO"/>
    </w:rPr>
  </w:style>
  <w:style w:type="paragraph" w:styleId="BalloonText">
    <w:name w:val="Balloon Text"/>
    <w:basedOn w:val="Normal"/>
    <w:link w:val="BalloonTextChar"/>
    <w:rsid w:val="00385EC6"/>
    <w:rPr>
      <w:rFonts w:ascii="Segoe UI" w:hAnsi="Segoe UI" w:cs="Segoe UI"/>
      <w:sz w:val="18"/>
      <w:szCs w:val="18"/>
    </w:rPr>
  </w:style>
  <w:style w:type="character" w:customStyle="1" w:styleId="BalloonTextChar">
    <w:name w:val="Balloon Text Char"/>
    <w:basedOn w:val="DefaultParagraphFont"/>
    <w:link w:val="BalloonText"/>
    <w:rsid w:val="00385EC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424892">
      <w:bodyDiv w:val="1"/>
      <w:marLeft w:val="0"/>
      <w:marRight w:val="0"/>
      <w:marTop w:val="0"/>
      <w:marBottom w:val="0"/>
      <w:divBdr>
        <w:top w:val="none" w:sz="0" w:space="0" w:color="auto"/>
        <w:left w:val="none" w:sz="0" w:space="0" w:color="auto"/>
        <w:bottom w:val="none" w:sz="0" w:space="0" w:color="auto"/>
        <w:right w:val="none" w:sz="0" w:space="0" w:color="auto"/>
      </w:divBdr>
    </w:div>
    <w:div w:id="1508398249">
      <w:bodyDiv w:val="1"/>
      <w:marLeft w:val="0"/>
      <w:marRight w:val="0"/>
      <w:marTop w:val="0"/>
      <w:marBottom w:val="0"/>
      <w:divBdr>
        <w:top w:val="none" w:sz="0" w:space="0" w:color="auto"/>
        <w:left w:val="none" w:sz="0" w:space="0" w:color="auto"/>
        <w:bottom w:val="none" w:sz="0" w:space="0" w:color="auto"/>
        <w:right w:val="none" w:sz="0" w:space="0" w:color="auto"/>
      </w:divBdr>
    </w:div>
    <w:div w:id="167006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E331D-0932-4A03-BBB1-2CEE9AFC5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4786</Words>
  <Characters>27977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2024-04-11T13:27:00Z</dcterms:created>
  <dcterms:modified xsi:type="dcterms:W3CDTF">2024-04-11T13:27:00Z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A9-0099/2024</vt:lpwstr>
  </property>
  <property fmtid="{D5CDD505-2E9C-101B-9397-08002B2CF9AE}" pid="4" name="&lt;Type&gt;">
    <vt:lpwstr>RR</vt:lpwstr>
  </property>
</Properties>
</file>