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26704" w:rsidRPr="000B3BE7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26704" w:rsidRPr="000B3BE7" w:rsidRDefault="008F11E9">
            <w:pPr>
              <w:pStyle w:val="EPName"/>
            </w:pPr>
            <w:r w:rsidRPr="000B3BE7">
              <w:t>Európsky parlament</w:t>
            </w:r>
          </w:p>
          <w:p w:rsidR="00C26704" w:rsidRPr="000B3BE7" w:rsidRDefault="008F11E9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3BE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C26704" w:rsidRPr="000B3BE7" w:rsidRDefault="008F11E9">
            <w:pPr>
              <w:pStyle w:val="EPLogo"/>
            </w:pPr>
            <w:r w:rsidRPr="000B3BE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26704" w:rsidRPr="000B3BE7" w:rsidRDefault="00C26704">
      <w:pPr>
        <w:pStyle w:val="LineTop"/>
      </w:pPr>
    </w:p>
    <w:p w:rsidR="00C26704" w:rsidRPr="000B3BE7" w:rsidRDefault="008F11E9">
      <w:pPr>
        <w:pStyle w:val="EPBodyTA1"/>
      </w:pPr>
      <w:r w:rsidRPr="000B3BE7">
        <w:t>PRIJATÉ TEXTY</w:t>
      </w:r>
    </w:p>
    <w:p w:rsidR="00C26704" w:rsidRPr="000B3BE7" w:rsidRDefault="00C26704">
      <w:pPr>
        <w:pStyle w:val="LineBottom"/>
      </w:pPr>
    </w:p>
    <w:p w:rsidR="00C26704" w:rsidRPr="000B3BE7" w:rsidRDefault="008F11E9">
      <w:pPr>
        <w:pStyle w:val="ATHeading1"/>
      </w:pPr>
      <w:bookmarkStart w:id="0" w:name="TANumber"/>
      <w:r w:rsidRPr="000B3BE7">
        <w:t>P9_TA(2024)0</w:t>
      </w:r>
      <w:r w:rsidR="001A17B9" w:rsidRPr="000B3BE7">
        <w:t>24</w:t>
      </w:r>
      <w:bookmarkEnd w:id="0"/>
      <w:r w:rsidR="000E43E9" w:rsidRPr="000B3BE7">
        <w:t>6</w:t>
      </w:r>
    </w:p>
    <w:p w:rsidR="00C26704" w:rsidRPr="000B3BE7" w:rsidRDefault="008F11E9">
      <w:pPr>
        <w:pStyle w:val="ATHeading2"/>
      </w:pPr>
      <w:bookmarkStart w:id="1" w:name="title"/>
      <w:r w:rsidRPr="000B3BE7">
        <w:t>Absolutórium za rok 2022: Agentúra Európskej únie pre justičnú spoluprácu v trestných veciach (</w:t>
      </w:r>
      <w:proofErr w:type="spellStart"/>
      <w:r w:rsidRPr="000B3BE7">
        <w:t>Eurojust</w:t>
      </w:r>
      <w:proofErr w:type="spellEnd"/>
      <w:r w:rsidRPr="000B3BE7">
        <w:t>)</w:t>
      </w:r>
      <w:bookmarkEnd w:id="1"/>
    </w:p>
    <w:p w:rsidR="00C26704" w:rsidRPr="000B3BE7" w:rsidRDefault="008F11E9">
      <w:pPr>
        <w:rPr>
          <w:i/>
          <w:vanish/>
        </w:rPr>
      </w:pPr>
      <w:r w:rsidRPr="000B3BE7">
        <w:rPr>
          <w:i/>
        </w:rPr>
        <w:fldChar w:fldCharType="begin"/>
      </w:r>
      <w:r w:rsidRPr="000B3BE7">
        <w:rPr>
          <w:i/>
        </w:rPr>
        <w:instrText xml:space="preserve"> TC"(</w:instrText>
      </w:r>
      <w:bookmarkStart w:id="2" w:name="DocNumber"/>
      <w:r w:rsidRPr="000B3BE7">
        <w:rPr>
          <w:i/>
        </w:rPr>
        <w:instrText>A9-0099/2024</w:instrText>
      </w:r>
      <w:bookmarkEnd w:id="2"/>
      <w:r w:rsidRPr="000B3BE7">
        <w:rPr>
          <w:i/>
        </w:rPr>
        <w:instrText xml:space="preserve"> - Spravodajca: Petri Sarvamaa)"\l3 \n&gt; \* MERGEFORMAT </w:instrText>
      </w:r>
      <w:r w:rsidRPr="000B3BE7">
        <w:rPr>
          <w:i/>
        </w:rPr>
        <w:fldChar w:fldCharType="end"/>
      </w:r>
    </w:p>
    <w:p w:rsidR="00C26704" w:rsidRPr="000B3BE7" w:rsidRDefault="008F11E9">
      <w:pPr>
        <w:rPr>
          <w:vanish/>
        </w:rPr>
      </w:pPr>
      <w:bookmarkStart w:id="3" w:name="Commission"/>
      <w:r w:rsidRPr="000B3BE7">
        <w:rPr>
          <w:vanish/>
        </w:rPr>
        <w:t>Výbor pre kontrolu rozpočtu</w:t>
      </w:r>
      <w:bookmarkEnd w:id="3"/>
    </w:p>
    <w:p w:rsidR="00C26704" w:rsidRPr="000B3BE7" w:rsidRDefault="008F11E9">
      <w:pPr>
        <w:rPr>
          <w:vanish/>
        </w:rPr>
      </w:pPr>
      <w:bookmarkStart w:id="4" w:name="PE"/>
      <w:r w:rsidRPr="000B3BE7">
        <w:rPr>
          <w:vanish/>
        </w:rPr>
        <w:t>PE753.539</w:t>
      </w:r>
      <w:bookmarkEnd w:id="4"/>
    </w:p>
    <w:p w:rsidR="00C26704" w:rsidRPr="000B3BE7" w:rsidRDefault="008F11E9">
      <w:pPr>
        <w:pStyle w:val="ATHeading3"/>
      </w:pPr>
      <w:r w:rsidRPr="000B3BE7">
        <w:t xml:space="preserve">1. Rozhodnutie Európskeho parlamentu z 11. apríla 2024 </w:t>
      </w:r>
      <w:bookmarkStart w:id="5" w:name="Sujet"/>
      <w:r w:rsidRPr="000B3BE7">
        <w:t>o absolutóriu za plnenie rozpočtu Agentúry Európskej únie pre justičnú spoluprácu v trestných veciach (</w:t>
      </w:r>
      <w:proofErr w:type="spellStart"/>
      <w:r w:rsidRPr="000B3BE7">
        <w:t>Eurojust</w:t>
      </w:r>
      <w:proofErr w:type="spellEnd"/>
      <w:r w:rsidRPr="000B3BE7">
        <w:t>) za rozpočtový rok 2022</w:t>
      </w:r>
      <w:bookmarkEnd w:id="5"/>
      <w:r w:rsidRPr="000B3BE7">
        <w:t xml:space="preserve"> </w:t>
      </w:r>
      <w:bookmarkStart w:id="6" w:name="References"/>
      <w:r w:rsidRPr="000B3BE7">
        <w:t>(2023/2168(DEC))</w:t>
      </w:r>
      <w:bookmarkEnd w:id="6"/>
    </w:p>
    <w:p w:rsidR="00C26704" w:rsidRPr="000B3BE7" w:rsidRDefault="008F11E9">
      <w:pPr>
        <w:pStyle w:val="EPComma"/>
      </w:pPr>
      <w:bookmarkStart w:id="7" w:name="TextBodyBegin"/>
      <w:bookmarkEnd w:id="7"/>
      <w:r w:rsidRPr="000B3BE7">
        <w:rPr>
          <w:i/>
        </w:rPr>
        <w:t>Európsky parlament</w:t>
      </w:r>
      <w:r w:rsidRPr="000B3BE7">
        <w:t>,</w:t>
      </w:r>
    </w:p>
    <w:p w:rsidR="00C26704" w:rsidRPr="000B3BE7" w:rsidRDefault="008F11E9">
      <w:pPr>
        <w:pStyle w:val="NormalHanging12a"/>
      </w:pPr>
      <w:r w:rsidRPr="000B3BE7">
        <w:t>–</w:t>
      </w:r>
      <w:r w:rsidRPr="000B3BE7">
        <w:tab/>
        <w:t>so zreteľom na konečnú ročnú účtovnú závierku Agentúry Európskej únie pre justičnú spoluprácu v trestných veciach (</w:t>
      </w:r>
      <w:proofErr w:type="spellStart"/>
      <w:r w:rsidRPr="000B3BE7">
        <w:t>Eurojust</w:t>
      </w:r>
      <w:proofErr w:type="spellEnd"/>
      <w:r w:rsidRPr="000B3BE7">
        <w:t>) za rozpočtový rok 2022,</w:t>
      </w:r>
    </w:p>
    <w:p w:rsidR="00C26704" w:rsidRPr="000B3BE7" w:rsidRDefault="008F11E9">
      <w:pPr>
        <w:pStyle w:val="NormalHanging12a"/>
      </w:pPr>
      <w:r w:rsidRPr="000B3BE7">
        <w:t>–</w:t>
      </w:r>
      <w:r w:rsidRPr="000B3BE7">
        <w:tab/>
        <w:t>so zreteľom na výročnú správu Dvora audítorov o agentúrach EÚ za rozpočtový rok 2022 spolu s odpoveďami agentúr</w:t>
      </w:r>
      <w:r w:rsidRPr="000B3BE7">
        <w:rPr>
          <w:rStyle w:val="FootnoteReference"/>
        </w:rPr>
        <w:footnoteReference w:id="1"/>
      </w:r>
      <w:r w:rsidRPr="000B3BE7">
        <w:t>,</w:t>
      </w:r>
    </w:p>
    <w:p w:rsidR="00C26704" w:rsidRPr="000B3BE7" w:rsidRDefault="008F11E9">
      <w:pPr>
        <w:pStyle w:val="NormalHanging12a"/>
      </w:pPr>
      <w:r w:rsidRPr="000B3BE7">
        <w:t>–</w:t>
      </w:r>
      <w:r w:rsidRPr="000B3BE7">
        <w:tab/>
        <w:t>so zreteľom na vyhlásenie</w:t>
      </w:r>
      <w:r w:rsidRPr="000B3BE7">
        <w:rPr>
          <w:rStyle w:val="FootnoteReference"/>
        </w:rPr>
        <w:footnoteReference w:id="2"/>
      </w:r>
      <w:r w:rsidRPr="000B3BE7">
        <w:t xml:space="preserve"> o vierohodnosti vedenia účtov a zákonnosti a správnosti príslušných operácií, ktoré poskytol Dvor audítorov za rozpočtový rok 2022 v súlade s článkom 287 Zmluvy o fungovaní Európskej únie,</w:t>
      </w:r>
    </w:p>
    <w:p w:rsidR="00C26704" w:rsidRPr="000B3BE7" w:rsidRDefault="008F11E9">
      <w:pPr>
        <w:pStyle w:val="NormalHanging12a"/>
      </w:pPr>
      <w:r w:rsidRPr="000B3BE7">
        <w:t>–</w:t>
      </w:r>
      <w:r w:rsidRPr="000B3BE7">
        <w:tab/>
        <w:t>so zreteľom na odporúčanie Rady z 22. februára 2024 o udelení absolutória agentúre za plnenie rozpočtu za rozpočtový rok 2022 (0</w:t>
      </w:r>
      <w:r w:rsidR="00BD55BE" w:rsidRPr="000B3BE7">
        <w:t>6180</w:t>
      </w:r>
      <w:r w:rsidRPr="000B3BE7">
        <w:t>/2024 – C9</w:t>
      </w:r>
      <w:r w:rsidRPr="000B3BE7">
        <w:noBreakHyphen/>
        <w:t>0</w:t>
      </w:r>
      <w:r w:rsidR="00BD55BE" w:rsidRPr="000B3BE7">
        <w:t>106</w:t>
      </w:r>
      <w:r w:rsidRPr="000B3BE7">
        <w:t>/2024),</w:t>
      </w:r>
    </w:p>
    <w:p w:rsidR="00C26704" w:rsidRPr="000B3BE7" w:rsidRDefault="008F11E9">
      <w:pPr>
        <w:pStyle w:val="NormalHanging12a"/>
      </w:pPr>
      <w:r w:rsidRPr="000B3BE7">
        <w:t>–</w:t>
      </w:r>
      <w:r w:rsidRPr="000B3BE7">
        <w:tab/>
        <w:t>so zreteľom na článok 319 Zmluvy o fungovaní Európskej únie,</w:t>
      </w:r>
    </w:p>
    <w:p w:rsidR="00C26704" w:rsidRPr="000B3BE7" w:rsidRDefault="008F11E9">
      <w:pPr>
        <w:pStyle w:val="NormalHanging12a"/>
      </w:pPr>
      <w:r w:rsidRPr="000B3BE7">
        <w:t>–</w:t>
      </w:r>
      <w:r w:rsidRPr="000B3BE7">
        <w:tab/>
        <w:t xml:space="preserve">so zreteľom na nariadenie Európskeho parlamentu a Rady (EÚ, </w:t>
      </w:r>
      <w:proofErr w:type="spellStart"/>
      <w:r w:rsidRPr="000B3BE7">
        <w:t>Euratom</w:t>
      </w:r>
      <w:proofErr w:type="spellEnd"/>
      <w:r w:rsidRPr="000B3BE7"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0B3BE7">
        <w:t>Euratom</w:t>
      </w:r>
      <w:proofErr w:type="spellEnd"/>
      <w:r w:rsidRPr="000B3BE7">
        <w:t>) č. 966/2012</w:t>
      </w:r>
      <w:r w:rsidRPr="000B3BE7">
        <w:rPr>
          <w:rStyle w:val="FootnoteReference"/>
        </w:rPr>
        <w:footnoteReference w:id="3"/>
      </w:r>
      <w:r w:rsidRPr="000B3BE7">
        <w:t>, a najmä na jeho článok 70,</w:t>
      </w:r>
    </w:p>
    <w:p w:rsidR="00C26704" w:rsidRPr="000B3BE7" w:rsidRDefault="008F11E9">
      <w:pPr>
        <w:pStyle w:val="NormalHanging12a"/>
      </w:pPr>
      <w:r w:rsidRPr="000B3BE7">
        <w:t>–</w:t>
      </w:r>
      <w:r w:rsidRPr="000B3BE7">
        <w:tab/>
        <w:t xml:space="preserve">so zreteľom na nariadenie Európskeho parlamentu a Rady (EÚ) 2018/1727 zo 14. novembra 2018 o Agentúre Európskej únie pre justičnú spoluprácu v trestných </w:t>
      </w:r>
      <w:r w:rsidRPr="000B3BE7">
        <w:lastRenderedPageBreak/>
        <w:t>veciach (</w:t>
      </w:r>
      <w:proofErr w:type="spellStart"/>
      <w:r w:rsidRPr="000B3BE7">
        <w:t>Eurojust</w:t>
      </w:r>
      <w:proofErr w:type="spellEnd"/>
      <w:r w:rsidRPr="000B3BE7">
        <w:t>) a o nahradení a zrušení rozhodnutia Rady 2002/187/SVV</w:t>
      </w:r>
      <w:r w:rsidRPr="000B3BE7">
        <w:rPr>
          <w:rStyle w:val="FootnoteReference"/>
        </w:rPr>
        <w:footnoteReference w:id="4"/>
      </w:r>
      <w:r w:rsidRPr="000B3BE7">
        <w:t>, a najmä na jeho článok 63,</w:t>
      </w:r>
    </w:p>
    <w:p w:rsidR="00C26704" w:rsidRPr="000B3BE7" w:rsidRDefault="008F11E9">
      <w:pPr>
        <w:pStyle w:val="NormalHanging12a"/>
      </w:pPr>
      <w:r w:rsidRPr="000B3BE7">
        <w:t>–</w:t>
      </w:r>
      <w:r w:rsidRPr="000B3BE7">
        <w:tab/>
        <w:t xml:space="preserve">so zreteľom na delegované nariadenie Komisie (EÚ) 2019/715 z 18. decembra 2018 o rámcovom nariadení o rozpočtových pravidlách pre subjekty zriadené podľa ZFEÚ a Zmluvy o </w:t>
      </w:r>
      <w:proofErr w:type="spellStart"/>
      <w:r w:rsidRPr="000B3BE7">
        <w:t>Euratome</w:t>
      </w:r>
      <w:proofErr w:type="spellEnd"/>
      <w:r w:rsidRPr="000B3BE7">
        <w:t xml:space="preserve"> a uvedené v článku 70 nariadenia Európskeho parlamentu a Rady (EÚ, </w:t>
      </w:r>
      <w:proofErr w:type="spellStart"/>
      <w:r w:rsidRPr="000B3BE7">
        <w:t>Euratom</w:t>
      </w:r>
      <w:proofErr w:type="spellEnd"/>
      <w:r w:rsidRPr="000B3BE7">
        <w:t>) 2018/1046</w:t>
      </w:r>
      <w:r w:rsidRPr="000B3BE7">
        <w:rPr>
          <w:rStyle w:val="FootnoteReference"/>
        </w:rPr>
        <w:footnoteReference w:id="5"/>
      </w:r>
      <w:r w:rsidRPr="000B3BE7">
        <w:t>, a najmä na jeho článok 105,</w:t>
      </w:r>
    </w:p>
    <w:p w:rsidR="00C26704" w:rsidRPr="000B3BE7" w:rsidRDefault="008F11E9">
      <w:pPr>
        <w:pStyle w:val="NormalHanging12a"/>
      </w:pPr>
      <w:r w:rsidRPr="000B3BE7">
        <w:t>–</w:t>
      </w:r>
      <w:r w:rsidRPr="000B3BE7">
        <w:tab/>
        <w:t>so zreteľom na článok 100 a prílohu V k rokovaciemu poriadku,</w:t>
      </w:r>
    </w:p>
    <w:p w:rsidR="00C26704" w:rsidRPr="000B3BE7" w:rsidRDefault="008F11E9">
      <w:pPr>
        <w:pStyle w:val="NormalHanging12a"/>
      </w:pPr>
      <w:r w:rsidRPr="000B3BE7">
        <w:t>–</w:t>
      </w:r>
      <w:r w:rsidRPr="000B3BE7">
        <w:tab/>
        <w:t>so zreteľom na stanovisko Výboru pre občianske slobody, spravodlivosť a vnútorné veci,</w:t>
      </w:r>
    </w:p>
    <w:p w:rsidR="00C26704" w:rsidRPr="000B3BE7" w:rsidRDefault="008F11E9">
      <w:pPr>
        <w:pStyle w:val="NormalHanging12a"/>
      </w:pPr>
      <w:r w:rsidRPr="000B3BE7">
        <w:t>–</w:t>
      </w:r>
      <w:r w:rsidRPr="000B3BE7">
        <w:tab/>
        <w:t>so zreteľom na správu Výboru pre kontrolu rozpočtu (A9</w:t>
      </w:r>
      <w:r w:rsidRPr="000B3BE7">
        <w:noBreakHyphen/>
        <w:t>0099/2024),</w:t>
      </w:r>
    </w:p>
    <w:p w:rsidR="00C26704" w:rsidRPr="000B3BE7" w:rsidRDefault="008F11E9">
      <w:pPr>
        <w:pStyle w:val="NormalHanging12a"/>
      </w:pPr>
      <w:r w:rsidRPr="000B3BE7">
        <w:t>1.</w:t>
      </w:r>
      <w:r w:rsidRPr="000B3BE7">
        <w:tab/>
        <w:t>udeľuje absolutórium administratívnemu riaditeľovi Agentúry Európskej únie pre justičnú spoluprácu v trestných veciach (</w:t>
      </w:r>
      <w:proofErr w:type="spellStart"/>
      <w:r w:rsidRPr="000B3BE7">
        <w:t>Eurojust</w:t>
      </w:r>
      <w:proofErr w:type="spellEnd"/>
      <w:r w:rsidRPr="000B3BE7">
        <w:t xml:space="preserve">) za plnenie rozpočtu agentúry za rozpočtový rok 2022; </w:t>
      </w:r>
    </w:p>
    <w:p w:rsidR="00C26704" w:rsidRPr="000B3BE7" w:rsidRDefault="008F11E9">
      <w:pPr>
        <w:pStyle w:val="NormalHanging12a"/>
      </w:pPr>
      <w:r w:rsidRPr="000B3BE7">
        <w:t>2.</w:t>
      </w:r>
      <w:r w:rsidRPr="000B3BE7">
        <w:tab/>
        <w:t>uvádza svoje poznámky v priloženom uznesení;</w:t>
      </w:r>
    </w:p>
    <w:p w:rsidR="00C26704" w:rsidRPr="000B3BE7" w:rsidRDefault="008F11E9">
      <w:pPr>
        <w:pStyle w:val="NormalHanging12a"/>
      </w:pPr>
      <w:r w:rsidRPr="000B3BE7">
        <w:t>3.</w:t>
      </w:r>
      <w:r w:rsidRPr="000B3BE7">
        <w:tab/>
        <w:t>poveruje svoju predsedníčku, aby postúpila toto rozhodnutie a uznesenie, ktoré je jeho neoddeliteľnou súčasťou, administratívnemu riaditeľovi Agentúry Európskej únie pre justičnú spoluprácu v trestných veciach (</w:t>
      </w:r>
      <w:proofErr w:type="spellStart"/>
      <w:r w:rsidRPr="000B3BE7">
        <w:t>Eurojust</w:t>
      </w:r>
      <w:proofErr w:type="spellEnd"/>
      <w:r w:rsidRPr="000B3BE7">
        <w:t xml:space="preserve">), Rade, Komisii a Dvoru audítorov a aby zabezpečila ich uverejnenie v </w:t>
      </w:r>
      <w:r w:rsidRPr="000B3BE7">
        <w:rPr>
          <w:i/>
        </w:rPr>
        <w:t>Úradnom vestníku Európskej únie</w:t>
      </w:r>
      <w:r w:rsidRPr="000B3BE7">
        <w:t xml:space="preserve"> (v sérii L).</w:t>
      </w:r>
    </w:p>
    <w:p w:rsidR="00C26704" w:rsidRPr="000B3BE7" w:rsidRDefault="00C26704"/>
    <w:p w:rsidR="00C26704" w:rsidRPr="000B3BE7" w:rsidRDefault="00C26704">
      <w:pPr>
        <w:widowControl/>
        <w:rPr>
          <w:rFonts w:ascii="Arial" w:hAnsi="Arial" w:cs="Arial"/>
          <w:b/>
        </w:rPr>
        <w:sectPr w:rsidR="00C26704" w:rsidRPr="000B3BE7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C26704" w:rsidRPr="000B3BE7" w:rsidRDefault="008F11E9">
      <w:pPr>
        <w:pStyle w:val="NormalBold"/>
      </w:pPr>
      <w:r w:rsidRPr="000B3BE7">
        <w:lastRenderedPageBreak/>
        <w:t>2. Rozhodnutie Európskeho parlamentu z 11. apríla 2024 o účtovnej závierke Agentúry Európskej únie pre justičnú spoluprácu v trestných veciach (</w:t>
      </w:r>
      <w:proofErr w:type="spellStart"/>
      <w:r w:rsidRPr="000B3BE7">
        <w:t>Eurojust</w:t>
      </w:r>
      <w:proofErr w:type="spellEnd"/>
      <w:r w:rsidRPr="000B3BE7">
        <w:t>) za rozpočtový rok 2022 (2023/2168(DEC))</w:t>
      </w:r>
    </w:p>
    <w:p w:rsidR="00C26704" w:rsidRPr="000B3BE7" w:rsidRDefault="008F11E9">
      <w:pPr>
        <w:pStyle w:val="EPComma"/>
      </w:pPr>
      <w:r w:rsidRPr="000B3BE7">
        <w:rPr>
          <w:i/>
        </w:rPr>
        <w:t>Európsky parlament</w:t>
      </w:r>
      <w:r w:rsidRPr="000B3BE7">
        <w:t>,</w:t>
      </w:r>
    </w:p>
    <w:p w:rsidR="00C26704" w:rsidRPr="000B3BE7" w:rsidRDefault="008F11E9">
      <w:pPr>
        <w:pStyle w:val="NormalHanging12a"/>
      </w:pPr>
      <w:r w:rsidRPr="000B3BE7">
        <w:t>–</w:t>
      </w:r>
      <w:r w:rsidRPr="000B3BE7">
        <w:tab/>
        <w:t>so zreteľom na konečnú ročnú účtovnú závierku Agentúry Európskej únie pre justičnú spoluprácu v trestných veciach (</w:t>
      </w:r>
      <w:proofErr w:type="spellStart"/>
      <w:r w:rsidRPr="000B3BE7">
        <w:t>Eurojust</w:t>
      </w:r>
      <w:proofErr w:type="spellEnd"/>
      <w:r w:rsidRPr="000B3BE7">
        <w:t>) za rozpočtový rok 2022,</w:t>
      </w:r>
    </w:p>
    <w:p w:rsidR="00C26704" w:rsidRPr="000B3BE7" w:rsidRDefault="008F11E9">
      <w:pPr>
        <w:pStyle w:val="NormalHanging12a"/>
      </w:pPr>
      <w:r w:rsidRPr="000B3BE7">
        <w:t>–</w:t>
      </w:r>
      <w:r w:rsidRPr="000B3BE7">
        <w:tab/>
        <w:t>so zreteľom na výročnú správu Dvora audítorov o agentúrach EÚ za rozpočtový rok 2022 spolu s odpoveďami agentúr</w:t>
      </w:r>
      <w:r w:rsidRPr="000B3BE7">
        <w:rPr>
          <w:rStyle w:val="FootnoteReference"/>
        </w:rPr>
        <w:footnoteReference w:id="6"/>
      </w:r>
      <w:r w:rsidRPr="000B3BE7">
        <w:t>,</w:t>
      </w:r>
    </w:p>
    <w:p w:rsidR="00C26704" w:rsidRPr="000B3BE7" w:rsidRDefault="008F11E9">
      <w:pPr>
        <w:pStyle w:val="NormalHanging12a"/>
      </w:pPr>
      <w:r w:rsidRPr="000B3BE7">
        <w:t>–</w:t>
      </w:r>
      <w:r w:rsidRPr="000B3BE7">
        <w:tab/>
        <w:t>so zreteľom na vyhlásenie</w:t>
      </w:r>
      <w:r w:rsidRPr="000B3BE7">
        <w:rPr>
          <w:rStyle w:val="FootnoteReference"/>
        </w:rPr>
        <w:footnoteReference w:id="7"/>
      </w:r>
      <w:r w:rsidRPr="000B3BE7">
        <w:t xml:space="preserve"> o vierohodnosti vedenia účtov a zákonnosti a správnosti príslušných operácií, ktoré poskytol Dvor audítorov za rozpočtový rok 2022 v súlade s článkom 287 Zmluvy o fungovaní Európskej únie,</w:t>
      </w:r>
    </w:p>
    <w:p w:rsidR="00C26704" w:rsidRPr="000B3BE7" w:rsidRDefault="008F11E9">
      <w:pPr>
        <w:pStyle w:val="NormalHanging12a"/>
      </w:pPr>
      <w:r w:rsidRPr="000B3BE7">
        <w:t>–</w:t>
      </w:r>
      <w:r w:rsidRPr="000B3BE7">
        <w:tab/>
        <w:t>so zreteľom na odporúčanie Rady z 22. februára 2024 o udelení absolutória agentúre za plnenie rozpočtu za rozpočtový rok 2022 (0</w:t>
      </w:r>
      <w:r w:rsidR="00AE315F" w:rsidRPr="000B3BE7">
        <w:t>6180</w:t>
      </w:r>
      <w:r w:rsidRPr="000B3BE7">
        <w:t>/2024 – C9</w:t>
      </w:r>
      <w:r w:rsidRPr="000B3BE7">
        <w:noBreakHyphen/>
        <w:t>0</w:t>
      </w:r>
      <w:r w:rsidR="00AE315F" w:rsidRPr="000B3BE7">
        <w:t>106</w:t>
      </w:r>
      <w:r w:rsidRPr="000B3BE7">
        <w:t>/2024),</w:t>
      </w:r>
    </w:p>
    <w:p w:rsidR="00C26704" w:rsidRPr="000B3BE7" w:rsidRDefault="008F11E9">
      <w:pPr>
        <w:pStyle w:val="NormalHanging12a"/>
      </w:pPr>
      <w:r w:rsidRPr="000B3BE7">
        <w:t>–</w:t>
      </w:r>
      <w:r w:rsidRPr="000B3BE7">
        <w:tab/>
        <w:t>so zreteľom na článok 319 Zmluvy o fungovaní Európskej únie,</w:t>
      </w:r>
    </w:p>
    <w:p w:rsidR="00C26704" w:rsidRPr="000B3BE7" w:rsidRDefault="008F11E9">
      <w:pPr>
        <w:pStyle w:val="NormalHanging12a"/>
      </w:pPr>
      <w:r w:rsidRPr="000B3BE7">
        <w:t>–</w:t>
      </w:r>
      <w:r w:rsidRPr="000B3BE7">
        <w:tab/>
        <w:t xml:space="preserve">so zreteľom na nariadenie Európskeho parlamentu a Rady (EÚ, </w:t>
      </w:r>
      <w:proofErr w:type="spellStart"/>
      <w:r w:rsidRPr="000B3BE7">
        <w:t>Euratom</w:t>
      </w:r>
      <w:proofErr w:type="spellEnd"/>
      <w:r w:rsidRPr="000B3BE7"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0B3BE7">
        <w:t>Euratom</w:t>
      </w:r>
      <w:proofErr w:type="spellEnd"/>
      <w:r w:rsidRPr="000B3BE7">
        <w:t>) č. 966/2012</w:t>
      </w:r>
      <w:r w:rsidRPr="000B3BE7">
        <w:rPr>
          <w:rStyle w:val="FootnoteReference"/>
        </w:rPr>
        <w:footnoteReference w:id="8"/>
      </w:r>
      <w:r w:rsidRPr="000B3BE7">
        <w:t>, a najmä na jeho článok 70,</w:t>
      </w:r>
    </w:p>
    <w:p w:rsidR="00C26704" w:rsidRPr="000B3BE7" w:rsidRDefault="008F11E9">
      <w:pPr>
        <w:pStyle w:val="NormalHanging12a"/>
      </w:pPr>
      <w:r w:rsidRPr="000B3BE7">
        <w:t>–</w:t>
      </w:r>
      <w:r w:rsidRPr="000B3BE7">
        <w:tab/>
        <w:t>so zreteľom na nariadenie Európskeho parlamentu a Rady (EÚ) 2018/1727 zo 14. novembra 2018 o Agentúre Európskej únie pre justičnú spoluprácu v trestných veciach (</w:t>
      </w:r>
      <w:proofErr w:type="spellStart"/>
      <w:r w:rsidRPr="000B3BE7">
        <w:t>Eurojust</w:t>
      </w:r>
      <w:proofErr w:type="spellEnd"/>
      <w:r w:rsidRPr="000B3BE7">
        <w:t>) a o nahradení a zrušení rozhodnutia Rady 2002/187/SVV</w:t>
      </w:r>
      <w:r w:rsidRPr="000B3BE7">
        <w:rPr>
          <w:rStyle w:val="FootnoteReference"/>
        </w:rPr>
        <w:footnoteReference w:id="9"/>
      </w:r>
      <w:r w:rsidRPr="000B3BE7">
        <w:t>, a najmä na jeho článok 63,</w:t>
      </w:r>
    </w:p>
    <w:p w:rsidR="00C26704" w:rsidRPr="000B3BE7" w:rsidRDefault="008F11E9">
      <w:pPr>
        <w:pStyle w:val="NormalHanging12a"/>
      </w:pPr>
      <w:r w:rsidRPr="000B3BE7">
        <w:t>–</w:t>
      </w:r>
      <w:r w:rsidRPr="000B3BE7">
        <w:tab/>
        <w:t xml:space="preserve">so zreteľom na delegované nariadenie Komisie (EÚ) 2019/715 z 18. decembra 2018 o rámcovom nariadení o rozpočtových pravidlách pre subjekty zriadené podľa ZFEÚ a Zmluvy o </w:t>
      </w:r>
      <w:proofErr w:type="spellStart"/>
      <w:r w:rsidRPr="000B3BE7">
        <w:t>Euratome</w:t>
      </w:r>
      <w:proofErr w:type="spellEnd"/>
      <w:r w:rsidRPr="000B3BE7">
        <w:t xml:space="preserve"> a uvedené v článku 70 nariadenia Európskeho parlamentu a Rady (EÚ, </w:t>
      </w:r>
      <w:proofErr w:type="spellStart"/>
      <w:r w:rsidRPr="000B3BE7">
        <w:t>Euratom</w:t>
      </w:r>
      <w:proofErr w:type="spellEnd"/>
      <w:r w:rsidRPr="000B3BE7">
        <w:t>) 2018/1046</w:t>
      </w:r>
      <w:r w:rsidRPr="000B3BE7">
        <w:rPr>
          <w:rStyle w:val="FootnoteReference"/>
        </w:rPr>
        <w:footnoteReference w:id="10"/>
      </w:r>
      <w:r w:rsidRPr="000B3BE7">
        <w:t>, a najmä na jeho článok 105,</w:t>
      </w:r>
    </w:p>
    <w:p w:rsidR="00C26704" w:rsidRPr="000B3BE7" w:rsidRDefault="008F11E9">
      <w:pPr>
        <w:pStyle w:val="NormalHanging12a"/>
      </w:pPr>
      <w:r w:rsidRPr="000B3BE7">
        <w:t>–</w:t>
      </w:r>
      <w:r w:rsidRPr="000B3BE7">
        <w:tab/>
        <w:t>so zreteľom na článok 100 a prílohu V k rokovaciemu poriadku,</w:t>
      </w:r>
    </w:p>
    <w:p w:rsidR="00C26704" w:rsidRPr="000B3BE7" w:rsidRDefault="008F11E9">
      <w:pPr>
        <w:pStyle w:val="NormalHanging12a"/>
      </w:pPr>
      <w:r w:rsidRPr="000B3BE7">
        <w:t>–</w:t>
      </w:r>
      <w:r w:rsidRPr="000B3BE7">
        <w:tab/>
        <w:t>so zreteľom na stanovisko Výboru pre občianske slobody, spravodlivosť a vnútorné veci,</w:t>
      </w:r>
    </w:p>
    <w:p w:rsidR="00C26704" w:rsidRPr="000B3BE7" w:rsidRDefault="008F11E9">
      <w:pPr>
        <w:pStyle w:val="NormalHanging12a"/>
      </w:pPr>
      <w:r w:rsidRPr="000B3BE7">
        <w:t>–</w:t>
      </w:r>
      <w:r w:rsidRPr="000B3BE7">
        <w:tab/>
        <w:t>so zreteľom na správu Výboru pre kontrolu rozpočtu (A9</w:t>
      </w:r>
      <w:r w:rsidRPr="000B3BE7">
        <w:noBreakHyphen/>
        <w:t>0099/2024),</w:t>
      </w:r>
    </w:p>
    <w:p w:rsidR="00C26704" w:rsidRPr="000B3BE7" w:rsidRDefault="008F11E9">
      <w:pPr>
        <w:pStyle w:val="NormalHanging12a"/>
      </w:pPr>
      <w:r w:rsidRPr="000B3BE7">
        <w:t>1.</w:t>
      </w:r>
      <w:r w:rsidRPr="000B3BE7">
        <w:tab/>
        <w:t xml:space="preserve">schvaľuje účtovnú závierku Agentúry Európskej únie pre justičnú spoluprácu </w:t>
      </w:r>
      <w:r w:rsidRPr="000B3BE7">
        <w:lastRenderedPageBreak/>
        <w:t>v trestných veciach (</w:t>
      </w:r>
      <w:proofErr w:type="spellStart"/>
      <w:r w:rsidRPr="000B3BE7">
        <w:t>Eurojust</w:t>
      </w:r>
      <w:proofErr w:type="spellEnd"/>
      <w:r w:rsidRPr="000B3BE7">
        <w:t>) za rozpočtový rok 2022;</w:t>
      </w:r>
    </w:p>
    <w:p w:rsidR="00C26704" w:rsidRPr="000B3BE7" w:rsidRDefault="008F11E9">
      <w:pPr>
        <w:pStyle w:val="NormalHanging12a"/>
      </w:pPr>
      <w:r w:rsidRPr="000B3BE7">
        <w:t>2.</w:t>
      </w:r>
      <w:r w:rsidRPr="000B3BE7">
        <w:tab/>
        <w:t>poveruje svoju predsedníčku, aby postúpila toto rozhodnutie administratívnemu riaditeľovi Agentúry Európskej únie pre justičnú spoluprácu v trestných veciach (</w:t>
      </w:r>
      <w:proofErr w:type="spellStart"/>
      <w:r w:rsidRPr="000B3BE7">
        <w:t>Eurojust</w:t>
      </w:r>
      <w:proofErr w:type="spellEnd"/>
      <w:r w:rsidRPr="000B3BE7">
        <w:t xml:space="preserve">), Rade, Komisii a Dvoru audítorov a aby zabezpečila jeho uverejnenie v </w:t>
      </w:r>
      <w:r w:rsidRPr="000B3BE7">
        <w:rPr>
          <w:i/>
          <w:iCs/>
        </w:rPr>
        <w:t>Úradnom vestníku Európskej únie</w:t>
      </w:r>
      <w:r w:rsidRPr="000B3BE7">
        <w:t xml:space="preserve"> (v sérii L).</w:t>
      </w:r>
    </w:p>
    <w:p w:rsidR="00C26704" w:rsidRPr="000B3BE7" w:rsidRDefault="00C26704"/>
    <w:p w:rsidR="00C26704" w:rsidRPr="000B3BE7" w:rsidRDefault="00C26704">
      <w:pPr>
        <w:widowControl/>
        <w:rPr>
          <w:rFonts w:ascii="Arial" w:hAnsi="Arial" w:cs="Arial"/>
          <w:b/>
        </w:rPr>
        <w:sectPr w:rsidR="00C26704" w:rsidRPr="000B3BE7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C26704" w:rsidRPr="000B3BE7" w:rsidRDefault="008F11E9">
      <w:pPr>
        <w:pStyle w:val="NormalBold"/>
      </w:pPr>
      <w:r w:rsidRPr="000B3BE7">
        <w:lastRenderedPageBreak/>
        <w:t>3. Uznesenie Európskeho parlamentu z 11. apríla 2024 s poznámkami, ktoré je neoddeliteľnou súčasťou rozhodnutia o absolutóriu za plnenie rozpočtu Agentúry Európskej únie pre justičnú spoluprácu v trestných veciach (</w:t>
      </w:r>
      <w:proofErr w:type="spellStart"/>
      <w:r w:rsidRPr="000B3BE7">
        <w:t>Eurojust</w:t>
      </w:r>
      <w:proofErr w:type="spellEnd"/>
      <w:r w:rsidRPr="000B3BE7">
        <w:t>) za rozpočtový rok 2022 (2023/2168(DEC))</w:t>
      </w:r>
    </w:p>
    <w:p w:rsidR="00C26704" w:rsidRPr="000B3BE7" w:rsidRDefault="008F11E9">
      <w:pPr>
        <w:pStyle w:val="EPComma"/>
      </w:pPr>
      <w:r w:rsidRPr="000B3BE7">
        <w:rPr>
          <w:i/>
        </w:rPr>
        <w:t>Európsky parlament</w:t>
      </w:r>
      <w:r w:rsidRPr="000B3BE7">
        <w:t>,</w:t>
      </w:r>
    </w:p>
    <w:p w:rsidR="00C26704" w:rsidRPr="000B3BE7" w:rsidRDefault="008F11E9">
      <w:pPr>
        <w:pStyle w:val="NormalHanging12a"/>
      </w:pPr>
      <w:r w:rsidRPr="000B3BE7">
        <w:t>–</w:t>
      </w:r>
      <w:r w:rsidRPr="000B3BE7">
        <w:tab/>
        <w:t>so zreteľom na svoje rozhodnutie o absolutóriu za plnenie rozpočtu Agentúry Európskej únie pre justičnú spoluprácu v trestných veciach (</w:t>
      </w:r>
      <w:proofErr w:type="spellStart"/>
      <w:r w:rsidRPr="000B3BE7">
        <w:t>Eurojust</w:t>
      </w:r>
      <w:proofErr w:type="spellEnd"/>
      <w:r w:rsidRPr="000B3BE7">
        <w:t>) za rozpočtový rok 2022,</w:t>
      </w:r>
    </w:p>
    <w:p w:rsidR="00C26704" w:rsidRPr="000B3BE7" w:rsidRDefault="008F11E9">
      <w:pPr>
        <w:pStyle w:val="NormalHanging12a"/>
      </w:pPr>
      <w:r w:rsidRPr="000B3BE7">
        <w:t>–</w:t>
      </w:r>
      <w:r w:rsidRPr="000B3BE7">
        <w:tab/>
        <w:t>so zreteľom na článok 100 a prílohu V k rokovaciemu poriadku,</w:t>
      </w:r>
    </w:p>
    <w:p w:rsidR="00C26704" w:rsidRPr="000B3BE7" w:rsidRDefault="008F11E9">
      <w:pPr>
        <w:pStyle w:val="NormalHanging12a"/>
      </w:pPr>
      <w:r w:rsidRPr="000B3BE7">
        <w:t>–</w:t>
      </w:r>
      <w:r w:rsidRPr="000B3BE7">
        <w:tab/>
        <w:t>so zreteľom na stanovisko Výboru pre občianske slobody, spravodlivosť a vnútorné veci,</w:t>
      </w:r>
    </w:p>
    <w:p w:rsidR="00C26704" w:rsidRPr="000B3BE7" w:rsidRDefault="008F11E9">
      <w:pPr>
        <w:pStyle w:val="NormalHanging12a"/>
      </w:pPr>
      <w:r w:rsidRPr="000B3BE7">
        <w:t>–</w:t>
      </w:r>
      <w:r w:rsidRPr="000B3BE7">
        <w:tab/>
        <w:t>so zreteľom na správu Výboru pre kontrolu rozpočtu (A9-0099/2024),</w:t>
      </w:r>
    </w:p>
    <w:p w:rsidR="00C26704" w:rsidRPr="000B3BE7" w:rsidRDefault="008F11E9">
      <w:pPr>
        <w:pStyle w:val="Normal12Hanging"/>
        <w:rPr>
          <w:szCs w:val="24"/>
          <w:lang w:val="sk-SK"/>
        </w:rPr>
      </w:pPr>
      <w:r w:rsidRPr="000B3BE7">
        <w:rPr>
          <w:lang w:val="sk-SK"/>
        </w:rPr>
        <w:t>A.</w:t>
      </w:r>
      <w:r w:rsidRPr="000B3BE7">
        <w:rPr>
          <w:lang w:val="sk-SK"/>
        </w:rPr>
        <w:tab/>
        <w:t>keďže podľa výkazu príjmov a výdavkov</w:t>
      </w:r>
      <w:r w:rsidRPr="000B3BE7">
        <w:rPr>
          <w:rStyle w:val="FootnoteReference"/>
          <w:szCs w:val="24"/>
          <w:lang w:val="sk-SK"/>
        </w:rPr>
        <w:footnoteReference w:id="11"/>
      </w:r>
      <w:r w:rsidRPr="000B3BE7">
        <w:rPr>
          <w:lang w:val="sk-SK"/>
        </w:rPr>
        <w:t xml:space="preserve"> predstavoval konečný rozpočet Agentúry Európskej únie pre justičnú spoluprácu v trestných veciach (</w:t>
      </w:r>
      <w:proofErr w:type="spellStart"/>
      <w:r w:rsidRPr="000B3BE7">
        <w:rPr>
          <w:lang w:val="sk-SK"/>
        </w:rPr>
        <w:t>Eurojust</w:t>
      </w:r>
      <w:proofErr w:type="spellEnd"/>
      <w:r w:rsidRPr="000B3BE7">
        <w:rPr>
          <w:lang w:val="sk-SK"/>
        </w:rPr>
        <w:t>) (ďalej len „agentúra“) na rozpočtový rok 2022 sumu 50 183 522 EUR, čo v porovnaní s rokom 2021 predstavuje pokles o 5,84 %; keďže rozpočet agentúry pochádza takmer výlučne z rozpočtu Únie;</w:t>
      </w:r>
    </w:p>
    <w:p w:rsidR="00C26704" w:rsidRPr="000B3BE7" w:rsidRDefault="008F11E9">
      <w:pPr>
        <w:pStyle w:val="Normal12Hanging"/>
        <w:rPr>
          <w:szCs w:val="24"/>
          <w:lang w:val="sk-SK"/>
        </w:rPr>
      </w:pPr>
      <w:r w:rsidRPr="000B3BE7">
        <w:rPr>
          <w:lang w:val="sk-SK"/>
        </w:rPr>
        <w:t>B.</w:t>
      </w:r>
      <w:r w:rsidRPr="000B3BE7">
        <w:rPr>
          <w:lang w:val="sk-SK"/>
        </w:rPr>
        <w:tab/>
        <w:t>keďže Dvor audítorov vo svojej správe o overení ročnej účtovnej závierky agentúry za rozpočtový rok 2022 (ďalej len „správa Dvora audítorov“) uvádza, že získal primeranú istotu o tom, že ročná účtovná závierka agentúry je spoľahlivá a že príslušné operácie sú zákonné a správne;</w:t>
      </w:r>
    </w:p>
    <w:p w:rsidR="00C26704" w:rsidRPr="000B3BE7" w:rsidRDefault="008F11E9">
      <w:pPr>
        <w:pStyle w:val="Normal12Hanging"/>
        <w:rPr>
          <w:b/>
          <w:i/>
          <w:szCs w:val="24"/>
          <w:lang w:val="sk-SK"/>
        </w:rPr>
      </w:pPr>
      <w:r w:rsidRPr="000B3BE7">
        <w:rPr>
          <w:b/>
          <w:i/>
          <w:lang w:val="sk-SK"/>
        </w:rPr>
        <w:t>Rozpočtové a finančné riadenie</w:t>
      </w:r>
    </w:p>
    <w:p w:rsidR="00C26704" w:rsidRPr="000B3BE7" w:rsidRDefault="008F11E9">
      <w:pPr>
        <w:pStyle w:val="Normal12Hanging"/>
        <w:rPr>
          <w:szCs w:val="24"/>
          <w:lang w:val="sk-SK"/>
        </w:rPr>
      </w:pPr>
      <w:r w:rsidRPr="000B3BE7">
        <w:rPr>
          <w:lang w:val="sk-SK"/>
        </w:rPr>
        <w:t>1.</w:t>
      </w:r>
      <w:r w:rsidRPr="000B3BE7">
        <w:rPr>
          <w:lang w:val="sk-SK"/>
        </w:rPr>
        <w:tab/>
        <w:t>s uspokojením konštatuje, že úsilie o monitorovanie rozpočtu prinieslo mieru plnenia rozpočtu, pokiaľ ide o viazané rozpočtové prostriedky v roku 2022, na úrovni 99,93 %; konštatuje, že miera plnenia platobných rozpočtových prostriedkov v bežnom roku bola 89,22 %, čo v porovnaní s rokom 2021 predstavuje nárast o 4,64 %;</w:t>
      </w:r>
    </w:p>
    <w:p w:rsidR="00C26704" w:rsidRPr="000B3BE7" w:rsidRDefault="008F11E9">
      <w:pPr>
        <w:pStyle w:val="Normal12Hanging"/>
        <w:rPr>
          <w:szCs w:val="24"/>
          <w:lang w:val="sk-SK"/>
        </w:rPr>
      </w:pPr>
      <w:r w:rsidRPr="000B3BE7">
        <w:rPr>
          <w:lang w:val="sk-SK"/>
        </w:rPr>
        <w:t>2.</w:t>
      </w:r>
      <w:r w:rsidRPr="000B3BE7">
        <w:rPr>
          <w:lang w:val="sk-SK"/>
        </w:rPr>
        <w:tab/>
        <w:t>konštatuje, že počas roka 2022 vznikli rôzne nové potreby financovania vrátane potrieb súvisiacich s infraštruktúrou pre nový systém správy prípadov, posilnením v súvislosti s novými úlohami databáz</w:t>
      </w:r>
      <w:r w:rsidR="00AE315F" w:rsidRPr="000B3BE7">
        <w:rPr>
          <w:lang w:val="sk-SK"/>
        </w:rPr>
        <w:t>y</w:t>
      </w:r>
      <w:r w:rsidRPr="000B3BE7">
        <w:rPr>
          <w:lang w:val="sk-SK"/>
        </w:rPr>
        <w:t xml:space="preserve"> dôkazov o najzávažnejších medzinárodných trestných činoch</w:t>
      </w:r>
      <w:r w:rsidR="00AE315F" w:rsidRPr="000B3BE7">
        <w:rPr>
          <w:lang w:val="sk-SK"/>
        </w:rPr>
        <w:t xml:space="preserve"> (CICED</w:t>
      </w:r>
      <w:r w:rsidRPr="000B3BE7">
        <w:rPr>
          <w:lang w:val="sk-SK"/>
        </w:rPr>
        <w:t>) a so zvýšením platov z dôvodu vysokej inflácie; konštatuje, že tieto finančné potreby boli pokryté z dvoch opravných rozpočtov (v celkovej výške 5,7 milióna EUR) a niekoľkých rozpočtových presunov;</w:t>
      </w:r>
    </w:p>
    <w:p w:rsidR="00C26704" w:rsidRPr="000B3BE7" w:rsidRDefault="008F11E9">
      <w:pPr>
        <w:pStyle w:val="Normal12Hanging"/>
        <w:rPr>
          <w:szCs w:val="24"/>
          <w:lang w:val="sk-SK"/>
        </w:rPr>
      </w:pPr>
      <w:r w:rsidRPr="000B3BE7">
        <w:rPr>
          <w:lang w:val="sk-SK"/>
        </w:rPr>
        <w:t>3.</w:t>
      </w:r>
      <w:r w:rsidRPr="000B3BE7">
        <w:rPr>
          <w:lang w:val="sk-SK"/>
        </w:rPr>
        <w:tab/>
        <w:t xml:space="preserve">berie na vedomie, že agentúra v roku 2022 zaviedla nový systém Komisie v oblasti finančného riadenia a účtovníctva (ďalej len „SUMMA“), ako aj súvisiace technické otázky, ktoré ovplyvnili plnenie rozpočtu a podávanie správ agentúrou; osobitne berie na vedomie stanovisko agentúry, podľa ktorého tieto otázky takisto ovplyvnili vysokú mieru platieb nevykonaných včas (52,9 %) a sťažili monitorovanie oblastí s vysokou </w:t>
      </w:r>
      <w:proofErr w:type="spellStart"/>
      <w:r w:rsidRPr="000B3BE7">
        <w:rPr>
          <w:lang w:val="sk-SK"/>
        </w:rPr>
        <w:t>volatilitou</w:t>
      </w:r>
      <w:proofErr w:type="spellEnd"/>
      <w:r w:rsidRPr="000B3BE7">
        <w:rPr>
          <w:lang w:val="sk-SK"/>
        </w:rPr>
        <w:t xml:space="preserve"> nákladov, napríklad koordinačných stretnutí; v tejto súvislosti berie na vedomie pripomienku zo správy Dvora audítorov, že agentúra v rozpore s niektorými </w:t>
      </w:r>
      <w:r w:rsidRPr="000B3BE7">
        <w:rPr>
          <w:lang w:val="sk-SK"/>
        </w:rPr>
        <w:lastRenderedPageBreak/>
        <w:t xml:space="preserve">ustanoveniami nariadenia o rozpočtových pravidlách neaktualizovala svoju stratégiu riadenia rizík a kontroly s cieľom pokryť riziká spojené so zavádzaním SUMMA ani svoje finančné toky a stratégiu </w:t>
      </w:r>
      <w:r w:rsidRPr="000B3BE7">
        <w:rPr>
          <w:i/>
          <w:lang w:val="sk-SK"/>
        </w:rPr>
        <w:t xml:space="preserve">ex </w:t>
      </w:r>
      <w:proofErr w:type="spellStart"/>
      <w:r w:rsidRPr="000B3BE7">
        <w:rPr>
          <w:i/>
          <w:lang w:val="sk-SK"/>
        </w:rPr>
        <w:t>ante</w:t>
      </w:r>
      <w:proofErr w:type="spellEnd"/>
      <w:r w:rsidRPr="000B3BE7">
        <w:rPr>
          <w:lang w:val="sk-SK"/>
        </w:rPr>
        <w:t xml:space="preserve"> a </w:t>
      </w:r>
      <w:r w:rsidRPr="000B3BE7">
        <w:rPr>
          <w:i/>
          <w:lang w:val="sk-SK"/>
        </w:rPr>
        <w:t>ex post</w:t>
      </w:r>
      <w:r w:rsidRPr="000B3BE7">
        <w:rPr>
          <w:lang w:val="sk-SK"/>
        </w:rPr>
        <w:t xml:space="preserve"> kontrol a osobitne nekontroluje práva, ktoré boli pridelené používateľovi v danom systéme, čo predstavuje riziko, že úlohy používateľov v SUMMA nemusia byť správne priradené a aktualizované;</w:t>
      </w:r>
    </w:p>
    <w:p w:rsidR="00C26704" w:rsidRPr="000B3BE7" w:rsidRDefault="008F11E9">
      <w:pPr>
        <w:pStyle w:val="NormalHanging12a"/>
      </w:pPr>
      <w:r w:rsidRPr="000B3BE7">
        <w:t>4.</w:t>
      </w:r>
      <w:r w:rsidRPr="000B3BE7">
        <w:tab/>
        <w:t>so znepokojením berie na vedomie poznámku zo správy Dvora audítorov, že agentúra nedodržala lehoty na vykonanie platieb stanovené v nariadení o rozpočtových pravidlách v prípade 1 222 platieb z celkového počtu 2 308 platieb (52,9 %); pripomína a zdôrazňuje, že v 720 prípadoch (31,5</w:t>
      </w:r>
      <w:r w:rsidR="00AE315F" w:rsidRPr="000B3BE7">
        <w:t> </w:t>
      </w:r>
      <w:r w:rsidRPr="000B3BE7">
        <w:t>%) z celkového počtu platby meškali viac ako 30 dní; berie na vedomie, že agentúra pripisuje tento nedostatok, ktorý podľa názoru Dvora audítorov vystavuje agentúru finančnému riziku a riziku poškodenia dobrého mena a je v rozpore so zásadou hospodárnosti, zavedeniu SUMMA; berie na vedomie odpoveď agentúry, že SUMMA je v pilotnej fáze a pri spracúvaní transakcií dochádzalo k oneskoreniam a technickým problémom, čo ovplyvnilo odbornú prípravu zamestnancov a spôsobilo určité problémy v oblasti rozpočtového riadenia; napokon si všíma, že napriek zvýšenému počtu oneskorených platieb agentúra neplatila žiadne úroky z omeškania; vyzýva agentúru, aby sa v plnej miere zaoberala touto pripomienkou, riešila technické ťažkosti pri spracúvaní transakcií a informovala orgán udeľujúci absolutórium o dosiahnutom pokroku;</w:t>
      </w:r>
    </w:p>
    <w:p w:rsidR="00C26704" w:rsidRPr="000B3BE7" w:rsidRDefault="008F11E9">
      <w:pPr>
        <w:pStyle w:val="Normal12Hanging"/>
        <w:rPr>
          <w:b/>
          <w:i/>
          <w:szCs w:val="24"/>
          <w:lang w:val="sk-SK"/>
        </w:rPr>
      </w:pPr>
      <w:r w:rsidRPr="000B3BE7">
        <w:rPr>
          <w:b/>
          <w:i/>
          <w:lang w:val="sk-SK"/>
        </w:rPr>
        <w:t>Výkonnosť</w:t>
      </w:r>
    </w:p>
    <w:p w:rsidR="00C26704" w:rsidRPr="000B3BE7" w:rsidRDefault="008F11E9">
      <w:pPr>
        <w:pStyle w:val="NormalHanging12a"/>
        <w:rPr>
          <w:szCs w:val="24"/>
        </w:rPr>
      </w:pPr>
      <w:r w:rsidRPr="000B3BE7">
        <w:t>5.</w:t>
      </w:r>
      <w:r w:rsidRPr="000B3BE7">
        <w:tab/>
        <w:t>konštatuje, že agentúra používa kľúčové ukazovatele výkonnosti (ďalej len „KPI“) s cieľom posúdiť pridanú hodnotu, ktorú poskytujú jej činnosti, a zlepšiť svoje rozpočtové riadenie; zdôrazňuje novú viacročnú stratégiu agentúry (ďalej len „MAS“) na roky 2022 – 2024, v ktorej sa stanovuje päť cieľov a každý z nich sa vzťahuje na niekoľko oblastí strategických opatrení; poznamenáva, že agentúra vo svojom ročnom pracovnom pláne na rok 2022 vymedzila 67 KPI a 14 viacročných KPI pre MAS; konštatuje, že okrem KPI, ktoré sa nepovažovali za merateľné alebo relevantné, agentúra splnila ciele v prípade 47 z 59 KPI (88 %), čo predstavuje nárast v porovnaní s rokom 2021 (73 %); konštatuje, že agentúra v roku 2022 dosiahla stabilný pokrok pri plnení viacročných KPI, pričom 10 z nich (72 %) je na dobrej ceste k splneniu svojho cieľa a tri (21 %) si vyžadujú ďalšiu pozornosť, zatiaľ čo konečné výsledky v prípade KPI pre MAS budú vykázané na konci roka 2024;</w:t>
      </w:r>
    </w:p>
    <w:p w:rsidR="00C26704" w:rsidRPr="000B3BE7" w:rsidRDefault="008F11E9">
      <w:pPr>
        <w:pStyle w:val="NormalHanging12a"/>
      </w:pPr>
      <w:r w:rsidRPr="000B3BE7">
        <w:t>6.</w:t>
      </w:r>
      <w:r w:rsidRPr="000B3BE7">
        <w:tab/>
        <w:t xml:space="preserve">konštatuje, že počet prípadov, ktoré postúpili agentúre členské štáty, naďalej rástol, pričom v roku 2022 sa celkovo riešilo 11 544 prípadov (z toho 5 227 bolo novootvorených), čo predstavuje 14-percentný nárast v porovnaní s rokom 2021; v tejto súvislosti oceňuje prínos agentúry pri poskytovaní právneho poradenstva, analýz a operačnej pomoci, ktorých výsledkom bolo 941 operačných výstupov na podporu 528 prípadov vrátane zložitých prípadov, ktoré viedli k zatknutiu prevádzačov (vrátane migrantov), ako aj zásahov proti zločineckým sieťam alebo akcií proti nim v oblastiach, ako je legalizácia príjmov z trestnej činnosti, sexuálne vykorisťovanie, online investičné podvody alebo obchodovanie s drogami; okrem toho s uspokojením konštatuje, že v roku 2022 agentúra podporila 265 spoločných vyšetrovacích tímov (SVT) (z toho 78 SVT bolo novozriadených), zorganizovala 528 koordinačných stretnutí a 22 koordinačných centier, čím uľahčila vykonanie 1 262 európskych zatýkacích rozkazov (z toho 504 bolo nových prípadov) a umožnila použitie 5 415 európskych vyšetrovacích príkazov (približne polovica z nich bola novootvorená); konštatuje, že agentúra udržiava spoluprácu s </w:t>
      </w:r>
      <w:proofErr w:type="spellStart"/>
      <w:r w:rsidR="00AE315F" w:rsidRPr="000B3BE7">
        <w:t>Európskehym</w:t>
      </w:r>
      <w:proofErr w:type="spellEnd"/>
      <w:r w:rsidR="00AE315F" w:rsidRPr="000B3BE7">
        <w:t xml:space="preserve"> úradu pre boj proti podvodom (ďalej len „</w:t>
      </w:r>
      <w:r w:rsidRPr="000B3BE7">
        <w:t xml:space="preserve">úrad </w:t>
      </w:r>
      <w:r w:rsidRPr="000B3BE7">
        <w:lastRenderedPageBreak/>
        <w:t>OLA</w:t>
      </w:r>
      <w:r w:rsidR="00AE315F" w:rsidRPr="000B3BE7">
        <w:t>“)</w:t>
      </w:r>
      <w:r w:rsidRPr="000B3BE7">
        <w:t>F s cieľom posilniť boj proti trestným činom poškodzujúcim finančné záujmy Ú</w:t>
      </w:r>
      <w:r w:rsidR="00AA721C" w:rsidRPr="000B3BE7">
        <w:t>nie</w:t>
      </w:r>
      <w:r w:rsidRPr="000B3BE7">
        <w:t>;</w:t>
      </w:r>
    </w:p>
    <w:p w:rsidR="00C26704" w:rsidRPr="000B3BE7" w:rsidRDefault="008F11E9">
      <w:pPr>
        <w:pStyle w:val="NormalHanging12a"/>
        <w:rPr>
          <w:szCs w:val="24"/>
        </w:rPr>
      </w:pPr>
      <w:r w:rsidRPr="000B3BE7">
        <w:t>7.</w:t>
      </w:r>
      <w:r w:rsidRPr="000B3BE7">
        <w:tab/>
        <w:t xml:space="preserve">oceňuje agentúru za opatrenia prijaté v reakcii na ruskú nezákonnú a nevyprovokovanú inváziu na Ukrajinu v roku 2022; konštatuje, že tri týždne po vypuknutí vojny agentúra podporila zriadenie spoločného vyšetrovacieho tímu na vyšetrovanie údajných najzávažnejších medzinárodných trestných činov spáchaných na Ukrajine s cieľom uľahčiť vyšetrovanie a stíhanie v dotknutých štátoch; konštatuje, že agentúra poskytla právnu a operačnú pomoc národným zastúpeniam v súvislosti s rozšírením dohody o SVT o nové strany (Estónsko, Lotyšsko, Rumunsko a Slovensko), ako aj právne analýzy a možnosti súvisiace s účasťou Medzinárodného trestného súdu na SVT; ďalej konštatuje, že agentúra poskytuje operačnú pomoc osobitnej skupine pod názvom </w:t>
      </w:r>
      <w:proofErr w:type="spellStart"/>
      <w:r w:rsidRPr="000B3BE7">
        <w:t>Freeze</w:t>
      </w:r>
      <w:proofErr w:type="spellEnd"/>
      <w:r w:rsidRPr="000B3BE7">
        <w:t xml:space="preserve"> and </w:t>
      </w:r>
      <w:proofErr w:type="spellStart"/>
      <w:r w:rsidRPr="000B3BE7">
        <w:t>Seize</w:t>
      </w:r>
      <w:proofErr w:type="spellEnd"/>
      <w:r w:rsidRPr="000B3BE7">
        <w:t xml:space="preserve"> (Zmraziť a zaistiť), ktorú zriadila Komisia, tým, že koordinuje presadzovanie sankcií Únie členskými štátmi prostredníctvom trestného práva, a to pomocou niekoľkých opatrení, ako je pravidelná krížová kontrola zoznamu osôb a spoločností, ktorým Únia uložila sankcie, s údajmi agentúry o existujúcich prípadoch, ktoré agentúra rieši, a zber relevantných informácií na vnútroštátnej úrovni o minulých a prebiehajúcich vyšetrovaniach súvisiacich s osobami, ktoré sú uvedené na sankčnom zozname, s cieľom uľahčiť trestné konanie;</w:t>
      </w:r>
    </w:p>
    <w:p w:rsidR="00C26704" w:rsidRPr="000B3BE7" w:rsidRDefault="008F11E9">
      <w:pPr>
        <w:pStyle w:val="NormalHanging12a"/>
      </w:pPr>
      <w:r w:rsidRPr="000B3BE7">
        <w:t>8.</w:t>
      </w:r>
      <w:r w:rsidRPr="000B3BE7">
        <w:tab/>
        <w:t>víta, že agentúra v roku 2022 posilnila svoju operačnú a strategickú spoluprácu s rôznymi zainteresovanými stranami, ako sú napríklad európske agentúry v oblasti spravodlivosti a vnútorných vecí, inštitúcie Únie, úrad OLAF, Európska prokuratúra, ako aj siete odborníkov na justíciu, tretie krajiny a medzinárodné organizácie; konkrétne si všíma spoluprácu agentúry s Agentúrou Európskej únie na prevádzkové riadenie rozsiahlych informačných systémov v priestore slobody, bezpečnosti a spravodlivosti (</w:t>
      </w:r>
      <w:proofErr w:type="spellStart"/>
      <w:r w:rsidRPr="000B3BE7">
        <w:t>eu</w:t>
      </w:r>
      <w:proofErr w:type="spellEnd"/>
      <w:r w:rsidRPr="000B3BE7">
        <w:t xml:space="preserve">-LISA) na spoločnej správe o umelej inteligencii (AI), v rámci ktorej sa podporuje cezhraničná spolupráca v oblasti trestnej justície, s Agentúrou </w:t>
      </w:r>
      <w:r w:rsidR="00701A0D" w:rsidRPr="000B3BE7">
        <w:t xml:space="preserve">Európskej únie </w:t>
      </w:r>
      <w:r w:rsidRPr="000B3BE7">
        <w:t xml:space="preserve">pre odbornú prípravu v oblasti presadzovania práva (CEPOL) na 16 kurzoch týkajúcich sa justičnej spolupráce, s Agentúrou </w:t>
      </w:r>
      <w:r w:rsidR="00701A0D" w:rsidRPr="000B3BE7">
        <w:t xml:space="preserve">Európskej únie </w:t>
      </w:r>
      <w:r w:rsidRPr="000B3BE7">
        <w:t>pre spoluprácu v oblasti presadzovania práva (</w:t>
      </w:r>
      <w:proofErr w:type="spellStart"/>
      <w:r w:rsidRPr="000B3BE7">
        <w:t>Europol</w:t>
      </w:r>
      <w:proofErr w:type="spellEnd"/>
      <w:r w:rsidRPr="000B3BE7">
        <w:t xml:space="preserve">) na projekte SIRIUS a systéme pozitívnej/negatívnej lustrácie </w:t>
      </w:r>
      <w:proofErr w:type="spellStart"/>
      <w:r w:rsidRPr="000B3BE7">
        <w:t>Europolu</w:t>
      </w:r>
      <w:proofErr w:type="spellEnd"/>
      <w:r w:rsidRPr="000B3BE7">
        <w:t xml:space="preserve"> a s vnútroštátnymi orgánmi z 20 členských štátov, </w:t>
      </w:r>
      <w:proofErr w:type="spellStart"/>
      <w:r w:rsidRPr="000B3BE7">
        <w:t>Europolom</w:t>
      </w:r>
      <w:proofErr w:type="spellEnd"/>
      <w:r w:rsidRPr="000B3BE7">
        <w:t xml:space="preserve">, úradom OLAF a Európskou prokuratúrou na operácii </w:t>
      </w:r>
      <w:proofErr w:type="spellStart"/>
      <w:r w:rsidRPr="000B3BE7">
        <w:t>Sentinel</w:t>
      </w:r>
      <w:proofErr w:type="spellEnd"/>
      <w:r w:rsidRPr="000B3BE7">
        <w:t xml:space="preserve"> proti podvodom súvisiacim s finančnými prostriedkami na obnovu po pandémii ochorenia COVID-19; zdôrazňuje prínos agentúry k iniciatívam Komisie v oblasti digitalizácie súdnictva (okrem iného SIS II, systém správy prípadov, ECRIS-TCN a ďalšie); berie na vedomie, že agentúra sa spolieha na stále rastúcu sieť kontaktných miest s príslušnými orgánmi v tretích krajinách, pričom v roku 2022 sa celkový počet kontaktných miest agentúry rozrástol o Austráliu, Bahrajn a Maroko; oceňuje rozšírenie spolupráce agentúry v trestných veciach na medzinárodnej úrovni, najmä prostredníctvom programu </w:t>
      </w:r>
      <w:proofErr w:type="spellStart"/>
      <w:r w:rsidRPr="000B3BE7">
        <w:t>EuroMed</w:t>
      </w:r>
      <w:proofErr w:type="spellEnd"/>
      <w:r w:rsidRPr="000B3BE7">
        <w:t xml:space="preserve"> </w:t>
      </w:r>
      <w:proofErr w:type="spellStart"/>
      <w:r w:rsidRPr="000B3BE7">
        <w:t>Justice</w:t>
      </w:r>
      <w:proofErr w:type="spellEnd"/>
      <w:r w:rsidRPr="000B3BE7">
        <w:t xml:space="preserve"> s krajinami južného partnerstva a projektu financovaného EÚ, ktorý sa zameriava na cezhraničnú spoluprácu v trestnej justícii na západnom Balkáne;</w:t>
      </w:r>
    </w:p>
    <w:p w:rsidR="00C26704" w:rsidRPr="000B3BE7" w:rsidRDefault="008F11E9">
      <w:pPr>
        <w:pStyle w:val="NormalHanging12a"/>
        <w:jc w:val="both"/>
      </w:pPr>
      <w:r w:rsidRPr="000B3BE7">
        <w:t>9.</w:t>
      </w:r>
      <w:r w:rsidRPr="000B3BE7">
        <w:tab/>
        <w:t>oceňuje nadnárodnú spoluprácu medzi justičnými orgánmi, ktorú agentúra uľahčuje, a úzku spoluprácu so všetkými aktérmi v reťazci trestného súdnictva, ktorá prispela k zatknutiu viac ako 4 000 podozrivých osôb, zaisteniu a zmrazeniu aktív pochádzajúcich z trestnej činnosti v hodnote takmer 3 miliardy EUR a k zaisteniu drog v hodnote takmer 12 miliárd EUR;</w:t>
      </w:r>
    </w:p>
    <w:p w:rsidR="00C26704" w:rsidRPr="000B3BE7" w:rsidRDefault="008F11E9">
      <w:pPr>
        <w:pStyle w:val="NormalHanging12a"/>
        <w:rPr>
          <w:b/>
          <w:i/>
          <w:szCs w:val="24"/>
        </w:rPr>
      </w:pPr>
      <w:r w:rsidRPr="000B3BE7">
        <w:rPr>
          <w:b/>
          <w:i/>
        </w:rPr>
        <w:t>Efektívnosť a prínosy</w:t>
      </w:r>
    </w:p>
    <w:p w:rsidR="00C26704" w:rsidRPr="000B3BE7" w:rsidRDefault="008F11E9">
      <w:pPr>
        <w:pStyle w:val="NormalHanging12a"/>
        <w:rPr>
          <w:szCs w:val="24"/>
        </w:rPr>
      </w:pPr>
      <w:r w:rsidRPr="000B3BE7">
        <w:lastRenderedPageBreak/>
        <w:t>10.</w:t>
      </w:r>
      <w:r w:rsidRPr="000B3BE7">
        <w:tab/>
        <w:t xml:space="preserve">zdôrazňuje, že agentúra okrem zavedenia systému SUMMA ešte viac posilnila svoje postupy a nástroje riadenia podľa činností, a to zvýšením účinnosti, kvality a integrity údajov a použiteľnosti svojho plánovacieho nástroja, zavedením nového nástroja na zaznamenávanie činností a pokračovaním v postupnom prechode od KPI založených na výstupoch k tým založeným na výsledkoch; oceňuje, že agentúra začala diskusiu s </w:t>
      </w:r>
      <w:proofErr w:type="spellStart"/>
      <w:r w:rsidRPr="000B3BE7">
        <w:t>Europolom</w:t>
      </w:r>
      <w:proofErr w:type="spellEnd"/>
      <w:r w:rsidRPr="000B3BE7">
        <w:t xml:space="preserve"> s cieľom preskúmať potenciál spoločného využívania zdravotníckych služieb v budúcnosti; ďalej oceňuje rozhodnutie agentúry zachovať určitú efektivitu nadobudnutú počas pandémie</w:t>
      </w:r>
      <w:r w:rsidR="008F5E4F" w:rsidRPr="000B3BE7">
        <w:t xml:space="preserve"> ochorenia COVID-19</w:t>
      </w:r>
      <w:r w:rsidRPr="000B3BE7">
        <w:t>; berie na vedomie, že podľa odpovedí agentúry na písomné otázky Európskeho parlamentu agentúra v roku 2022 zorganizovala 47</w:t>
      </w:r>
      <w:r w:rsidR="008F5E4F" w:rsidRPr="000B3BE7">
        <w:t> </w:t>
      </w:r>
      <w:r w:rsidRPr="000B3BE7">
        <w:t>% koordinačných stretnutí, všetku odbornú prípravu zamestnancov a všetky výberové konania online, čím značne znížila súvisiace náklady na finančné a ľudské zdroje, a 29 % všetkých koordinačných stretnutí prebehlo v hybridnom režime;</w:t>
      </w:r>
    </w:p>
    <w:p w:rsidR="00C26704" w:rsidRPr="000B3BE7" w:rsidRDefault="008F11E9">
      <w:pPr>
        <w:pStyle w:val="NormalHanging12a"/>
        <w:rPr>
          <w:szCs w:val="24"/>
        </w:rPr>
      </w:pPr>
      <w:r w:rsidRPr="000B3BE7">
        <w:t>11.</w:t>
      </w:r>
      <w:r w:rsidRPr="000B3BE7">
        <w:tab/>
        <w:t xml:space="preserve">konštatuje, že s cieľom zvýšiť účinnosť boli v roku 2022 spustené dva projekty v rámci celej agentúry, samoobslužný portál agentúry a </w:t>
      </w:r>
      <w:proofErr w:type="spellStart"/>
      <w:r w:rsidRPr="000B3BE7">
        <w:t>Pexip</w:t>
      </w:r>
      <w:proofErr w:type="spellEnd"/>
      <w:r w:rsidRPr="000B3BE7">
        <w:t xml:space="preserve">, nový systém videokonferencií pre koordinačné stretnutia a koordinačné centrá so simultánnym tlmočením do aspoň 10 jazykov; ďalej konštatuje, že bola dokončená analýza migrácie existujúceho </w:t>
      </w:r>
      <w:proofErr w:type="spellStart"/>
      <w:r w:rsidRPr="000B3BE7">
        <w:t>Extranetu</w:t>
      </w:r>
      <w:proofErr w:type="spellEnd"/>
      <w:r w:rsidRPr="000B3BE7">
        <w:t xml:space="preserve"> a výber dodávateľov, ktorí zabezpečia nahradenie systému </w:t>
      </w:r>
      <w:proofErr w:type="spellStart"/>
      <w:r w:rsidRPr="000B3BE7">
        <w:t>Library</w:t>
      </w:r>
      <w:proofErr w:type="spellEnd"/>
      <w:r w:rsidRPr="000B3BE7">
        <w:t>, pričom certifikovaný nástroj na elektronické podpisovanie sa stále vyvíja a jeho dokončenie sa očakáva v roku 2024; oceňuje agentúru za zavedenie nových modulov SYSPER (hodnotenie, názvy a opisy pracovných miest, nástroj NDP, podávanie správ) popri ďalších piatich moduloch, ktoré už boli zavedené počas predošlých rokov; berie na vedomie, že agentúra sa zaviazala plne zaviesť systém SYSPER do roku 2024;</w:t>
      </w:r>
    </w:p>
    <w:p w:rsidR="00C26704" w:rsidRPr="000B3BE7" w:rsidRDefault="008F11E9">
      <w:pPr>
        <w:pStyle w:val="NormalHanging12a"/>
        <w:rPr>
          <w:szCs w:val="24"/>
        </w:rPr>
      </w:pPr>
      <w:r w:rsidRPr="000B3BE7">
        <w:t>12.</w:t>
      </w:r>
      <w:r w:rsidRPr="000B3BE7">
        <w:tab/>
        <w:t>berie na vedomie, že podľa správy Dvora audítorov agentúra na rozdiel od iných agentúr ešte nevypracovala interný plán s cieľom zlepšiť energetickú efektívnosť a klimatickú neutralitu svojich operácií, nemá žiadnu formu environmentálneho vykazovania, ktoré by bolo neoddeliteľnou súčasťou jej výročných správ o činnosti alebo nie je zaregistrovaná v environmentálnom manažérstve a audite (ďalej len „EMAS“); pripomína, že v roku 2021 agentúra začala vykonávať rámec súladu EMAS/ISO 14001; v tejto súvislosti konštatuje, že v roku 2022 agentúra dostala záverečnú správu od externej poradenskej spoločnosti vrátane všetkých relevantných informácií o právnych predpisoch týkajúcich sa životného prostredia v Holandsku; ďalej konštatuje, že počas roka 2022 sa agentúra zapojila do verejnej súťaže týkajúcej sa poradenstva v oblasti systémov environmentálneho manažérstva a znižovania a kompenzovania emisií skleníkových plynov;</w:t>
      </w:r>
    </w:p>
    <w:p w:rsidR="00C26704" w:rsidRPr="000B3BE7" w:rsidRDefault="008F11E9">
      <w:pPr>
        <w:pStyle w:val="Normal12Hanging"/>
        <w:rPr>
          <w:b/>
          <w:i/>
          <w:szCs w:val="24"/>
          <w:lang w:val="sk-SK"/>
        </w:rPr>
      </w:pPr>
      <w:r w:rsidRPr="000B3BE7">
        <w:rPr>
          <w:b/>
          <w:i/>
          <w:lang w:val="sk-SK"/>
        </w:rPr>
        <w:t>Personálna politika</w:t>
      </w:r>
    </w:p>
    <w:p w:rsidR="00C26704" w:rsidRPr="000B3BE7" w:rsidRDefault="008F11E9">
      <w:pPr>
        <w:pStyle w:val="Normal12Hanging"/>
        <w:rPr>
          <w:szCs w:val="24"/>
          <w:lang w:val="sk-SK"/>
        </w:rPr>
      </w:pPr>
      <w:r w:rsidRPr="000B3BE7">
        <w:rPr>
          <w:lang w:val="sk-SK"/>
        </w:rPr>
        <w:t>13.</w:t>
      </w:r>
      <w:r w:rsidRPr="000B3BE7">
        <w:rPr>
          <w:lang w:val="sk-SK"/>
        </w:rPr>
        <w:tab/>
        <w:t>ko</w:t>
      </w:r>
      <w:r w:rsidR="00FA1F6A">
        <w:rPr>
          <w:lang w:val="sk-SK"/>
        </w:rPr>
        <w:t>nštatuje, že k 31. decembru 2022</w:t>
      </w:r>
      <w:bookmarkStart w:id="8" w:name="_GoBack"/>
      <w:bookmarkEnd w:id="8"/>
      <w:r w:rsidRPr="000B3BE7">
        <w:rPr>
          <w:lang w:val="sk-SK"/>
        </w:rPr>
        <w:t xml:space="preserve"> bol plán pracovných miest agentúry naplnený na 100 %, (rovnako ako v roku 2021), pričom z 221 dočasných zamestnancov povolených v rámci rozpočtu Únie na rok 2022 bolo vymenovaných 221 dočasných zamestnancov, pričom 209 dočasných zamestnancov z počtu 221 bolo na pracovisku a bolo poslaných 12 ponúk na zamestnanie; konštatuje, že okrem toho v roku 2022 pre agentúru pracovalo 18 zmluvných zamestnancov a 22 vyslaných národných expertov; ďalej konštatuje, že sa uskutočnila </w:t>
      </w:r>
      <w:proofErr w:type="spellStart"/>
      <w:r w:rsidRPr="000B3BE7">
        <w:rPr>
          <w:lang w:val="sk-SK"/>
        </w:rPr>
        <w:t>reklasifikácia</w:t>
      </w:r>
      <w:proofErr w:type="spellEnd"/>
      <w:r w:rsidRPr="000B3BE7">
        <w:rPr>
          <w:lang w:val="sk-SK"/>
        </w:rPr>
        <w:t xml:space="preserve">, z ktorej vyplynulo, že 53 zamestnancov bolo </w:t>
      </w:r>
      <w:proofErr w:type="spellStart"/>
      <w:r w:rsidRPr="000B3BE7">
        <w:rPr>
          <w:lang w:val="sk-SK"/>
        </w:rPr>
        <w:t>reklasifikovaných</w:t>
      </w:r>
      <w:proofErr w:type="spellEnd"/>
      <w:r w:rsidRPr="000B3BE7">
        <w:rPr>
          <w:lang w:val="sk-SK"/>
        </w:rPr>
        <w:t>;</w:t>
      </w:r>
    </w:p>
    <w:p w:rsidR="00C26704" w:rsidRPr="000B3BE7" w:rsidRDefault="008F11E9">
      <w:pPr>
        <w:pStyle w:val="NormalHanging12a"/>
      </w:pPr>
      <w:r w:rsidRPr="000B3BE7">
        <w:t>14.</w:t>
      </w:r>
      <w:r w:rsidRPr="000B3BE7">
        <w:tab/>
        <w:t xml:space="preserve">všíma si zastúpenie mužov a žien v agentúre v roku 2022, keď mala 6 mužov (60 %) a 4 ženy (40 %) vo vyššom a strednom manažmente, 16 mužov (64 %) a 9 žien (36 %) v správnej rade a 85 mužov (33 %) a 175 žien (67 %) medzi všetkými zamestnancami; </w:t>
      </w:r>
      <w:r w:rsidRPr="000B3BE7">
        <w:lastRenderedPageBreak/>
        <w:t>vyzýva agentúru na zaistenie lepšej rodovej rovnováhy na všetkých úrovniach zamestnancov a na ďalšiu podporu uchádzačiek, aby sa uchádzali o riadiace pozície, ako aj prihlášok mužských uchádzačov v externých výberových konaniach na ostatné zamestnanecké pozície; uznáva, že agentúra nie je zodpovedná za zloženie správnej rady (ďalej len „kolégium“), keďže národných členov kolégia vymenúvajú priamo príslušné členské štáty; žiada Komisiu a členské štáty, aby zohľadnili význam zabezpečenia rodovej rovnováhy pri predkladaní svojich nominácií na členov kolégia;</w:t>
      </w:r>
    </w:p>
    <w:p w:rsidR="00C26704" w:rsidRPr="000B3BE7" w:rsidRDefault="008F11E9">
      <w:pPr>
        <w:pStyle w:val="NormalHanging12a"/>
        <w:rPr>
          <w:szCs w:val="24"/>
        </w:rPr>
      </w:pPr>
      <w:r w:rsidRPr="000B3BE7">
        <w:t>15.</w:t>
      </w:r>
      <w:r w:rsidRPr="000B3BE7">
        <w:tab/>
        <w:t>konštatuje, že v rokoch 2017 až 2022 agentúra požiadala o radu externú advokátsku kanceláriu špecializovanú na právo Únie v oblasti verejnej služby v súvislosti s niekoľkými žiadosťami o pomoc súvisiacimi s údajným psychickým obťažovaním; konštatuje, že žiadosť o pomoc prijatá v roku 2021 viedla k začatiu dvoch samostatných administratívnych vyšetrovaní, v rámci ktorých agentúra požiadala o pomoc dvoch externých vyšetrovateľov; konštatuje, že v oboch prípadoch boli vyšetrovania uzavreté bez prijatia ďalších opatrení, pričom v súvislosti s jedným z nich sa začalo súdne konanie; vyzýva agentúru, aby orgán udeľujúci absolutórium informovala o výsledku tejto veci;</w:t>
      </w:r>
    </w:p>
    <w:p w:rsidR="00C26704" w:rsidRPr="000B3BE7" w:rsidRDefault="008F11E9">
      <w:pPr>
        <w:pStyle w:val="NormalHanging12a"/>
        <w:rPr>
          <w:szCs w:val="24"/>
        </w:rPr>
      </w:pPr>
      <w:r w:rsidRPr="000B3BE7">
        <w:t>16.</w:t>
      </w:r>
      <w:r w:rsidRPr="000B3BE7">
        <w:tab/>
        <w:t>zdôrazňuje, že v roku 2022 agentúra prijala vykonávacie predpisy k služobnému poriadku týkajúce sa okrem iného vedenia administratívnych vyšetrovaní a disciplinárnych konaní, dovolenky na návštevu domova pre zamestnancov slúžiacich v tretej krajine a vyplácania príspevku na vzdelávanie poskytovaného zamestnancom podľa určitých podmienok; víta opatrenia, ktoré agentúra prijala na integráciu osôb so zdravotným postihnutím, ako aj záväzok agentúry prijať v rámci vykonávania stratégie ľudských zdrojov Chartu o rozmanitosti a začlenení, ktorú schválila pracovná skupina siete JHA pre diverzitu a inklúziu;</w:t>
      </w:r>
    </w:p>
    <w:p w:rsidR="00C26704" w:rsidRPr="000B3BE7" w:rsidRDefault="008F11E9">
      <w:pPr>
        <w:pStyle w:val="NormalHanging12a"/>
      </w:pPr>
      <w:r w:rsidRPr="000B3BE7">
        <w:t>17.</w:t>
      </w:r>
      <w:r w:rsidRPr="000B3BE7">
        <w:tab/>
        <w:t xml:space="preserve">konštatuje, že zamestnanci agentúry pracovali do marca 2022 predovšetkým na diaľku; berie na vedomie, že od apríla 2022 sa všetci zamestnanci vrátili do priestorov agentúry; v tejto súvislosti konštatuje, že agentúra zaviedla prechodné opatrenia týkajúce sa práce v kancelárii a </w:t>
      </w:r>
      <w:proofErr w:type="spellStart"/>
      <w:r w:rsidRPr="000B3BE7">
        <w:t>telepráce</w:t>
      </w:r>
      <w:proofErr w:type="spellEnd"/>
      <w:r w:rsidRPr="000B3BE7">
        <w:t xml:space="preserve"> a zorganizovala workshopy s cieľom pomôcť zamestnancom psychicky sa prispôsobiť návratu do kancelárie po nepretržitej </w:t>
      </w:r>
      <w:proofErr w:type="spellStart"/>
      <w:r w:rsidRPr="000B3BE7">
        <w:t>telepráci</w:t>
      </w:r>
      <w:proofErr w:type="spellEnd"/>
      <w:r w:rsidRPr="000B3BE7">
        <w:t xml:space="preserve"> trvajúcej dva roky; konštatuje aj, že z výsledkov prieskumu agentúry medzi zamestnancami v roku 2023 vyplýva, že opatreniami sociálneho zabezpečenia, ktoré agentúra prijala v roku 2022, sa účinne zmiernil vplyv, ktorý mal rozšírený režim </w:t>
      </w:r>
      <w:proofErr w:type="spellStart"/>
      <w:r w:rsidRPr="000B3BE7">
        <w:t>telepráce</w:t>
      </w:r>
      <w:proofErr w:type="spellEnd"/>
      <w:r w:rsidRPr="000B3BE7">
        <w:t xml:space="preserve"> na zamestnancov; konštatuje, že 96 % respondentov vyjadrilo pozitívny názor na schopnosť koordinovať prácu s členmi tímu napriek tomu, že pracovali na rôznych miestach;</w:t>
      </w:r>
    </w:p>
    <w:p w:rsidR="00C26704" w:rsidRPr="000B3BE7" w:rsidRDefault="008F11E9">
      <w:pPr>
        <w:pStyle w:val="NormalHanging12a"/>
        <w:rPr>
          <w:b/>
          <w:i/>
        </w:rPr>
      </w:pPr>
      <w:r w:rsidRPr="000B3BE7">
        <w:t>18.</w:t>
      </w:r>
      <w:r w:rsidRPr="000B3BE7">
        <w:tab/>
        <w:t>s uspokojením konštatuje, že k 31. decembru 2022 agentúra zamestnávala personál z 26 členských štátov; konštatuje, že najviac zastúpené štátne príslušnosti medzi zamestnancami agentúry boli holandská, talianska, španielska a rumunská; pripomína význam geografickej rovnováhy a nabáda agentúru, aby naďalej prijímala potrebné opatrenia na zaistenie vyváženého a spravodlivého geografického zastúpenia;</w:t>
      </w:r>
    </w:p>
    <w:p w:rsidR="00C26704" w:rsidRPr="000B3BE7" w:rsidRDefault="008F11E9">
      <w:pPr>
        <w:pStyle w:val="Normal12Hanging"/>
        <w:rPr>
          <w:b/>
          <w:i/>
          <w:szCs w:val="24"/>
          <w:lang w:val="sk-SK"/>
        </w:rPr>
      </w:pPr>
      <w:r w:rsidRPr="000B3BE7">
        <w:rPr>
          <w:b/>
          <w:i/>
          <w:lang w:val="sk-SK"/>
        </w:rPr>
        <w:t>Verejné obstarávanie</w:t>
      </w:r>
    </w:p>
    <w:p w:rsidR="00C26704" w:rsidRPr="000B3BE7" w:rsidRDefault="008F11E9">
      <w:pPr>
        <w:pStyle w:val="NormalHanging12a"/>
      </w:pPr>
      <w:r w:rsidRPr="000B3BE7">
        <w:t>19.</w:t>
      </w:r>
      <w:r w:rsidRPr="000B3BE7">
        <w:tab/>
        <w:t xml:space="preserve">pripomína pripomienku zo správy Dvora audítorov za rok 2020, že rámcová zmluva o lízingu vozidiel s jediným hospodárskym subjektom nie je primeraná povahe požadovaných služieb a že zmluva zadaná ako výsledok postupu, ako aj všetky súvisiace platby sú v rozpore s pravidlami; konštatuje, že podľa správy Dvora audítorov v roku 2022 agentúra vyplatila podľa tejto zmluvy v rozpore s predpismi sumu 59 281 </w:t>
      </w:r>
      <w:r w:rsidRPr="000B3BE7">
        <w:lastRenderedPageBreak/>
        <w:t>EUR a pripomienka je stále otvorená; vyzýva agentúru, aby preskúmala možnosť ukončenia tejto rámcovej zmluvy a začatia nového postupu s opätovným otvorením súťaže, čo Dvor audítorov považuje za primeraný krok v prípade lízingu vozidiel;</w:t>
      </w:r>
    </w:p>
    <w:p w:rsidR="00C26704" w:rsidRPr="000B3BE7" w:rsidRDefault="008F11E9">
      <w:pPr>
        <w:pStyle w:val="NormalHanging12a"/>
        <w:rPr>
          <w:szCs w:val="24"/>
        </w:rPr>
      </w:pPr>
      <w:r w:rsidRPr="000B3BE7">
        <w:t>20.</w:t>
      </w:r>
      <w:r w:rsidRPr="000B3BE7">
        <w:tab/>
        <w:t>berie na vedomie, že podľa nadväzujúcej správy agentúry o absolutóriu za rok 2021 (ďalej len „nadväzujúca správa“) agentúra pokračuje v testovaní nástroja na riadenie verejného obstarávania (PPMT) so zámerom využiť ho pri všetkých nových postupoch verejného obstarávania spustených od roku 2024;</w:t>
      </w:r>
    </w:p>
    <w:p w:rsidR="00C26704" w:rsidRPr="000B3BE7" w:rsidRDefault="008F11E9">
      <w:pPr>
        <w:pStyle w:val="Normal12Hanging"/>
        <w:rPr>
          <w:b/>
          <w:i/>
          <w:szCs w:val="24"/>
          <w:lang w:val="sk-SK"/>
        </w:rPr>
      </w:pPr>
      <w:r w:rsidRPr="000B3BE7">
        <w:rPr>
          <w:b/>
          <w:i/>
          <w:lang w:val="sk-SK"/>
        </w:rPr>
        <w:t>Prevencia, riešenie konfliktov záujmov a transparentnosť</w:t>
      </w:r>
    </w:p>
    <w:p w:rsidR="00C26704" w:rsidRPr="000B3BE7" w:rsidRDefault="008F11E9">
      <w:pPr>
        <w:pStyle w:val="Normal12Hanging"/>
        <w:rPr>
          <w:szCs w:val="24"/>
          <w:lang w:val="sk-SK"/>
        </w:rPr>
      </w:pPr>
      <w:r w:rsidRPr="000B3BE7">
        <w:rPr>
          <w:lang w:val="sk-SK"/>
        </w:rPr>
        <w:t>21.</w:t>
      </w:r>
      <w:r w:rsidRPr="000B3BE7">
        <w:rPr>
          <w:lang w:val="sk-SK"/>
        </w:rPr>
        <w:tab/>
        <w:t>berie na vedomie štandardný prevádzkový postup agentúry, pokiaľ ide o riešenie konfliktov záujmov, ktorý sa vzťahuje na všetkých uchádzačov, ktorým je ponúknuté pracovné miesto v agentúre, nových pracovníkov, zamestnancov, ktorí zmenia pracovné miesto, ako aj všetkých zamestnancov, ktorí odchádzajú z agentúry; zdôrazňuje, že agentúra zaviedla etický kódex pre členov kolégia a výkonnej rady, ale bez pravidiel týkajúcich sa javu otáčavých dverí; konštatuje, že v roku 2022 boli nahlásené a riešené prípady konfliktov záujmov, najmä pokiaľ ide o zapojenie členov kolégia do postupov týkajúcich sa zamestnancov; s uznaním konštatuje, že dotknuté osoby namietli svoju zaujatosť a nezúčastnili sa na rokovaniach a rozhodovaní kolégia v tejto veci;</w:t>
      </w:r>
    </w:p>
    <w:p w:rsidR="00C26704" w:rsidRPr="000B3BE7" w:rsidRDefault="008F11E9">
      <w:pPr>
        <w:pStyle w:val="Normal12Hanging"/>
        <w:rPr>
          <w:szCs w:val="24"/>
          <w:lang w:val="sk-SK"/>
        </w:rPr>
      </w:pPr>
      <w:r w:rsidRPr="000B3BE7">
        <w:rPr>
          <w:lang w:val="sk-SK"/>
        </w:rPr>
        <w:t>22.</w:t>
      </w:r>
      <w:r w:rsidRPr="000B3BE7">
        <w:rPr>
          <w:lang w:val="sk-SK"/>
        </w:rPr>
        <w:tab/>
        <w:t>konštatuje, že hoci agentúra nevedie stretnutia s lobistami, stretnutia výkonnej rady agentúry s externými hosťami, ktorí navštívili agentúru, boli v roku 2022 zverejnené na účte agentúry založenom na sieti Twitter a od roku 2023 aj na verejnom webovom sídle agentúry; vyjadruje hlboké poľutovanie nad tým, že napriek opakovaným výzvam Európskeho parlamentu v niekoľkých uzneseniach o udelení absolutória agentúra stále nezverejňuje na svojom webovom sídle životopisy všetkých svojich vrcholových manažérov a interných a externých odborníkov; nalieha na agentúru, aby uverejnila príslušné životopisy alebo vysvetlila dôvody, prečo to doteraz neurobila;</w:t>
      </w:r>
    </w:p>
    <w:p w:rsidR="00C26704" w:rsidRPr="000B3BE7" w:rsidRDefault="008F11E9">
      <w:pPr>
        <w:pStyle w:val="Normal12Hanging"/>
        <w:rPr>
          <w:b/>
          <w:i/>
          <w:szCs w:val="24"/>
          <w:lang w:val="sk-SK"/>
        </w:rPr>
      </w:pPr>
      <w:r w:rsidRPr="000B3BE7">
        <w:rPr>
          <w:b/>
          <w:i/>
          <w:lang w:val="sk-SK"/>
        </w:rPr>
        <w:t>Vnútorná kontrola</w:t>
      </w:r>
    </w:p>
    <w:p w:rsidR="00C26704" w:rsidRPr="000B3BE7" w:rsidRDefault="008F11E9">
      <w:pPr>
        <w:pStyle w:val="NormalHanging12a"/>
        <w:rPr>
          <w:szCs w:val="24"/>
        </w:rPr>
      </w:pPr>
      <w:r w:rsidRPr="000B3BE7">
        <w:t>23.</w:t>
      </w:r>
      <w:r w:rsidRPr="000B3BE7">
        <w:tab/>
        <w:t>pripomína, že vyšetrovanie, ktoré v roku 2021 viedol úrad OLAF na základe anonymnej sťažnosti v súvislosti s údajnými nezrovnalosťami pri prijímaní zamestnancov, stále prebieha; konštatuje, že v roku 2022 úrad OLAF informoval, že neboli zistené žiadne nezrovnalosti; ďalej v tejto súvislosti konštatuje, že toto vyšetrovanie na konci roka 2022 stále čiastočne prebiehalo, a preto sa z dôvodov dôvernosti úrad OLAF rozhodol, že v tejto fáze nezverejní viac informácií; víta záväzok agentúry vyplývajúci z nadväzujúcej správy informovať včas orgán udeľujúci absolutórium o každom vývoji v tejto veci;</w:t>
      </w:r>
    </w:p>
    <w:p w:rsidR="00C26704" w:rsidRPr="000B3BE7" w:rsidRDefault="008F11E9">
      <w:pPr>
        <w:pStyle w:val="NormalHanging12a"/>
        <w:rPr>
          <w:szCs w:val="24"/>
        </w:rPr>
      </w:pPr>
      <w:r w:rsidRPr="000B3BE7">
        <w:t>24.</w:t>
      </w:r>
      <w:r w:rsidRPr="000B3BE7">
        <w:tab/>
        <w:t xml:space="preserve">konštatuje, že na konci roka 2022 bolo značne oneskorené vykonávanie štyroch odporúčaní Útvaru Komisie pre vnútorný audit (ďalej len „IAS“) vydaných v rokoch 2019 a 2021; v tejto súvislosti konštatuje, že pokiaľ ide o odporúčanie IAS z roku 2021 z vlastnej iniciatívy o operačných úlohách, príslušná interná pracovná skupina agentúry sa dohodla na strategickom dokumente a akčnom pláne s krátkodobými a strednodobými opatreniami, z ktorých niektoré boli zavedené už v roku 2023, pričom podľa konečného hodnotenia IAS agentúra označila toto odporúčanie za vykonané; ďalej berie na vedomie, že podľa nadväzujúcej správy, pokiaľ ide o odporúčanie IAS z roku 2021, aby agentúra vykonala prieskum </w:t>
      </w:r>
      <w:proofErr w:type="spellStart"/>
      <w:r w:rsidRPr="000B3BE7">
        <w:t>iCAT</w:t>
      </w:r>
      <w:proofErr w:type="spellEnd"/>
      <w:r w:rsidRPr="000B3BE7">
        <w:t xml:space="preserve"> s cieľom posilniť hodnotenie mäkkých kontrol, začatie tohto prieskumu plánovaného na 4. štvrťrok v roku 2022 sa </w:t>
      </w:r>
      <w:r w:rsidRPr="000B3BE7">
        <w:lastRenderedPageBreak/>
        <w:t xml:space="preserve">oneskorilo z dôvodu realizácie veľkých </w:t>
      </w:r>
      <w:proofErr w:type="spellStart"/>
      <w:r w:rsidRPr="000B3BE7">
        <w:t>medziorganizačných</w:t>
      </w:r>
      <w:proofErr w:type="spellEnd"/>
      <w:r w:rsidRPr="000B3BE7">
        <w:t xml:space="preserve"> projektov (napr. systém SUMMA), zvýšenia pracovného zaťaženia vyplývajúceho z nových priorít súvisiacich s vojnou na Ukrajine a prechodného obdobia medzi odchodom predchádzajúceho administratívneho riaditeľa a vymenovaním nového; konštatuje v tejto súvislosti, že relevantné otázky v súvislosti s </w:t>
      </w:r>
      <w:proofErr w:type="spellStart"/>
      <w:r w:rsidRPr="000B3BE7">
        <w:t>iCAT</w:t>
      </w:r>
      <w:proofErr w:type="spellEnd"/>
      <w:r w:rsidRPr="000B3BE7">
        <w:t xml:space="preserve"> boli zapracované do prieskumu zapojenia agentúry (SES), ktorý sa začal v 2. štvrťroku 2023; napokon konštatuje, že podľa konečného hodnotenia IAS sa aj toto odporúčanie považuje za vykonané agentúrou; vyzýva agentúru, aby urýchlila vykonávanie ostatných otvorených odporúčaní IAS a najmä tých, ktorých vykonanie sa značne oneskorilo;</w:t>
      </w:r>
    </w:p>
    <w:p w:rsidR="00C26704" w:rsidRPr="000B3BE7" w:rsidRDefault="008F11E9">
      <w:pPr>
        <w:pStyle w:val="NormalHanging12a"/>
      </w:pPr>
      <w:r w:rsidRPr="000B3BE7">
        <w:t>25.</w:t>
      </w:r>
      <w:r w:rsidRPr="000B3BE7">
        <w:tab/>
        <w:t>so znepokojením si berie na vedomie významný nárast počtu a hodnoty prípadov nedodržiavania predpisov v roku 2022 (43 prípadov v hodnote 294 000 EUR) v porovnaní s rokom 2021 (33 prípadov v hodnote 18 000 EUR), pričom tieto prípady súviseli najmä s problémami ako faktúra, ktorej hodnota prevyšuje hodnotu právneho záväzku, rozpočtový záväzok realizovaný po postúpení právneho záväzku alebo chýbajúca objednávka alebo konkrétna zmluva; konštatuje, že agentúra vysvetľuje, že tento nárast súvisí s ťažkosťami, ktoré vyplynuli z rozpočtového a finančného riadenia v roku 2022 v dôsledku zavedenia systému SUMMA; vyzýva agentúru, aby sa zaoberala týmito pripomienkami a preskúmala modely, aby k týmto situáciám už v budúcnosti nedochádzalo;</w:t>
      </w:r>
    </w:p>
    <w:p w:rsidR="00C26704" w:rsidRPr="000B3BE7" w:rsidRDefault="008F11E9">
      <w:pPr>
        <w:pStyle w:val="NormalHanging12a"/>
        <w:rPr>
          <w:szCs w:val="24"/>
        </w:rPr>
      </w:pPr>
      <w:r w:rsidRPr="000B3BE7">
        <w:t>26.</w:t>
      </w:r>
      <w:r w:rsidRPr="000B3BE7">
        <w:tab/>
        <w:t>konštatuje, že v roku 2022 boli zavedené a fungovali prvky a zásady rámca vnútornej kontroly agentúry a systém bol celkovo efektívny, pričom boli potrebné určité zlepšenia, napríklad pokiaľ ide o zavedenie systému SUMMA a potrebu prijať plán obnovy systému po havárii; oceňuje agentúru za prijatie pravidiel týkajúcich sa citlivých funkcií, návrh posúdenia nákladovej efektívnosti a prínosu vymenovania oddelenia vnútorného auditu (IAC) a za to, že v roku 2022 neboli vydané žiadne kritické audítorské odporúčania alebo pripomienky; vyzýva agentúru, aby orgán udeľujúci absolutórium informovala o výsledku tohto posúdenia týkajúceho sa útvaru vnútorného auditu; napokon oceňuje agentúru za ďalšie kroky, ktoré v roku 2021 prijala v nadväznosti na prijatie stratégie boja proti podvodom; v tomto zmysle konštatuje, že v roku 2022 agentúra prijala nové interné postupy týkajúce sa riadenia aktív a inventáru;</w:t>
      </w:r>
    </w:p>
    <w:p w:rsidR="00C26704" w:rsidRPr="000B3BE7" w:rsidRDefault="008F11E9">
      <w:pPr>
        <w:pStyle w:val="Normal12Hanging"/>
        <w:rPr>
          <w:b/>
          <w:i/>
          <w:szCs w:val="24"/>
          <w:lang w:val="sk-SK"/>
        </w:rPr>
      </w:pPr>
      <w:r w:rsidRPr="000B3BE7">
        <w:rPr>
          <w:b/>
          <w:i/>
          <w:lang w:val="sk-SK"/>
        </w:rPr>
        <w:t>Ďalšie pripomienky</w:t>
      </w:r>
    </w:p>
    <w:p w:rsidR="00C26704" w:rsidRPr="000B3BE7" w:rsidRDefault="008F11E9">
      <w:pPr>
        <w:pStyle w:val="Normal12Hanging"/>
        <w:rPr>
          <w:szCs w:val="24"/>
          <w:lang w:val="sk-SK"/>
        </w:rPr>
      </w:pPr>
      <w:r w:rsidRPr="000B3BE7">
        <w:rPr>
          <w:lang w:val="sk-SK"/>
        </w:rPr>
        <w:t>27.</w:t>
      </w:r>
      <w:r w:rsidRPr="000B3BE7">
        <w:rPr>
          <w:lang w:val="sk-SK"/>
        </w:rPr>
        <w:tab/>
        <w:t>oceňuje agentúru za to, že investuje do svojich komunikačných aktivít s cieľom zviditeľniť agentúru a zlepšiť pochopenie jej práce a osloviť široké publikum; konštatuje, že vďaka tomu sa v roku 2022 v porovnaní s rokom 2021 zvýšili ukazovatele v oblasti sociálnych médií agentúry o 40 %, zvýšil sa počet návštevníkov webového sídla agentúry o takmer 100 % a zvýšil sa počet tlačových správ a spravodajských príspevkov o 16 %, pričom podľa posledného ukazovateľa došlo k takmer päťnásobnému nárastu zmienok v porovnaní s rokom 2021;</w:t>
      </w:r>
    </w:p>
    <w:p w:rsidR="00C26704" w:rsidRPr="000B3BE7" w:rsidRDefault="008F11E9">
      <w:pPr>
        <w:pStyle w:val="Normal12Hanging"/>
        <w:rPr>
          <w:szCs w:val="24"/>
          <w:lang w:val="sk-SK"/>
        </w:rPr>
      </w:pPr>
      <w:r w:rsidRPr="000B3BE7">
        <w:rPr>
          <w:lang w:val="sk-SK"/>
        </w:rPr>
        <w:t>28.</w:t>
      </w:r>
      <w:r w:rsidRPr="000B3BE7">
        <w:rPr>
          <w:lang w:val="sk-SK"/>
        </w:rPr>
        <w:tab/>
        <w:t xml:space="preserve">oceňuje agentúru za to, že v roku 2022 sa naďalej snažila posilňovať dodržiavanie predpisov o ochrane údajov; víta posilnenie tímu úradníka agentúry pre ochranu údajov o ďalších dvoch zamestnancov, ktorým boli pridelené nové úlohy v súvislosti s </w:t>
      </w:r>
      <w:r w:rsidRPr="000B3BE7">
        <w:rPr>
          <w:lang w:val="sk-SK"/>
        </w:rPr>
        <w:lastRenderedPageBreak/>
        <w:t>nariadením (EÚ) 2018/1725</w:t>
      </w:r>
      <w:r w:rsidRPr="000B3BE7">
        <w:rPr>
          <w:rStyle w:val="FootnoteReference"/>
          <w:lang w:val="sk-SK"/>
        </w:rPr>
        <w:footnoteReference w:id="12"/>
      </w:r>
      <w:r w:rsidRPr="000B3BE7">
        <w:rPr>
          <w:lang w:val="sk-SK"/>
        </w:rPr>
        <w:t xml:space="preserve"> a rozšírením mandátu agentúry o oblasť najzávažnejších medzinárodných trestných činov, čím sa zvyšujú požiadavky na ochranu údajov; konštatuje, že v roku 2022 úradník pre ochranu údajov a európsky dozorný úradník pre ochranu údajov pokračovali v pravidelných (dvojmesačných) stretnutiach, ako aj ad hoc stretnutiach a konzultáciách o rôznych otázkach týkajúcich sa ochrany údajov, ako sú porušenia ochrany údajov a sťažnosti a iné;</w:t>
      </w:r>
    </w:p>
    <w:p w:rsidR="00C26704" w:rsidRPr="000B3BE7" w:rsidRDefault="008F11E9">
      <w:pPr>
        <w:pStyle w:val="Normal12Hanging"/>
        <w:rPr>
          <w:szCs w:val="24"/>
          <w:lang w:val="sk-SK"/>
        </w:rPr>
      </w:pPr>
      <w:r w:rsidRPr="000B3BE7">
        <w:rPr>
          <w:lang w:val="sk-SK"/>
        </w:rPr>
        <w:t>29.</w:t>
      </w:r>
      <w:r w:rsidRPr="000B3BE7">
        <w:rPr>
          <w:lang w:val="sk-SK"/>
        </w:rPr>
        <w:tab/>
        <w:t xml:space="preserve">ďalej oceňuje agentúru za to, že v roku 2022 realizovala niekoľko opatrení s cieľom zvýšiť kybernetickú bezpečnosť a ochranu digitálnych záznamov v jej držbe, ako je využívanie centrálne spravovaných a zabezpečených pracovných mobilných telefónov, zavedenie interných stretnutí na zvyšovanie povedomia </w:t>
      </w:r>
      <w:proofErr w:type="spellStart"/>
      <w:r w:rsidRPr="000B3BE7">
        <w:rPr>
          <w:lang w:val="sk-SK"/>
        </w:rPr>
        <w:t>CyberCafe</w:t>
      </w:r>
      <w:proofErr w:type="spellEnd"/>
      <w:r w:rsidRPr="000B3BE7">
        <w:rPr>
          <w:lang w:val="sk-SK"/>
        </w:rPr>
        <w:t xml:space="preserve"> a realizácia ochrany proti distribuovaným útokom na vyradenie služby a iné;</w:t>
      </w:r>
    </w:p>
    <w:p w:rsidR="00C26704" w:rsidRPr="000B3BE7" w:rsidRDefault="008F11E9">
      <w:pPr>
        <w:pStyle w:val="NormalCenter12a"/>
      </w:pPr>
      <w:r w:rsidRPr="000B3BE7">
        <w:t>°</w:t>
      </w:r>
    </w:p>
    <w:p w:rsidR="00C26704" w:rsidRPr="000B3BE7" w:rsidRDefault="008F11E9">
      <w:pPr>
        <w:pStyle w:val="NormalCenter12a"/>
      </w:pPr>
      <w:r w:rsidRPr="000B3BE7">
        <w:t>°</w:t>
      </w:r>
      <w:r w:rsidRPr="000B3BE7">
        <w:tab/>
        <w:t>°</w:t>
      </w:r>
    </w:p>
    <w:p w:rsidR="00C26704" w:rsidRPr="000B3BE7" w:rsidRDefault="008F11E9">
      <w:pPr>
        <w:pStyle w:val="Normal12Hanging"/>
        <w:rPr>
          <w:lang w:val="sk-SK"/>
        </w:rPr>
      </w:pPr>
      <w:r w:rsidRPr="000B3BE7">
        <w:rPr>
          <w:lang w:val="sk-SK"/>
        </w:rPr>
        <w:t>30.</w:t>
      </w:r>
      <w:r w:rsidRPr="000B3BE7">
        <w:rPr>
          <w:lang w:val="sk-SK"/>
        </w:rPr>
        <w:tab/>
        <w:t>pokiaľ ide o ďalšie pripomienky horizontálnej povahy, ktoré sú súčasťou rozhodnutia o absolutóriu, odvoláva sa na svoje uznesenie z 11. apríla 2024</w:t>
      </w:r>
      <w:r w:rsidRPr="000B3BE7">
        <w:rPr>
          <w:szCs w:val="24"/>
          <w:vertAlign w:val="superscript"/>
          <w:lang w:val="sk-SK"/>
        </w:rPr>
        <w:footnoteReference w:id="13"/>
      </w:r>
      <w:r w:rsidRPr="000B3BE7">
        <w:rPr>
          <w:vertAlign w:val="superscript"/>
          <w:lang w:val="sk-SK"/>
        </w:rPr>
        <w:t xml:space="preserve"> </w:t>
      </w:r>
      <w:r w:rsidRPr="000B3BE7">
        <w:rPr>
          <w:lang w:val="sk-SK"/>
        </w:rPr>
        <w:t>o výkonnosti, finančnom riadení a kontrole agentúr.</w:t>
      </w:r>
    </w:p>
    <w:p w:rsidR="00C26704" w:rsidRPr="000B3BE7" w:rsidRDefault="00C26704">
      <w:bookmarkStart w:id="9" w:name="TextBodyEnd"/>
      <w:bookmarkEnd w:id="9"/>
    </w:p>
    <w:sectPr w:rsidR="00C26704" w:rsidRPr="000B3BE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6704" w:rsidRDefault="008F11E9">
      <w:r>
        <w:separator/>
      </w:r>
    </w:p>
  </w:endnote>
  <w:endnote w:type="continuationSeparator" w:id="0">
    <w:p w:rsidR="00C26704" w:rsidRDefault="008F1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704" w:rsidRDefault="008F11E9">
    <w:pPr>
      <w:pStyle w:val="EPFooter"/>
    </w:pPr>
    <w:r>
      <w:t>PE</w:t>
    </w:r>
    <w:r>
      <w:rPr>
        <w:rStyle w:val="HideTWBExt"/>
      </w:rPr>
      <w:t>&lt;</w:t>
    </w:r>
    <w:proofErr w:type="spellStart"/>
    <w:r>
      <w:rPr>
        <w:rStyle w:val="HideTWBExt"/>
      </w:rPr>
      <w:t>NoPE</w:t>
    </w:r>
    <w:proofErr w:type="spellEnd"/>
    <w:r>
      <w:rPr>
        <w:rStyle w:val="HideTWBExt"/>
      </w:rPr>
      <w:t>&gt;</w:t>
    </w:r>
    <w:r>
      <w:t>753.539</w:t>
    </w:r>
    <w:r>
      <w:rPr>
        <w:rStyle w:val="HideTWBExt"/>
      </w:rPr>
      <w:t>&lt;/</w:t>
    </w:r>
    <w:proofErr w:type="spellStart"/>
    <w:r>
      <w:rPr>
        <w:rStyle w:val="HideTWBExt"/>
      </w:rPr>
      <w:t>NoPE</w:t>
    </w:r>
    <w:proofErr w:type="spellEnd"/>
    <w:r>
      <w:rPr>
        <w:rStyle w:val="HideTWBExt"/>
      </w:rPr>
      <w:t>&gt;&lt;Version&gt;</w:t>
    </w:r>
    <w:r>
      <w:t>v02-00</w:t>
    </w:r>
    <w:r>
      <w:rPr>
        <w:rStyle w:val="HideTWBExt"/>
      </w:rPr>
      <w:t>&lt;/</w:t>
    </w:r>
    <w:proofErr w:type="spellStart"/>
    <w:r>
      <w:rPr>
        <w:rStyle w:val="HideTWBExt"/>
      </w:rPr>
      <w:t>Version</w:t>
    </w:r>
    <w:proofErr w:type="spellEnd"/>
    <w:r>
      <w:rPr>
        <w:rStyle w:val="HideTWBExt"/>
      </w:rPr>
      <w:t>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fldChar w:fldCharType="end"/>
    </w:r>
    <w:r>
      <w:t>/</w:t>
    </w:r>
    <w:fldSimple w:instr=" NUMPAGES  \* MERGEFORMAT ">
      <w:r>
        <w:rPr>
          <w:noProof/>
        </w:rPr>
        <w:t>4</w:t>
      </w:r>
    </w:fldSimple>
    <w:r>
      <w:tab/>
    </w:r>
    <w:r>
      <w:rPr>
        <w:rStyle w:val="HideTWBExt"/>
      </w:rPr>
      <w:t>&lt;PathFdR&gt;</w:t>
    </w:r>
    <w:r>
      <w:t>RR\1298768SK.docx</w:t>
    </w:r>
    <w:r>
      <w:rPr>
        <w:rStyle w:val="HideTWBExt"/>
      </w:rPr>
      <w:t>&lt;/</w:t>
    </w:r>
    <w:proofErr w:type="spellStart"/>
    <w:r>
      <w:rPr>
        <w:rStyle w:val="HideTWBExt"/>
      </w:rPr>
      <w:t>PathFdR</w:t>
    </w:r>
    <w:proofErr w:type="spellEnd"/>
    <w:r>
      <w:rPr>
        <w:rStyle w:val="HideTWBExt"/>
      </w:rPr>
      <w:t>&gt;</w:t>
    </w:r>
  </w:p>
  <w:p w:rsidR="00C26704" w:rsidRDefault="008F11E9">
    <w:pPr>
      <w:pStyle w:val="EPFooter2"/>
    </w:pPr>
    <w:r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704" w:rsidRDefault="008F11E9">
    <w:pPr>
      <w:pStyle w:val="EPFooter"/>
    </w:pPr>
    <w:r>
      <w:rPr>
        <w:rStyle w:val="HideTWBExt"/>
      </w:rPr>
      <w:t>&lt;PathFdR&gt;</w:t>
    </w:r>
    <w:r>
      <w:t>RR\1298768SK.docx</w:t>
    </w:r>
    <w:r>
      <w:rPr>
        <w:rStyle w:val="HideTWBExt"/>
      </w:rPr>
      <w:t>&lt;/</w:t>
    </w:r>
    <w:proofErr w:type="spellStart"/>
    <w:r>
      <w:rPr>
        <w:rStyle w:val="HideTWBExt"/>
      </w:rPr>
      <w:t>PathFdR</w:t>
    </w:r>
    <w:proofErr w:type="spellEnd"/>
    <w:r>
      <w:rPr>
        <w:rStyle w:val="HideTWBExt"/>
      </w:rPr>
      <w:t>&gt;</w:t>
    </w:r>
    <w:r>
      <w:tab/>
    </w:r>
    <w:r>
      <w:tab/>
      <w:t>PE</w:t>
    </w:r>
    <w:r>
      <w:rPr>
        <w:rStyle w:val="HideTWBExt"/>
      </w:rPr>
      <w:t>&lt;</w:t>
    </w:r>
    <w:proofErr w:type="spellStart"/>
    <w:r>
      <w:rPr>
        <w:rStyle w:val="HideTWBExt"/>
      </w:rPr>
      <w:t>NoPE</w:t>
    </w:r>
    <w:proofErr w:type="spellEnd"/>
    <w:r>
      <w:rPr>
        <w:rStyle w:val="HideTWBExt"/>
      </w:rPr>
      <w:t>&gt;</w:t>
    </w:r>
    <w:r>
      <w:t>753.539</w:t>
    </w:r>
    <w:r>
      <w:rPr>
        <w:rStyle w:val="HideTWBExt"/>
      </w:rPr>
      <w:t>&lt;/</w:t>
    </w:r>
    <w:proofErr w:type="spellStart"/>
    <w:r>
      <w:rPr>
        <w:rStyle w:val="HideTWBExt"/>
      </w:rPr>
      <w:t>NoPE</w:t>
    </w:r>
    <w:proofErr w:type="spellEnd"/>
    <w:r>
      <w:rPr>
        <w:rStyle w:val="HideTWBExt"/>
      </w:rPr>
      <w:t>&gt;&lt;Version&gt;</w:t>
    </w:r>
    <w:r>
      <w:t>v02-00</w:t>
    </w:r>
    <w:r>
      <w:rPr>
        <w:rStyle w:val="HideTWBExt"/>
      </w:rPr>
      <w:t>&lt;/</w:t>
    </w:r>
    <w:proofErr w:type="spellStart"/>
    <w:r>
      <w:rPr>
        <w:rStyle w:val="HideTWBExt"/>
      </w:rPr>
      <w:t>Version</w:t>
    </w:r>
    <w:proofErr w:type="spellEnd"/>
    <w:r>
      <w:rPr>
        <w:rStyle w:val="HideTWBExt"/>
      </w:rPr>
      <w:t>&gt;</w:t>
    </w:r>
  </w:p>
  <w:p w:rsidR="00C26704" w:rsidRDefault="008F11E9">
    <w:pPr>
      <w:pStyle w:val="EPFooter2"/>
    </w:pPr>
    <w:r>
      <w:t>SK</w:t>
    </w:r>
    <w:r>
      <w:tab/>
    </w:r>
    <w:r>
      <w:rPr>
        <w:b w:val="0"/>
        <w:i/>
        <w:color w:val="C0C0C0"/>
        <w:sz w:val="22"/>
      </w:rPr>
      <w:t>Zjednotení v rozmanitosti</w:t>
    </w:r>
    <w:r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704" w:rsidRDefault="00C2670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704" w:rsidRDefault="00C26704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704" w:rsidRDefault="00C2670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6704" w:rsidRDefault="008F11E9">
      <w:r>
        <w:separator/>
      </w:r>
    </w:p>
  </w:footnote>
  <w:footnote w:type="continuationSeparator" w:id="0">
    <w:p w:rsidR="00C26704" w:rsidRDefault="008F11E9">
      <w:r>
        <w:continuationSeparator/>
      </w:r>
    </w:p>
  </w:footnote>
  <w:footnote w:id="1">
    <w:p w:rsidR="00C26704" w:rsidRDefault="008F11E9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C, C/2023/594, 27.10.2023.</w:t>
      </w:r>
    </w:p>
  </w:footnote>
  <w:footnote w:id="2">
    <w:p w:rsidR="00C26704" w:rsidRDefault="008F11E9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C, C/2023/112, 12.10.2023.</w:t>
      </w:r>
    </w:p>
  </w:footnote>
  <w:footnote w:id="3">
    <w:p w:rsidR="00C26704" w:rsidRDefault="008F11E9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193, 30.7.2018, s. 1.</w:t>
      </w:r>
    </w:p>
  </w:footnote>
  <w:footnote w:id="4">
    <w:p w:rsidR="00C26704" w:rsidRDefault="008F11E9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295, 21.11.2018, s. 138.</w:t>
      </w:r>
    </w:p>
  </w:footnote>
  <w:footnote w:id="5">
    <w:p w:rsidR="00C26704" w:rsidRDefault="008F11E9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122, 10.5.2019, s. 1.</w:t>
      </w:r>
    </w:p>
  </w:footnote>
  <w:footnote w:id="6">
    <w:p w:rsidR="00C26704" w:rsidRDefault="008F11E9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C, C/2023/594, 27.10.2023.</w:t>
      </w:r>
    </w:p>
  </w:footnote>
  <w:footnote w:id="7">
    <w:p w:rsidR="00C26704" w:rsidRDefault="008F11E9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C, C/2023/112, 12.10.2023.</w:t>
      </w:r>
    </w:p>
  </w:footnote>
  <w:footnote w:id="8">
    <w:p w:rsidR="00C26704" w:rsidRDefault="008F11E9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193, 30.7.2018, s. 1.</w:t>
      </w:r>
    </w:p>
  </w:footnote>
  <w:footnote w:id="9">
    <w:p w:rsidR="00C26704" w:rsidRDefault="008F11E9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295, 21.11.2018, s. 138.</w:t>
      </w:r>
    </w:p>
  </w:footnote>
  <w:footnote w:id="10">
    <w:p w:rsidR="00C26704" w:rsidRDefault="008F11E9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122, 10.5.2019, s. 1.</w:t>
      </w:r>
    </w:p>
  </w:footnote>
  <w:footnote w:id="11">
    <w:p w:rsidR="00C26704" w:rsidRDefault="008F11E9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38, 31.1.2023, s. 194.</w:t>
      </w:r>
    </w:p>
  </w:footnote>
  <w:footnote w:id="12">
    <w:p w:rsidR="008F11E9" w:rsidRPr="0045135E" w:rsidRDefault="008F11E9" w:rsidP="0045135E">
      <w:pPr>
        <w:pStyle w:val="FootnoteText"/>
        <w:ind w:left="567" w:hanging="567"/>
        <w:rPr>
          <w:lang w:val="sk-SK"/>
        </w:rPr>
      </w:pPr>
      <w:r>
        <w:rPr>
          <w:rStyle w:val="FootnoteReference"/>
        </w:rPr>
        <w:footnoteRef/>
      </w:r>
      <w:r w:rsidRPr="0045135E">
        <w:rPr>
          <w:lang w:val="sk-SK"/>
        </w:rPr>
        <w:t xml:space="preserve"> </w:t>
      </w:r>
      <w:r>
        <w:rPr>
          <w:lang w:val="sk-SK"/>
        </w:rPr>
        <w:tab/>
      </w:r>
      <w:r w:rsidRPr="0045135E">
        <w:rPr>
          <w:bCs/>
          <w:sz w:val="24"/>
          <w:szCs w:val="24"/>
          <w:lang w:val="sk-SK"/>
        </w:rPr>
        <w:t>Nariadenie Európskeho parlamentu a Rady (EÚ) 2018/1725 z 23. októbra 2018 o ochrane fyzických osôb pri spracúvaní osobných údajov inštitúciami, orgánmi, úradmi a agentúrami Únie a o voľnom pohybe takýchto údajov, ktorým sa zrušuje nariadenie (ES) č. 45/2001 a rozhodnutie č. 1247/2002/ES (</w:t>
      </w:r>
      <w:r w:rsidRPr="0045135E">
        <w:rPr>
          <w:bCs/>
          <w:iCs/>
          <w:sz w:val="24"/>
          <w:szCs w:val="24"/>
          <w:lang w:val="sk-SK"/>
        </w:rPr>
        <w:t>Ú. v. EÚ L 295, 21.11.2018, s. 39).</w:t>
      </w:r>
    </w:p>
  </w:footnote>
  <w:footnote w:id="13">
    <w:p w:rsidR="00C26704" w:rsidRDefault="008F11E9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P9_TA(2024)0</w:t>
      </w:r>
      <w:r w:rsidR="000E43E9">
        <w:rPr>
          <w:sz w:val="24"/>
          <w:lang w:val="sk-SK"/>
        </w:rPr>
        <w:t>280</w:t>
      </w:r>
      <w:r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704" w:rsidRDefault="00C2670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704" w:rsidRDefault="00C2670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704" w:rsidRDefault="00C2670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99/2024"/>
    <w:docVar w:name="dvlangue" w:val="SK"/>
    <w:docVar w:name="dvnumam" w:val="0"/>
    <w:docVar w:name="dvpe" w:val="753.539"/>
    <w:docVar w:name="dvrapporteur" w:val="Spravodajca: "/>
    <w:docVar w:name="dvtitre" w:val="1. Rozhodnutie Európskeho parlamentu z 11. apríla 2024 o absolutóriu za plnenie rozpočtu Agentúry Európskej únie pre justičnú spoluprácu v trestných veciach (Eurojust) za rozpočtový rok 2022(2023/2168(DEC))"/>
  </w:docVars>
  <w:rsids>
    <w:rsidRoot w:val="00C26704"/>
    <w:rsid w:val="000B3BE7"/>
    <w:rsid w:val="000E43E9"/>
    <w:rsid w:val="001A17B9"/>
    <w:rsid w:val="0045135E"/>
    <w:rsid w:val="00701A0D"/>
    <w:rsid w:val="008F11E9"/>
    <w:rsid w:val="008F5E4F"/>
    <w:rsid w:val="00AA721C"/>
    <w:rsid w:val="00AE315F"/>
    <w:rsid w:val="00BD55BE"/>
    <w:rsid w:val="00C25866"/>
    <w:rsid w:val="00C26704"/>
    <w:rsid w:val="00DD0366"/>
    <w:rsid w:val="00FA1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C04BED"/>
  <w15:chartTrackingRefBased/>
  <w15:docId w15:val="{EFDEE8C7-7CBF-4155-B635-1831B2EFF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lang w:val="sk-SK"/>
    </w:rPr>
  </w:style>
  <w:style w:type="character" w:customStyle="1" w:styleId="Normal12HangingChar">
    <w:name w:val="Normal12Hanging Char"/>
    <w:link w:val="Normal12Hanging"/>
    <w:locked/>
    <w:rPr>
      <w:sz w:val="24"/>
    </w:rPr>
  </w:style>
  <w:style w:type="paragraph" w:customStyle="1" w:styleId="Normal12Hanging">
    <w:name w:val="Normal12Hanging"/>
    <w:basedOn w:val="Normal"/>
    <w:link w:val="Normal12HangingChar"/>
    <w:pPr>
      <w:spacing w:after="240"/>
      <w:ind w:left="567" w:hanging="567"/>
    </w:pPr>
    <w:rPr>
      <w:lang w:val="en-GB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C243D-E3A0-4BCD-83EC-6B5AB5D2E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4319</Words>
  <Characters>25969</Characters>
  <Application>Microsoft Office Word</Application>
  <DocSecurity>0</DocSecurity>
  <Lines>216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2024-05-15T11:41:00Z</dcterms:created>
  <dcterms:modified xsi:type="dcterms:W3CDTF">2024-05-15T11:41:00Z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P9_TA(2024)0246_</vt:lpwstr>
  </property>
  <property fmtid="{D5CDD505-2E9C-101B-9397-08002B2CF9AE}" pid="4" name="&lt;Type&gt;">
    <vt:lpwstr>RR</vt:lpwstr>
  </property>
</Properties>
</file>