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427C" w:rsidTr="0010095E">
        <w:trPr>
          <w:trHeight w:hRule="exact" w:val="1418"/>
        </w:trPr>
        <w:tc>
          <w:tcPr>
            <w:tcW w:w="6804" w:type="dxa"/>
            <w:shd w:val="clear" w:color="auto" w:fill="auto"/>
            <w:vAlign w:val="center"/>
          </w:tcPr>
          <w:p w:rsidR="00751A4A" w:rsidRPr="00F2427C" w:rsidRDefault="00B516E7" w:rsidP="0010095E">
            <w:pPr>
              <w:pStyle w:val="EPName"/>
            </w:pPr>
            <w:r w:rsidRPr="00F2427C">
              <w:t>Evropski parlament</w:t>
            </w:r>
          </w:p>
          <w:p w:rsidR="00751A4A" w:rsidRPr="00D07971" w:rsidRDefault="00817416" w:rsidP="00756632">
            <w:pPr>
              <w:pStyle w:val="EPTerm"/>
              <w:rPr>
                <w:rStyle w:val="HideTWBExt"/>
                <w:noProof w:val="0"/>
                <w:vanish w:val="0"/>
                <w:color w:val="auto"/>
              </w:rPr>
            </w:pPr>
            <w:r w:rsidRPr="00D07971">
              <w:t>2019-2024</w:t>
            </w:r>
          </w:p>
        </w:tc>
        <w:tc>
          <w:tcPr>
            <w:tcW w:w="2268" w:type="dxa"/>
            <w:shd w:val="clear" w:color="auto" w:fill="auto"/>
          </w:tcPr>
          <w:p w:rsidR="00751A4A" w:rsidRPr="00F2427C" w:rsidRDefault="00187494" w:rsidP="0010095E">
            <w:pPr>
              <w:pStyle w:val="EPLogo"/>
            </w:pPr>
            <w:r w:rsidRPr="00F242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427C" w:rsidRDefault="00D058B8" w:rsidP="004C5D52">
      <w:pPr>
        <w:pStyle w:val="LineTop"/>
      </w:pPr>
    </w:p>
    <w:p w:rsidR="00680577" w:rsidRPr="00F2427C" w:rsidRDefault="00B516E7" w:rsidP="00680577">
      <w:pPr>
        <w:pStyle w:val="EPBodyTA1"/>
      </w:pPr>
      <w:r w:rsidRPr="00F2427C">
        <w:t>SPREJETA BESEDILA</w:t>
      </w:r>
    </w:p>
    <w:p w:rsidR="00D058B8" w:rsidRPr="00F2427C" w:rsidRDefault="00D058B8" w:rsidP="00D058B8">
      <w:pPr>
        <w:pStyle w:val="LineBottom"/>
      </w:pPr>
    </w:p>
    <w:p w:rsidR="00B516E7" w:rsidRPr="00F2427C" w:rsidRDefault="00B516E7" w:rsidP="00B516E7">
      <w:pPr>
        <w:pStyle w:val="ATHeading1"/>
      </w:pPr>
      <w:bookmarkStart w:id="0" w:name="TANumber"/>
      <w:r w:rsidRPr="00F2427C">
        <w:t>P9_TA(2024)</w:t>
      </w:r>
      <w:bookmarkEnd w:id="0"/>
      <w:r w:rsidR="00D07971">
        <w:t>0246</w:t>
      </w:r>
    </w:p>
    <w:p w:rsidR="00B516E7" w:rsidRPr="00F2427C" w:rsidRDefault="00B516E7" w:rsidP="00B516E7">
      <w:pPr>
        <w:pStyle w:val="ATHeading2"/>
      </w:pPr>
      <w:bookmarkStart w:id="1" w:name="title"/>
      <w:r w:rsidRPr="00F2427C">
        <w:t>Razrešnica za leto 2022: Agencija Evropske unije za pravosodno sodelovanje v kazenskih zadevah (</w:t>
      </w:r>
      <w:proofErr w:type="spellStart"/>
      <w:r w:rsidRPr="00F2427C">
        <w:t>Eurojust</w:t>
      </w:r>
      <w:proofErr w:type="spellEnd"/>
      <w:r w:rsidRPr="00F2427C">
        <w:t>)</w:t>
      </w:r>
      <w:bookmarkEnd w:id="1"/>
    </w:p>
    <w:p w:rsidR="00B516E7" w:rsidRPr="00F2427C" w:rsidRDefault="00B516E7" w:rsidP="00B516E7">
      <w:pPr>
        <w:rPr>
          <w:i/>
          <w:vanish/>
        </w:rPr>
      </w:pPr>
      <w:r w:rsidRPr="00F2427C">
        <w:rPr>
          <w:i/>
        </w:rPr>
        <w:fldChar w:fldCharType="begin"/>
      </w:r>
      <w:r w:rsidRPr="00F2427C">
        <w:rPr>
          <w:i/>
        </w:rPr>
        <w:instrText xml:space="preserve"> TC"(</w:instrText>
      </w:r>
      <w:bookmarkStart w:id="2" w:name="DocNumber"/>
      <w:r w:rsidRPr="00F2427C">
        <w:rPr>
          <w:i/>
        </w:rPr>
        <w:instrText>A9-0099/2024</w:instrText>
      </w:r>
      <w:bookmarkEnd w:id="2"/>
      <w:r w:rsidRPr="00F2427C">
        <w:rPr>
          <w:i/>
        </w:rPr>
        <w:instrText xml:space="preserve"> - Poročevalec: Petri </w:instrText>
      </w:r>
      <w:proofErr w:type="spellStart"/>
      <w:r w:rsidRPr="00F2427C">
        <w:rPr>
          <w:i/>
        </w:rPr>
        <w:instrText>Sarvamaa</w:instrText>
      </w:r>
      <w:proofErr w:type="spellEnd"/>
      <w:r w:rsidRPr="00F2427C">
        <w:rPr>
          <w:i/>
        </w:rPr>
        <w:instrText xml:space="preserve">)"\l3 \n&gt; \* MERGEFORMAT </w:instrText>
      </w:r>
      <w:r w:rsidRPr="00F2427C">
        <w:rPr>
          <w:i/>
        </w:rPr>
        <w:fldChar w:fldCharType="end"/>
      </w:r>
    </w:p>
    <w:p w:rsidR="00B516E7" w:rsidRPr="00F2427C" w:rsidRDefault="00B516E7" w:rsidP="00B516E7">
      <w:pPr>
        <w:rPr>
          <w:vanish/>
        </w:rPr>
      </w:pPr>
      <w:bookmarkStart w:id="3" w:name="Commission"/>
      <w:r w:rsidRPr="00F2427C">
        <w:rPr>
          <w:vanish/>
        </w:rPr>
        <w:t>Odbor za proračunski nadzor</w:t>
      </w:r>
      <w:bookmarkEnd w:id="3"/>
    </w:p>
    <w:p w:rsidR="00B516E7" w:rsidRPr="00F2427C" w:rsidRDefault="00B516E7" w:rsidP="00B516E7">
      <w:pPr>
        <w:rPr>
          <w:vanish/>
        </w:rPr>
      </w:pPr>
      <w:bookmarkStart w:id="4" w:name="PE"/>
      <w:r w:rsidRPr="00F2427C">
        <w:rPr>
          <w:vanish/>
        </w:rPr>
        <w:t>PE753.539</w:t>
      </w:r>
      <w:bookmarkEnd w:id="4"/>
    </w:p>
    <w:p w:rsidR="00B516E7" w:rsidRPr="00F2427C" w:rsidRDefault="00591C25" w:rsidP="00B516E7">
      <w:pPr>
        <w:pStyle w:val="ATHeading3"/>
      </w:pPr>
      <w:bookmarkStart w:id="5" w:name="Sujet"/>
      <w:r w:rsidRPr="00F2427C">
        <w:t xml:space="preserve">1. </w:t>
      </w:r>
      <w:r w:rsidR="00B516E7" w:rsidRPr="00F2427C">
        <w:t xml:space="preserve">Sklep Evropskega parlamenta z dne </w:t>
      </w:r>
      <w:r w:rsidRPr="00F2427C">
        <w:t xml:space="preserve">11. aprila </w:t>
      </w:r>
      <w:r w:rsidR="00B516E7" w:rsidRPr="00F2427C">
        <w:t>2024 o razrešnici glede izvrševanja proračuna Agencije Evropske unije za pravosodno sodelovanje v kazenskih zadevah (</w:t>
      </w:r>
      <w:proofErr w:type="spellStart"/>
      <w:r w:rsidR="00B516E7" w:rsidRPr="00F2427C">
        <w:t>Eurojust</w:t>
      </w:r>
      <w:proofErr w:type="spellEnd"/>
      <w:r w:rsidR="00B516E7" w:rsidRPr="00F2427C">
        <w:t>) za proračunsko leto 2022</w:t>
      </w:r>
      <w:bookmarkEnd w:id="5"/>
      <w:r w:rsidR="00B516E7" w:rsidRPr="00F2427C">
        <w:t xml:space="preserve"> </w:t>
      </w:r>
      <w:bookmarkStart w:id="6" w:name="References"/>
      <w:r w:rsidR="00B516E7" w:rsidRPr="00F2427C">
        <w:t>(2023/2168(DEC))</w:t>
      </w:r>
      <w:bookmarkEnd w:id="6"/>
    </w:p>
    <w:p w:rsidR="00EA1BDF" w:rsidRPr="00F2427C" w:rsidRDefault="00EA1BDF" w:rsidP="00EA1BDF">
      <w:pPr>
        <w:pStyle w:val="EPComma"/>
      </w:pPr>
      <w:bookmarkStart w:id="7" w:name="TextBodyBegin"/>
      <w:bookmarkEnd w:id="7"/>
      <w:r w:rsidRPr="00F2427C">
        <w:rPr>
          <w:i/>
        </w:rPr>
        <w:t>Evropski parlament</w:t>
      </w:r>
      <w:r w:rsidRPr="00F2427C">
        <w:t>,</w:t>
      </w:r>
    </w:p>
    <w:p w:rsidR="00EA1BDF" w:rsidRPr="00F2427C" w:rsidRDefault="00EA1BDF" w:rsidP="00EA1BDF">
      <w:pPr>
        <w:pStyle w:val="NormalHanging12a"/>
      </w:pPr>
      <w:r w:rsidRPr="00F2427C">
        <w:t>–</w:t>
      </w:r>
      <w:r w:rsidRPr="00F2427C">
        <w:tab/>
        <w:t>ob upoštevanju končnega zaključnega računa Agencije Evropske unije za pravosodno sodelovanje v kazenskih zadevah (</w:t>
      </w:r>
      <w:proofErr w:type="spellStart"/>
      <w:r w:rsidRPr="00F2427C">
        <w:t>Eurojust</w:t>
      </w:r>
      <w:proofErr w:type="spellEnd"/>
      <w:r w:rsidRPr="00F2427C">
        <w:t>) za proračunsko leto 2022,</w:t>
      </w:r>
    </w:p>
    <w:p w:rsidR="00EA1BDF" w:rsidRPr="00F2427C" w:rsidRDefault="00EA1BDF" w:rsidP="00EA1BDF">
      <w:pPr>
        <w:pStyle w:val="NormalHanging12a"/>
      </w:pPr>
      <w:r w:rsidRPr="00F2427C">
        <w:t>–</w:t>
      </w:r>
      <w:r w:rsidRPr="00F2427C">
        <w:tab/>
        <w:t>ob upoštevanju letnega poročila Računskega sodišča o agencijah EU za proračunsko leto 2022 skupaj z odgovori agencij</w:t>
      </w:r>
      <w:r w:rsidRPr="00F2427C">
        <w:rPr>
          <w:rStyle w:val="FootnoteReference"/>
        </w:rPr>
        <w:footnoteReference w:id="1"/>
      </w:r>
      <w:r w:rsidRPr="00F2427C">
        <w:t>,</w:t>
      </w:r>
    </w:p>
    <w:p w:rsidR="00EA1BDF" w:rsidRPr="00F2427C" w:rsidRDefault="00EA1BDF" w:rsidP="00EA1BDF">
      <w:pPr>
        <w:pStyle w:val="NormalHanging12a"/>
      </w:pPr>
      <w:r w:rsidRPr="00F2427C">
        <w:t>–</w:t>
      </w:r>
      <w:r w:rsidRPr="00F2427C">
        <w:tab/>
        <w:t>ob upoštevanju izjave o zanesljivosti</w:t>
      </w:r>
      <w:r w:rsidRPr="00F2427C">
        <w:rPr>
          <w:rStyle w:val="FootnoteReference"/>
        </w:rPr>
        <w:footnoteReference w:id="2"/>
      </w:r>
      <w:r w:rsidRPr="00F2427C">
        <w:t xml:space="preserve"> računovodskih izkazov ter zakonitosti in pravilnosti z njimi povezanih transakcij, ki jo je za proračunsko leto 2022 v skladu s členom 287 Pogodbe o delovanju Evropske unije pripravilo Računsko sodišče,</w:t>
      </w:r>
    </w:p>
    <w:p w:rsidR="00EA1BDF" w:rsidRPr="00F2427C" w:rsidRDefault="00EA1BDF" w:rsidP="00EA1BDF">
      <w:pPr>
        <w:pStyle w:val="NormalHanging12a"/>
      </w:pPr>
      <w:r w:rsidRPr="00F2427C">
        <w:t>–</w:t>
      </w:r>
      <w:r w:rsidRPr="00F2427C">
        <w:tab/>
        <w:t>ob upoštevanju priporočila Sveta z dne 22. februarja 2024 o podelitvi razrešnice agenciji glede izvrševanja proračuna za proračunsko leto 2022 (</w:t>
      </w:r>
      <w:r w:rsidR="00F2427C" w:rsidRPr="00D07971">
        <w:t>06180</w:t>
      </w:r>
      <w:r w:rsidRPr="00F2427C">
        <w:t>/2024 – C9</w:t>
      </w:r>
      <w:r w:rsidRPr="00F2427C">
        <w:noBreakHyphen/>
      </w:r>
      <w:r w:rsidR="00F2427C" w:rsidRPr="00D07971">
        <w:t>0106</w:t>
      </w:r>
      <w:r w:rsidRPr="00F2427C">
        <w:t>/2024),</w:t>
      </w:r>
    </w:p>
    <w:p w:rsidR="00EA1BDF" w:rsidRPr="00F2427C" w:rsidRDefault="00EA1BDF" w:rsidP="00EA1BDF">
      <w:pPr>
        <w:pStyle w:val="NormalHanging12a"/>
      </w:pPr>
      <w:r w:rsidRPr="00F2427C">
        <w:t>–</w:t>
      </w:r>
      <w:r w:rsidRPr="00F2427C">
        <w:tab/>
        <w:t>ob upoštevanju člena 319 Pogodbe o delovanju Evropske unije,</w:t>
      </w:r>
    </w:p>
    <w:p w:rsidR="00EA1BDF" w:rsidRPr="00F2427C" w:rsidRDefault="00EA1BDF" w:rsidP="00EA1BDF">
      <w:pPr>
        <w:pStyle w:val="NormalHanging12a"/>
      </w:pPr>
      <w:r w:rsidRPr="00F2427C">
        <w:t>–</w:t>
      </w:r>
      <w:r w:rsidRPr="00F2427C">
        <w:tab/>
        <w:t xml:space="preserve">ob upoštevanju Uredbe (EU, </w:t>
      </w:r>
      <w:proofErr w:type="spellStart"/>
      <w:r w:rsidRPr="00F2427C">
        <w:t>Euratom</w:t>
      </w:r>
      <w:proofErr w:type="spellEnd"/>
      <w:r w:rsidRPr="00F2427C">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F2427C">
        <w:t>Euratom</w:t>
      </w:r>
      <w:proofErr w:type="spellEnd"/>
      <w:r w:rsidRPr="00F2427C">
        <w:t>) št. 966/2012</w:t>
      </w:r>
      <w:r w:rsidRPr="00F2427C">
        <w:rPr>
          <w:rStyle w:val="FootnoteReference"/>
        </w:rPr>
        <w:footnoteReference w:id="3"/>
      </w:r>
      <w:r w:rsidRPr="00F2427C">
        <w:t xml:space="preserve"> in zlasti člena 70,</w:t>
      </w:r>
    </w:p>
    <w:p w:rsidR="00EA1BDF" w:rsidRPr="00F2427C" w:rsidRDefault="00EA1BDF" w:rsidP="00EA1BDF">
      <w:pPr>
        <w:pStyle w:val="NormalHanging12a"/>
      </w:pPr>
      <w:r w:rsidRPr="00F2427C">
        <w:lastRenderedPageBreak/>
        <w:t>–</w:t>
      </w:r>
      <w:r w:rsidRPr="00F2427C">
        <w:tab/>
        <w:t>ob upoštevanju Uredbe (EU) 2018/1727 Evropskega parlamenta in Sveta z dne 14. novembra 2018 o Agenciji Evropske unije za pravosodno sodelovanje v kazenskih zadevah (</w:t>
      </w:r>
      <w:proofErr w:type="spellStart"/>
      <w:r w:rsidRPr="00F2427C">
        <w:t>Eurojust</w:t>
      </w:r>
      <w:proofErr w:type="spellEnd"/>
      <w:r w:rsidRPr="00F2427C">
        <w:t>) ter nadomestitvi in razveljavitvi Sklepa Sveta 2002/187/PNZ</w:t>
      </w:r>
      <w:r w:rsidRPr="00F2427C">
        <w:rPr>
          <w:rStyle w:val="FootnoteReference"/>
        </w:rPr>
        <w:footnoteReference w:id="4"/>
      </w:r>
      <w:r w:rsidRPr="00F2427C">
        <w:t xml:space="preserve"> in zlasti člena 63,</w:t>
      </w:r>
    </w:p>
    <w:p w:rsidR="00EA1BDF" w:rsidRPr="00F2427C" w:rsidRDefault="00EA1BDF" w:rsidP="00EA1BDF">
      <w:pPr>
        <w:pStyle w:val="NormalHanging12a"/>
      </w:pPr>
      <w:r w:rsidRPr="00F2427C">
        <w:t>–</w:t>
      </w:r>
      <w:r w:rsidRPr="00F2427C">
        <w:tab/>
        <w:t xml:space="preserve">ob upoštevanju Delegirane uredbe Komisije (EU) 2019/715 z dne 18. decembra 2018 o okvirni finančni uredbi za organe, ustanovljene na podlagi PDEU in Pogodbe </w:t>
      </w:r>
      <w:proofErr w:type="spellStart"/>
      <w:r w:rsidRPr="00F2427C">
        <w:t>Euratom</w:t>
      </w:r>
      <w:proofErr w:type="spellEnd"/>
      <w:r w:rsidRPr="00F2427C">
        <w:t xml:space="preserve">, iz člena 70 Uredbe (EU, </w:t>
      </w:r>
      <w:proofErr w:type="spellStart"/>
      <w:r w:rsidRPr="00F2427C">
        <w:t>Euratom</w:t>
      </w:r>
      <w:proofErr w:type="spellEnd"/>
      <w:r w:rsidRPr="00F2427C">
        <w:t>) 2018/1046 Evropskega parlamenta in Sveta</w:t>
      </w:r>
      <w:r w:rsidRPr="00F2427C">
        <w:rPr>
          <w:rStyle w:val="FootnoteReference"/>
        </w:rPr>
        <w:footnoteReference w:id="5"/>
      </w:r>
      <w:r w:rsidRPr="00F2427C">
        <w:t xml:space="preserve"> in zlasti člena 105,</w:t>
      </w:r>
    </w:p>
    <w:p w:rsidR="00EA1BDF" w:rsidRPr="00F2427C" w:rsidRDefault="00EA1BDF" w:rsidP="00EA1BDF">
      <w:pPr>
        <w:pStyle w:val="NormalHanging12a"/>
      </w:pPr>
      <w:r w:rsidRPr="00F2427C">
        <w:t>–</w:t>
      </w:r>
      <w:r w:rsidRPr="00F2427C">
        <w:tab/>
        <w:t>ob upoštevanju člena 100 in Priloge V Poslovnika,</w:t>
      </w:r>
    </w:p>
    <w:p w:rsidR="00EA1BDF" w:rsidRPr="00F2427C" w:rsidRDefault="00EA1BDF" w:rsidP="00EA1BDF">
      <w:pPr>
        <w:pStyle w:val="NormalHanging12a"/>
      </w:pPr>
      <w:r w:rsidRPr="00F2427C">
        <w:t>–</w:t>
      </w:r>
      <w:r w:rsidRPr="00F2427C">
        <w:tab/>
        <w:t>ob upoštevanju mnenja Odbora za državljanske svoboščine, pravosodje in notranje zadeve,</w:t>
      </w:r>
    </w:p>
    <w:p w:rsidR="00EA1BDF" w:rsidRPr="00F2427C" w:rsidRDefault="00EA1BDF" w:rsidP="00EA1BDF">
      <w:pPr>
        <w:pStyle w:val="NormalHanging12a"/>
      </w:pPr>
      <w:r w:rsidRPr="00F2427C">
        <w:t>–</w:t>
      </w:r>
      <w:r w:rsidRPr="00F2427C">
        <w:tab/>
        <w:t>ob upoštevanju poročila Odbora za proračunski nadzor (A9</w:t>
      </w:r>
      <w:r w:rsidRPr="00F2427C">
        <w:noBreakHyphen/>
        <w:t>0099/2024),</w:t>
      </w:r>
    </w:p>
    <w:p w:rsidR="00EA1BDF" w:rsidRPr="00F2427C" w:rsidRDefault="00EA1BDF" w:rsidP="00EA1BDF">
      <w:pPr>
        <w:pStyle w:val="NormalHanging12a"/>
      </w:pPr>
      <w:r w:rsidRPr="00F2427C">
        <w:t>1.</w:t>
      </w:r>
      <w:r w:rsidRPr="00F2427C">
        <w:tab/>
        <w:t>podeli razrešnico upravnemu direktorju Agencije Evropske unije za pravosodno sodelovanje v kazenskih zadevah (</w:t>
      </w:r>
      <w:proofErr w:type="spellStart"/>
      <w:r w:rsidRPr="00F2427C">
        <w:t>Eurojust</w:t>
      </w:r>
      <w:proofErr w:type="spellEnd"/>
      <w:r w:rsidRPr="00F2427C">
        <w:t>) glede izvrševanja proračuna agencije za proračunsko leto 2022;</w:t>
      </w:r>
    </w:p>
    <w:p w:rsidR="00EA1BDF" w:rsidRPr="00F2427C" w:rsidRDefault="00EA1BDF" w:rsidP="00EA1BDF">
      <w:pPr>
        <w:pStyle w:val="NormalHanging12a"/>
      </w:pPr>
      <w:r w:rsidRPr="00F2427C">
        <w:t>2.</w:t>
      </w:r>
      <w:r w:rsidRPr="00F2427C">
        <w:tab/>
        <w:t>navaja svoje pripombe v spodnji resoluciji;</w:t>
      </w:r>
    </w:p>
    <w:p w:rsidR="00EA1BDF" w:rsidRPr="00F2427C" w:rsidRDefault="00EA1BDF" w:rsidP="00EA1BDF">
      <w:pPr>
        <w:pStyle w:val="NormalHanging12a"/>
      </w:pPr>
      <w:r w:rsidRPr="00F2427C">
        <w:t>3.</w:t>
      </w:r>
      <w:r w:rsidRPr="00F2427C">
        <w:tab/>
        <w:t>naroči svoji predsednici, naj ta sklep in resolucijo, ki je del sklepa, posreduje upravnemu direktorju Agencije Evropske unije za pravosodno sodelovanje v kazenskih zadevah (</w:t>
      </w:r>
      <w:proofErr w:type="spellStart"/>
      <w:r w:rsidRPr="00F2427C">
        <w:t>Eurojust</w:t>
      </w:r>
      <w:proofErr w:type="spellEnd"/>
      <w:r w:rsidRPr="00F2427C">
        <w:t xml:space="preserve">), Svetu, Komisiji in Računskemu sodišču in poskrbi za objavo v </w:t>
      </w:r>
      <w:r w:rsidRPr="00F2427C">
        <w:rPr>
          <w:i/>
        </w:rPr>
        <w:t>Uradnem listu Evropske unije</w:t>
      </w:r>
      <w:r w:rsidRPr="00F2427C">
        <w:t xml:space="preserve"> (serija L).</w:t>
      </w:r>
    </w:p>
    <w:p w:rsidR="00EA1BDF" w:rsidRPr="00F2427C" w:rsidRDefault="00EA1BDF" w:rsidP="00EA1BDF"/>
    <w:p w:rsidR="00EA1BDF" w:rsidRPr="00F2427C" w:rsidRDefault="00EA1BDF" w:rsidP="00EA1BDF">
      <w:pPr>
        <w:pStyle w:val="PageHeading"/>
        <w:sectPr w:rsidR="00EA1BDF" w:rsidRPr="00F2427C" w:rsidSect="00ED6BB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A1BDF" w:rsidRPr="00F2427C" w:rsidRDefault="00EA1BDF" w:rsidP="008E3984">
      <w:pPr>
        <w:pStyle w:val="ATHeading3"/>
      </w:pPr>
      <w:bookmarkStart w:id="8" w:name="_Toc161842976"/>
      <w:r w:rsidRPr="00F2427C">
        <w:lastRenderedPageBreak/>
        <w:t xml:space="preserve">2. </w:t>
      </w:r>
      <w:bookmarkEnd w:id="8"/>
      <w:r w:rsidR="008E3984" w:rsidRPr="00F2427C">
        <w:t xml:space="preserve">Sklep Evropskega parlamenta z dne 11. aprila 2024 </w:t>
      </w:r>
      <w:r w:rsidRPr="00F2427C">
        <w:t>o zaključnem računu Agencije Evropske unije za pravosodno sodelovanje v kazenskih zadevah (</w:t>
      </w:r>
      <w:proofErr w:type="spellStart"/>
      <w:r w:rsidRPr="00F2427C">
        <w:t>Eurojust</w:t>
      </w:r>
      <w:proofErr w:type="spellEnd"/>
      <w:r w:rsidRPr="00F2427C">
        <w:t>) za proračunsko leto 2022</w:t>
      </w:r>
      <w:r w:rsidR="008E3984" w:rsidRPr="00F2427C">
        <w:t xml:space="preserve"> (2023</w:t>
      </w:r>
      <w:r w:rsidRPr="00F2427C">
        <w:t>/2168(DEC))</w:t>
      </w:r>
    </w:p>
    <w:p w:rsidR="00EA1BDF" w:rsidRPr="00F2427C" w:rsidRDefault="00EA1BDF" w:rsidP="00EA1BDF">
      <w:pPr>
        <w:pStyle w:val="EPComma"/>
      </w:pPr>
      <w:r w:rsidRPr="00F2427C">
        <w:rPr>
          <w:i/>
        </w:rPr>
        <w:t>Evropski parlament</w:t>
      </w:r>
      <w:r w:rsidRPr="00F2427C">
        <w:t>,</w:t>
      </w:r>
    </w:p>
    <w:p w:rsidR="00EA1BDF" w:rsidRPr="00F2427C" w:rsidRDefault="00EA1BDF" w:rsidP="00EA1BDF">
      <w:pPr>
        <w:pStyle w:val="NormalHanging12a"/>
      </w:pPr>
      <w:r w:rsidRPr="00F2427C">
        <w:t>–</w:t>
      </w:r>
      <w:r w:rsidRPr="00F2427C">
        <w:tab/>
        <w:t>ob upoštevanju končnega zaključnega računa Agencije Evropske unije za pravosodno sodelovanje v kazenskih zadevah (</w:t>
      </w:r>
      <w:proofErr w:type="spellStart"/>
      <w:r w:rsidRPr="00F2427C">
        <w:t>Eurojust</w:t>
      </w:r>
      <w:proofErr w:type="spellEnd"/>
      <w:r w:rsidRPr="00F2427C">
        <w:t>) za proračunsko leto 2022,</w:t>
      </w:r>
    </w:p>
    <w:p w:rsidR="00EA1BDF" w:rsidRPr="00F2427C" w:rsidRDefault="00EA1BDF" w:rsidP="00EA1BDF">
      <w:pPr>
        <w:pStyle w:val="NormalHanging12a"/>
      </w:pPr>
      <w:r w:rsidRPr="00F2427C">
        <w:t>–</w:t>
      </w:r>
      <w:r w:rsidRPr="00F2427C">
        <w:tab/>
        <w:t>ob upoštevanju letnega poročila Računskega sodišča o agencijah EU za proračunsko leto 2022 skupaj z odgovori agencij</w:t>
      </w:r>
      <w:r w:rsidRPr="00F2427C">
        <w:rPr>
          <w:rStyle w:val="FootnoteReference"/>
        </w:rPr>
        <w:footnoteReference w:id="6"/>
      </w:r>
      <w:r w:rsidRPr="00F2427C">
        <w:t>,</w:t>
      </w:r>
    </w:p>
    <w:p w:rsidR="00EA1BDF" w:rsidRPr="00F2427C" w:rsidRDefault="00EA1BDF" w:rsidP="00EA1BDF">
      <w:pPr>
        <w:pStyle w:val="NormalHanging12a"/>
      </w:pPr>
      <w:r w:rsidRPr="00F2427C">
        <w:t>–</w:t>
      </w:r>
      <w:r w:rsidRPr="00F2427C">
        <w:tab/>
        <w:t>ob upoštevanju izjave o zanesljivosti</w:t>
      </w:r>
      <w:r w:rsidRPr="00F2427C">
        <w:rPr>
          <w:rStyle w:val="FootnoteReference"/>
        </w:rPr>
        <w:footnoteReference w:id="7"/>
      </w:r>
      <w:r w:rsidRPr="00F2427C">
        <w:t xml:space="preserve"> računovodskih izkazov ter zakonitosti in pravilnosti z njimi povezanih transakcij, ki jo je za proračunsko leto 2022 v skladu s členom 287 Pogodbe o delovanju Evropske unije pripravilo Računsko sodišče,</w:t>
      </w:r>
    </w:p>
    <w:p w:rsidR="00EA1BDF" w:rsidRPr="00F2427C" w:rsidRDefault="00EA1BDF" w:rsidP="00EA1BDF">
      <w:pPr>
        <w:pStyle w:val="NormalHanging12a"/>
      </w:pPr>
      <w:r w:rsidRPr="00F2427C">
        <w:t>–</w:t>
      </w:r>
      <w:r w:rsidRPr="00F2427C">
        <w:tab/>
        <w:t>ob upoštevanju priporočila Sveta z dne 22. februarja 2024 o podelitvi razrešnice agenciji glede izvrševanja proračuna za proračunsko leto 2022 (</w:t>
      </w:r>
      <w:r w:rsidR="00F2427C" w:rsidRPr="00D07971">
        <w:t>06180</w:t>
      </w:r>
      <w:r w:rsidRPr="00F2427C">
        <w:t>/2024 – C9</w:t>
      </w:r>
      <w:r w:rsidRPr="00F2427C">
        <w:noBreakHyphen/>
      </w:r>
      <w:r w:rsidR="00F2427C" w:rsidRPr="00D07971">
        <w:t>0106</w:t>
      </w:r>
      <w:r w:rsidRPr="00F2427C">
        <w:t>/2024),</w:t>
      </w:r>
    </w:p>
    <w:p w:rsidR="00EA1BDF" w:rsidRPr="00F2427C" w:rsidRDefault="00EA1BDF" w:rsidP="00EA1BDF">
      <w:pPr>
        <w:pStyle w:val="NormalHanging12a"/>
      </w:pPr>
      <w:r w:rsidRPr="00F2427C">
        <w:t>–</w:t>
      </w:r>
      <w:r w:rsidRPr="00F2427C">
        <w:tab/>
        <w:t>ob upoštevanju člena 319 Pogodbe o delovanju Evropske unije,</w:t>
      </w:r>
    </w:p>
    <w:p w:rsidR="00EA1BDF" w:rsidRPr="00F2427C" w:rsidRDefault="00EA1BDF" w:rsidP="00EA1BDF">
      <w:pPr>
        <w:pStyle w:val="NormalHanging12a"/>
      </w:pPr>
      <w:r w:rsidRPr="00F2427C">
        <w:t>–</w:t>
      </w:r>
      <w:r w:rsidRPr="00F2427C">
        <w:tab/>
        <w:t xml:space="preserve">ob upoštevanju Uredbe (EU, </w:t>
      </w:r>
      <w:proofErr w:type="spellStart"/>
      <w:r w:rsidRPr="00F2427C">
        <w:t>Euratom</w:t>
      </w:r>
      <w:proofErr w:type="spellEnd"/>
      <w:r w:rsidRPr="00F2427C">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F2427C">
        <w:t>Euratom</w:t>
      </w:r>
      <w:proofErr w:type="spellEnd"/>
      <w:r w:rsidRPr="00F2427C">
        <w:t>) št. 966/2012</w:t>
      </w:r>
      <w:r w:rsidRPr="00F2427C">
        <w:rPr>
          <w:rStyle w:val="FootnoteReference"/>
        </w:rPr>
        <w:footnoteReference w:id="8"/>
      </w:r>
      <w:r w:rsidRPr="00F2427C">
        <w:t xml:space="preserve"> in zlasti člena 70,</w:t>
      </w:r>
    </w:p>
    <w:p w:rsidR="00EA1BDF" w:rsidRPr="00F2427C" w:rsidRDefault="00EA1BDF" w:rsidP="00EA1BDF">
      <w:pPr>
        <w:pStyle w:val="NormalHanging12a"/>
      </w:pPr>
      <w:r w:rsidRPr="00F2427C">
        <w:t>–</w:t>
      </w:r>
      <w:r w:rsidRPr="00F2427C">
        <w:tab/>
        <w:t>ob upoštevanju Uredbe (EU) 2018/1727 Evropskega parlamenta in Sveta z dne 14. novembra 2018 o Agenciji Evropske unije za pravosodno sodelovanje v kazenskih zadevah (</w:t>
      </w:r>
      <w:proofErr w:type="spellStart"/>
      <w:r w:rsidRPr="00F2427C">
        <w:t>Eurojust</w:t>
      </w:r>
      <w:proofErr w:type="spellEnd"/>
      <w:r w:rsidRPr="00F2427C">
        <w:t>) ter nadomestitvi in razveljavitvi Sklepa Sveta 2002/187/PNZ</w:t>
      </w:r>
      <w:r w:rsidRPr="00F2427C">
        <w:rPr>
          <w:rStyle w:val="FootnoteReference"/>
        </w:rPr>
        <w:footnoteReference w:id="9"/>
      </w:r>
      <w:r w:rsidRPr="00F2427C">
        <w:t xml:space="preserve"> in zlasti člena 63,</w:t>
      </w:r>
    </w:p>
    <w:p w:rsidR="00EA1BDF" w:rsidRPr="00F2427C" w:rsidRDefault="00EA1BDF" w:rsidP="00EA1BDF">
      <w:pPr>
        <w:pStyle w:val="NormalHanging12a"/>
      </w:pPr>
      <w:r w:rsidRPr="00F2427C">
        <w:t>–</w:t>
      </w:r>
      <w:r w:rsidRPr="00F2427C">
        <w:tab/>
        <w:t xml:space="preserve">ob upoštevanju Delegirane uredbe Komisije (EU) 2019/715 z dne 18. decembra 2018 o okvirni finančni uredbi za organe, ustanovljene na podlagi PDEU in Pogodbe </w:t>
      </w:r>
      <w:proofErr w:type="spellStart"/>
      <w:r w:rsidRPr="00F2427C">
        <w:t>Euratom</w:t>
      </w:r>
      <w:proofErr w:type="spellEnd"/>
      <w:r w:rsidRPr="00F2427C">
        <w:t xml:space="preserve">, iz člena 70 Uredbe (EU, </w:t>
      </w:r>
      <w:proofErr w:type="spellStart"/>
      <w:r w:rsidRPr="00F2427C">
        <w:t>Euratom</w:t>
      </w:r>
      <w:proofErr w:type="spellEnd"/>
      <w:r w:rsidRPr="00F2427C">
        <w:t>) 2018/1046 Evropskega parlamenta in Sveta</w:t>
      </w:r>
      <w:r w:rsidRPr="00F2427C">
        <w:rPr>
          <w:rStyle w:val="FootnoteReference"/>
        </w:rPr>
        <w:footnoteReference w:id="10"/>
      </w:r>
      <w:r w:rsidRPr="00F2427C">
        <w:t xml:space="preserve"> in zlasti člena 105,</w:t>
      </w:r>
    </w:p>
    <w:p w:rsidR="00EA1BDF" w:rsidRPr="00F2427C" w:rsidRDefault="00EA1BDF" w:rsidP="00EA1BDF">
      <w:pPr>
        <w:pStyle w:val="NormalHanging12a"/>
      </w:pPr>
      <w:r w:rsidRPr="00F2427C">
        <w:t>–</w:t>
      </w:r>
      <w:r w:rsidRPr="00F2427C">
        <w:tab/>
        <w:t>ob upoštevanju člena 100 in Priloge V Poslovnika,</w:t>
      </w:r>
    </w:p>
    <w:p w:rsidR="00EA1BDF" w:rsidRPr="00F2427C" w:rsidRDefault="00EA1BDF" w:rsidP="00EA1BDF">
      <w:pPr>
        <w:pStyle w:val="NormalHanging12a"/>
      </w:pPr>
      <w:r w:rsidRPr="00F2427C">
        <w:t>–</w:t>
      </w:r>
      <w:r w:rsidRPr="00F2427C">
        <w:tab/>
        <w:t>ob upoštevanju mnenja Odbora za državljanske svoboščine, pravosodje in notranje zadeve,</w:t>
      </w:r>
    </w:p>
    <w:p w:rsidR="00EA1BDF" w:rsidRPr="00F2427C" w:rsidRDefault="00EA1BDF" w:rsidP="00EA1BDF">
      <w:pPr>
        <w:pStyle w:val="NormalHanging12a"/>
      </w:pPr>
      <w:r w:rsidRPr="00F2427C">
        <w:t>–</w:t>
      </w:r>
      <w:r w:rsidRPr="00F2427C">
        <w:tab/>
        <w:t>ob upoštevanju poročila Odbora za proračunski nadzor (A9</w:t>
      </w:r>
      <w:r w:rsidRPr="00F2427C">
        <w:noBreakHyphen/>
        <w:t>0099/2024),</w:t>
      </w:r>
    </w:p>
    <w:p w:rsidR="00EA1BDF" w:rsidRPr="00F2427C" w:rsidRDefault="00EA1BDF" w:rsidP="00EA1BDF">
      <w:pPr>
        <w:pStyle w:val="NormalHanging12a"/>
      </w:pPr>
      <w:r w:rsidRPr="00F2427C">
        <w:t>1.</w:t>
      </w:r>
      <w:r w:rsidRPr="00F2427C">
        <w:tab/>
        <w:t>odobri zaključni račun Agencije Evropske unije za pravosodno sodelovanje v kazenskih zadevah (</w:t>
      </w:r>
      <w:proofErr w:type="spellStart"/>
      <w:r w:rsidRPr="00F2427C">
        <w:t>Eurojust</w:t>
      </w:r>
      <w:proofErr w:type="spellEnd"/>
      <w:r w:rsidRPr="00F2427C">
        <w:t>) za proračunsko leto 2022;</w:t>
      </w:r>
    </w:p>
    <w:p w:rsidR="00EA1BDF" w:rsidRPr="00F2427C" w:rsidRDefault="00EA1BDF" w:rsidP="00EA1BDF">
      <w:pPr>
        <w:pStyle w:val="NormalHanging12a"/>
      </w:pPr>
      <w:r w:rsidRPr="00F2427C">
        <w:t>2.</w:t>
      </w:r>
      <w:r w:rsidRPr="00F2427C">
        <w:tab/>
        <w:t>naroči svoji predsednici, naj ta sklep posreduje upravnemu direktorju Agencije Evropske unije za pravosodno sodelovanje v kazenskih zadevah (</w:t>
      </w:r>
      <w:proofErr w:type="spellStart"/>
      <w:r w:rsidRPr="00F2427C">
        <w:t>Eurojust</w:t>
      </w:r>
      <w:proofErr w:type="spellEnd"/>
      <w:r w:rsidRPr="00F2427C">
        <w:t xml:space="preserve">), Svetu, Komisiji in Računskemu sodišču in poskrbi za objavo v </w:t>
      </w:r>
      <w:r w:rsidRPr="00F2427C">
        <w:rPr>
          <w:i/>
        </w:rPr>
        <w:t>Uradnem listu Evropske unije</w:t>
      </w:r>
      <w:r w:rsidRPr="00F2427C">
        <w:t xml:space="preserve"> (serija L).</w:t>
      </w:r>
    </w:p>
    <w:p w:rsidR="00EA1BDF" w:rsidRPr="00F2427C" w:rsidRDefault="00EA1BDF" w:rsidP="00EA1BDF"/>
    <w:p w:rsidR="00EA1BDF" w:rsidRPr="00F2427C" w:rsidRDefault="00EA1BDF" w:rsidP="00EA1BDF">
      <w:pPr>
        <w:pStyle w:val="PageHeading"/>
        <w:sectPr w:rsidR="00EA1BDF" w:rsidRPr="00F2427C" w:rsidSect="00ED6BB6">
          <w:footnotePr>
            <w:numRestart w:val="eachPage"/>
          </w:footnotePr>
          <w:endnotePr>
            <w:numFmt w:val="decimal"/>
          </w:endnotePr>
          <w:pgSz w:w="11906" w:h="16838" w:code="9"/>
          <w:pgMar w:top="1134" w:right="1418" w:bottom="1418" w:left="1418" w:header="567" w:footer="567" w:gutter="0"/>
          <w:cols w:space="720"/>
          <w:noEndnote/>
          <w:docGrid w:linePitch="326"/>
        </w:sectPr>
      </w:pPr>
    </w:p>
    <w:p w:rsidR="00EA1BDF" w:rsidRPr="00F2427C" w:rsidRDefault="00EA1BDF" w:rsidP="00BA4D7E">
      <w:pPr>
        <w:pStyle w:val="ATHeading3"/>
      </w:pPr>
      <w:bookmarkStart w:id="9" w:name="_Toc161842977"/>
      <w:r w:rsidRPr="00F2427C">
        <w:t xml:space="preserve">3. </w:t>
      </w:r>
      <w:bookmarkEnd w:id="9"/>
      <w:r w:rsidR="00BA4D7E" w:rsidRPr="00F2427C">
        <w:t xml:space="preserve">Resolucija Evropskega parlamenta z dne 11. aprila 2024 </w:t>
      </w:r>
      <w:r w:rsidRPr="00F2427C">
        <w:t>s pripombami, ki so del sklepa o razrešnici glede izvrševanja proračuna Agencije Evropske unije za pravosodno sodelovanje v kazenskih zadevah (</w:t>
      </w:r>
      <w:proofErr w:type="spellStart"/>
      <w:r w:rsidRPr="00F2427C">
        <w:t>Eurojust</w:t>
      </w:r>
      <w:proofErr w:type="spellEnd"/>
      <w:r w:rsidRPr="00F2427C">
        <w:t>) za proračunsko leto 2022</w:t>
      </w:r>
      <w:r w:rsidR="008E3984" w:rsidRPr="00F2427C">
        <w:t xml:space="preserve"> (2023</w:t>
      </w:r>
      <w:r w:rsidRPr="00F2427C">
        <w:t>/2168(DEC))</w:t>
      </w:r>
    </w:p>
    <w:p w:rsidR="00EA1BDF" w:rsidRPr="00F2427C" w:rsidRDefault="00EA1BDF" w:rsidP="00EA1BDF">
      <w:pPr>
        <w:pStyle w:val="EPComma"/>
      </w:pPr>
      <w:r w:rsidRPr="00F2427C">
        <w:rPr>
          <w:i/>
        </w:rPr>
        <w:t>Evropski parlament</w:t>
      </w:r>
      <w:r w:rsidRPr="00F2427C">
        <w:t>,</w:t>
      </w:r>
    </w:p>
    <w:p w:rsidR="00EA1BDF" w:rsidRPr="00F2427C" w:rsidRDefault="00EA1BDF" w:rsidP="00EA1BDF">
      <w:pPr>
        <w:pStyle w:val="NormalHanging12a"/>
      </w:pPr>
      <w:r w:rsidRPr="00F2427C">
        <w:t>–</w:t>
      </w:r>
      <w:r w:rsidRPr="00F2427C">
        <w:tab/>
        <w:t>ob upoštevanju sklepa o razrešnici glede izvrševanja proračuna Agencije Evropske unije za pravosodno sodelovanje v kazenskih zadevah (</w:t>
      </w:r>
      <w:proofErr w:type="spellStart"/>
      <w:r w:rsidRPr="00F2427C">
        <w:t>Eurojust</w:t>
      </w:r>
      <w:proofErr w:type="spellEnd"/>
      <w:r w:rsidRPr="00F2427C">
        <w:t>) za proračunsko leto 2022,</w:t>
      </w:r>
    </w:p>
    <w:p w:rsidR="00EA1BDF" w:rsidRPr="00F2427C" w:rsidRDefault="00EA1BDF" w:rsidP="00EA1BDF">
      <w:pPr>
        <w:pStyle w:val="NormalHanging12a"/>
      </w:pPr>
      <w:r w:rsidRPr="00F2427C">
        <w:t>–</w:t>
      </w:r>
      <w:r w:rsidRPr="00F2427C">
        <w:tab/>
        <w:t>ob upoštevanju člena 100 in Priloge V Poslovnika,</w:t>
      </w:r>
    </w:p>
    <w:p w:rsidR="00EA1BDF" w:rsidRPr="00F2427C" w:rsidRDefault="00EA1BDF" w:rsidP="00EA1BDF">
      <w:pPr>
        <w:pStyle w:val="NormalHanging12a"/>
      </w:pPr>
      <w:r w:rsidRPr="00F2427C">
        <w:t>–</w:t>
      </w:r>
      <w:r w:rsidRPr="00F2427C">
        <w:tab/>
        <w:t>ob upoštevanju mnenja Odbora za državljanske svoboščine, pravosodje in notranje zadeve,</w:t>
      </w:r>
    </w:p>
    <w:p w:rsidR="00EA1BDF" w:rsidRPr="00F2427C" w:rsidRDefault="00EA1BDF" w:rsidP="00EA1BDF">
      <w:pPr>
        <w:pStyle w:val="NormalHanging12a"/>
      </w:pPr>
      <w:r w:rsidRPr="00F2427C">
        <w:t>–</w:t>
      </w:r>
      <w:r w:rsidRPr="00F2427C">
        <w:tab/>
        <w:t>ob upoštevanju poročila Odbora za proračunski nadzor (A9</w:t>
      </w:r>
      <w:r w:rsidRPr="00F2427C">
        <w:noBreakHyphen/>
        <w:t>0099/2024),</w:t>
      </w:r>
    </w:p>
    <w:p w:rsidR="00EA1BDF" w:rsidRPr="00F2427C" w:rsidRDefault="00EA1BDF" w:rsidP="00EA1BDF">
      <w:pPr>
        <w:pStyle w:val="Normal12Hanging"/>
        <w:rPr>
          <w:szCs w:val="24"/>
          <w:lang w:val="sl-SI"/>
        </w:rPr>
      </w:pPr>
      <w:r w:rsidRPr="00F2427C">
        <w:rPr>
          <w:lang w:val="sl-SI"/>
        </w:rPr>
        <w:t>A.</w:t>
      </w:r>
      <w:r w:rsidRPr="00F2427C">
        <w:rPr>
          <w:lang w:val="sl-SI"/>
        </w:rPr>
        <w:tab/>
        <w:t>ker je na podlagi poročila o prihodkih in odhodkih</w:t>
      </w:r>
      <w:r w:rsidRPr="00F2427C">
        <w:rPr>
          <w:rStyle w:val="FootnoteReference"/>
          <w:szCs w:val="24"/>
          <w:lang w:val="sl-SI"/>
        </w:rPr>
        <w:footnoteReference w:id="11"/>
      </w:r>
      <w:r w:rsidRPr="00F2427C">
        <w:rPr>
          <w:lang w:val="sl-SI"/>
        </w:rPr>
        <w:t xml:space="preserve"> Agencije Evropske unije za pravosodno sodelovanje v kazenskih zadevah (v nadaljnjem besedilu: agencija) njen končni proračun v proračunskem letu 2022 znašal 50.183.522 EUR, kar je bilo 5,84 % manj kot leta 2021; ker proračun agencije skoraj v celoti izvira iz proračuna Unije;</w:t>
      </w:r>
    </w:p>
    <w:p w:rsidR="00EA1BDF" w:rsidRPr="00F2427C" w:rsidRDefault="00EA1BDF" w:rsidP="00EA1BDF">
      <w:pPr>
        <w:pStyle w:val="Normal12Hanging"/>
        <w:rPr>
          <w:szCs w:val="24"/>
          <w:lang w:val="sl-SI"/>
        </w:rPr>
      </w:pPr>
      <w:r w:rsidRPr="00F2427C">
        <w:rPr>
          <w:lang w:val="sl-SI"/>
        </w:rPr>
        <w:t>B.</w:t>
      </w:r>
      <w:r w:rsidRPr="00F2427C">
        <w:rPr>
          <w:lang w:val="sl-SI"/>
        </w:rPr>
        <w:tab/>
        <w:t>ker Računsko sodišče v poročilu o zaključnem računu agencije za proračunsko leto 2022 (v nadaljnjem besedilu: poročilo Računskega sodišča) navaja, da je prejelo razumno zagotovilo o zanesljivosti računovodskih izkazov agencije ter o zakonitosti in pravilnosti z njimi povezanih transakcij;</w:t>
      </w:r>
    </w:p>
    <w:p w:rsidR="00EA1BDF" w:rsidRPr="00F2427C" w:rsidRDefault="00EA1BDF" w:rsidP="00EA1BDF">
      <w:pPr>
        <w:pStyle w:val="Normal12Hanging"/>
        <w:rPr>
          <w:b/>
          <w:i/>
          <w:szCs w:val="24"/>
          <w:lang w:val="sl-SI"/>
        </w:rPr>
      </w:pPr>
      <w:r w:rsidRPr="00F2427C">
        <w:rPr>
          <w:b/>
          <w:i/>
          <w:lang w:val="sl-SI"/>
        </w:rPr>
        <w:t xml:space="preserve">Proračunsko upravljanje in finančno </w:t>
      </w:r>
      <w:proofErr w:type="spellStart"/>
      <w:r w:rsidRPr="00F2427C">
        <w:rPr>
          <w:b/>
          <w:i/>
          <w:lang w:val="sl-SI"/>
        </w:rPr>
        <w:t>poslovodenje</w:t>
      </w:r>
      <w:proofErr w:type="spellEnd"/>
    </w:p>
    <w:p w:rsidR="00EA1BDF" w:rsidRPr="00F2427C" w:rsidRDefault="00EA1BDF" w:rsidP="00EA1BDF">
      <w:pPr>
        <w:pStyle w:val="Normal12Hanging"/>
        <w:rPr>
          <w:szCs w:val="24"/>
          <w:lang w:val="sl-SI"/>
        </w:rPr>
      </w:pPr>
      <w:r w:rsidRPr="00F2427C">
        <w:rPr>
          <w:lang w:val="sl-SI"/>
        </w:rPr>
        <w:t>1.</w:t>
      </w:r>
      <w:r w:rsidRPr="00F2427C">
        <w:rPr>
          <w:lang w:val="sl-SI"/>
        </w:rPr>
        <w:tab/>
        <w:t xml:space="preserve">z zadovoljstvom ugotavlja, da je stopnja izvrševanja sredstev za prevzem obveznosti za leto 2022 zaradi proračunskega spremljanja znašala 99,93 %; ugotavlja, da je stopnja izvrševanja sredstev za plačila za leto 2022 znašala 89,22 %, kar je bilo 4,64 % več kot </w:t>
      </w:r>
      <w:r w:rsidR="00F2427C" w:rsidRPr="00F2427C">
        <w:rPr>
          <w:lang w:val="sl-SI"/>
        </w:rPr>
        <w:t xml:space="preserve">v primerjavi z </w:t>
      </w:r>
      <w:r w:rsidRPr="00F2427C">
        <w:rPr>
          <w:lang w:val="sl-SI"/>
        </w:rPr>
        <w:t>let</w:t>
      </w:r>
      <w:r w:rsidR="00F2427C" w:rsidRPr="00F2427C">
        <w:rPr>
          <w:lang w:val="sl-SI"/>
        </w:rPr>
        <w:t>om</w:t>
      </w:r>
      <w:r w:rsidRPr="00F2427C">
        <w:rPr>
          <w:lang w:val="sl-SI"/>
        </w:rPr>
        <w:t> 2021;</w:t>
      </w:r>
    </w:p>
    <w:p w:rsidR="00EA1BDF" w:rsidRPr="00F2427C" w:rsidRDefault="00EA1BDF" w:rsidP="00EA1BDF">
      <w:pPr>
        <w:pStyle w:val="Normal12Hanging"/>
        <w:rPr>
          <w:szCs w:val="24"/>
          <w:lang w:val="sl-SI"/>
        </w:rPr>
      </w:pPr>
      <w:r w:rsidRPr="00F2427C">
        <w:rPr>
          <w:lang w:val="sl-SI"/>
        </w:rPr>
        <w:t>2.</w:t>
      </w:r>
      <w:r w:rsidRPr="00F2427C">
        <w:rPr>
          <w:lang w:val="sl-SI"/>
        </w:rPr>
        <w:tab/>
        <w:t>ugotavlja, da so se v letu 2022 pojavile različne nove potrebe po financiranju, ki so med drugim povezane z infrastrukturo za novi sistem vodenja zadev (CMS), okrepitvijo v zvezi z nov</w:t>
      </w:r>
      <w:r w:rsidR="00F2427C" w:rsidRPr="00F2427C">
        <w:rPr>
          <w:lang w:val="sl-SI"/>
        </w:rPr>
        <w:t xml:space="preserve">o zbirko </w:t>
      </w:r>
      <w:r w:rsidRPr="00F2427C">
        <w:rPr>
          <w:lang w:val="sl-SI"/>
        </w:rPr>
        <w:t>podatkov o dokazih o najhujših mednarodnih kaznivih dejanjih (</w:t>
      </w:r>
      <w:proofErr w:type="spellStart"/>
      <w:r w:rsidRPr="00F2427C">
        <w:rPr>
          <w:lang w:val="sl-SI"/>
        </w:rPr>
        <w:t>Core</w:t>
      </w:r>
      <w:proofErr w:type="spellEnd"/>
      <w:r w:rsidRPr="00F2427C">
        <w:rPr>
          <w:lang w:val="sl-SI"/>
        </w:rPr>
        <w:t xml:space="preserve"> </w:t>
      </w:r>
      <w:proofErr w:type="spellStart"/>
      <w:r w:rsidRPr="00F2427C">
        <w:rPr>
          <w:lang w:val="sl-SI"/>
        </w:rPr>
        <w:t>International</w:t>
      </w:r>
      <w:proofErr w:type="spellEnd"/>
      <w:r w:rsidRPr="00F2427C">
        <w:rPr>
          <w:lang w:val="sl-SI"/>
        </w:rPr>
        <w:t xml:space="preserve"> </w:t>
      </w:r>
      <w:proofErr w:type="spellStart"/>
      <w:r w:rsidRPr="00F2427C">
        <w:rPr>
          <w:lang w:val="sl-SI"/>
        </w:rPr>
        <w:t>Crime</w:t>
      </w:r>
      <w:proofErr w:type="spellEnd"/>
      <w:r w:rsidRPr="00F2427C">
        <w:rPr>
          <w:lang w:val="sl-SI"/>
        </w:rPr>
        <w:t xml:space="preserve"> Evidence </w:t>
      </w:r>
      <w:proofErr w:type="spellStart"/>
      <w:r w:rsidRPr="00F2427C">
        <w:rPr>
          <w:lang w:val="sl-SI"/>
        </w:rPr>
        <w:t>Database</w:t>
      </w:r>
      <w:proofErr w:type="spellEnd"/>
      <w:r w:rsidRPr="00F2427C">
        <w:rPr>
          <w:lang w:val="sl-SI"/>
        </w:rPr>
        <w:t xml:space="preserve"> – CICED)</w:t>
      </w:r>
      <w:r w:rsidR="00F2427C" w:rsidRPr="00F2427C">
        <w:rPr>
          <w:lang w:val="sl-SI"/>
        </w:rPr>
        <w:t xml:space="preserve"> (naloge CICED)</w:t>
      </w:r>
      <w:r w:rsidRPr="00F2427C">
        <w:rPr>
          <w:lang w:val="sl-SI"/>
        </w:rPr>
        <w:t xml:space="preserve"> in povečanjem plač zaradi visoke inflacije; ugotavlja, da so bile te potrebe po financiranju pokrite z dvema spremembama proračuna (v skupnem znesku 5,7 milijona EUR) in več proračunskimi prerazporeditvami;</w:t>
      </w:r>
    </w:p>
    <w:p w:rsidR="00EA1BDF" w:rsidRPr="00F2427C" w:rsidRDefault="00EA1BDF" w:rsidP="00EA1BDF">
      <w:pPr>
        <w:pStyle w:val="Normal12Hanging"/>
        <w:rPr>
          <w:szCs w:val="24"/>
          <w:lang w:val="sl-SI"/>
        </w:rPr>
      </w:pPr>
      <w:r w:rsidRPr="00F2427C">
        <w:rPr>
          <w:lang w:val="sl-SI"/>
        </w:rPr>
        <w:t>3.</w:t>
      </w:r>
      <w:r w:rsidRPr="00F2427C">
        <w:rPr>
          <w:lang w:val="sl-SI"/>
        </w:rPr>
        <w:tab/>
        <w:t xml:space="preserve">je seznanjen, da je agencija leta 2022 uvedla nov sistem Komisije za finančno </w:t>
      </w:r>
      <w:proofErr w:type="spellStart"/>
      <w:r w:rsidRPr="00F2427C">
        <w:rPr>
          <w:lang w:val="sl-SI"/>
        </w:rPr>
        <w:t>poslovodenje</w:t>
      </w:r>
      <w:proofErr w:type="spellEnd"/>
      <w:r w:rsidRPr="00F2427C">
        <w:rPr>
          <w:lang w:val="sl-SI"/>
        </w:rPr>
        <w:t xml:space="preserve"> in računovodstvo (SUMMA), pa tudi s povezanimi tehničnimi težavami, ki so vplivale na izvrševanje proračuna agencije in poročanje o njem; je seznanjen zlasti z mnenjem agencije, da so te težave vplivale tudi na to, da visoka stopnja plačil ni bila izvršena pravočasno (52,9 %), in zapletle spremljanje področij z veliko nestanovitnostjo stroškov, kot so usklajevalni sestanki; je v zvezi s tem seznanjen z ugotovitvijo iz poročila Računskega sodišča, da agencija v nasprotju z nekaterimi določbami iz finančne uredbe ni posodobila niti svoje strategije za obvladovanje in kontrolo tveganj, da bi se zavarovala pred tveganji, povezanimi z izvajanjem sistema SUMMA, niti svojih finančnih tokov in strategije predhodnih in naknadnih preverjanj ter da ne preverja posebej pravic, ki se v tem sistemu dodelijo uporabniku, kar pomeni tveganje, da se vloge uporabnikov v sistemu SUMMA ne bi dodelile in posodabljale pravilno;</w:t>
      </w:r>
    </w:p>
    <w:p w:rsidR="00EA1BDF" w:rsidRPr="00F2427C" w:rsidRDefault="00EA1BDF" w:rsidP="00EA1BDF">
      <w:pPr>
        <w:pStyle w:val="NormalHanging12a"/>
      </w:pPr>
      <w:r w:rsidRPr="00F2427C">
        <w:t>4.</w:t>
      </w:r>
      <w:r w:rsidRPr="00F2427C">
        <w:tab/>
        <w:t>se z zaskrbljenostjo seznanja z ugotovitvijo iz poročila Računskega sodišča, da agencija ni spoštovala rokov za plačila, določenih v finančni uredbi, pri 1222 od skupaj 2308 plačil (52,9 %); opozarja in poudarja, da so v 720 primerih (31,5 %) plačila zamujala več kot 30 dni; ugotavlja, da agencija to pomanjkljivost, zaradi katere je po mnenju Računskega sodišča izpostavljena finančnemu tveganju in tveganju izgube ugleda in ki je v nasprotju z načelom gospodarnosti, pripisuje izvajanju sistema SUMMA; je seznanjen z odgovorom agencije, da je bil sistem SUMMA v pilotni fazi in da je prišlo do zamud in tehničnih težav pri obdelavi transakcij, kar je vplivalo na usposabljanje zaposlenih in privedlo do nekaterih izzivov za proračunsko upravljanje; nazadnje ugotavlja, da agencija kljub povečanemu znesku plačil, s katerimi je zamujala, ni plačala nobenih zamudnih obresti; poziva agencijo, naj to ugotovitev v celoti obravnava in odpravi tehnične težave pri obdelavi transakcij ter organu za podelitev razrešnice poroča o doseženem napredku;</w:t>
      </w:r>
    </w:p>
    <w:p w:rsidR="00EA1BDF" w:rsidRPr="00F2427C" w:rsidRDefault="00EA1BDF" w:rsidP="00EA1BDF">
      <w:pPr>
        <w:pStyle w:val="Normal12Hanging"/>
        <w:rPr>
          <w:b/>
          <w:i/>
          <w:szCs w:val="24"/>
          <w:lang w:val="sl-SI"/>
        </w:rPr>
      </w:pPr>
      <w:r w:rsidRPr="00F2427C">
        <w:rPr>
          <w:b/>
          <w:i/>
          <w:lang w:val="sl-SI"/>
        </w:rPr>
        <w:t>Uspešnost</w:t>
      </w:r>
    </w:p>
    <w:p w:rsidR="00EA1BDF" w:rsidRPr="00F2427C" w:rsidRDefault="00EA1BDF" w:rsidP="00EA1BDF">
      <w:pPr>
        <w:pStyle w:val="NormalHanging12a"/>
        <w:rPr>
          <w:szCs w:val="24"/>
        </w:rPr>
      </w:pPr>
      <w:r w:rsidRPr="00F2427C">
        <w:t>5.</w:t>
      </w:r>
      <w:r w:rsidRPr="00F2427C">
        <w:tab/>
        <w:t>ugotavlja, da agencija uporablja ključne kazalnike uspešnosti, s katerimi ocenjuje dodano vrednost, ki jo ustvarjajo njene dejavnosti, in izboljšuje upravljanje proračuna; poudarja, da agencija v svoji novi večletni strategiji za obdobje 2022–2024 določa pet ciljev, ki zajemajo več strateških področij ukrepanja; ugotavlja, da je agencija v delovnem načrtu za leto 2022 opredelila 67 ključnih kazalnikov uspešnosti in 14 večletnih ključnih kazalnikov uspešnosti za večletno strategijo; ugotavlja, da je agencija, če se izvzamejo ključni kazalniki uspešnosti, za katere se šteje, da niso merljivi ali relevantni, dosegla cilje pri 47 od 59 ključnih kazalnikov uspešnosti (88 %), kar je več kot leta 2021 (73 %); ugotavlja, da je agencija v letu 2022 stalno napredovala pri doseganju svojih večletnih ključnih kazalnikov uspešnosti, saj jih je 10 (72 %) na dobri poti uresničitve ciljev in trije (21 %) potrebujejo dodatno pozornost, končni rezultati ključnih kazalnikov uspešnosti večletne strategije pa bodo sporočeni konec leta 2024;</w:t>
      </w:r>
    </w:p>
    <w:p w:rsidR="00EA1BDF" w:rsidRPr="00F2427C" w:rsidRDefault="00EA1BDF" w:rsidP="00EA1BDF">
      <w:pPr>
        <w:pStyle w:val="NormalHanging12a"/>
      </w:pPr>
      <w:r w:rsidRPr="00F2427C">
        <w:t>6.</w:t>
      </w:r>
      <w:r w:rsidRPr="00F2427C">
        <w:tab/>
        <w:t xml:space="preserve">ugotavlja, da je število primerov, ki so jih države članice predložile agenciji, še naprej raslo, saj je v letu 2022 obravnavala skupaj 11.544 primerov (od teh je bilo novih 5227 primerov), kar je 14 % več kot leta 2021; v zvezi s tem izreka pohvalo za prispevek agencije pri zagotavljanju pravnega svetovanja, analiz in pomoči pri operacijah, kar je privedlo do 941 operativnih rezultatov v podporo 528 primerom, tudi zapletenih, v katerih je prišlo do aretacij tihotapcev ljudi (tudi migrantov) ter do zatrtja kriminalnih mrež ali ukrepanja proti njim na področjih, kot so pranje denarja, spolno izkoriščanje, goljufije pri spletnih naložbah ali trgovina s prepovedanimi drogami; poleg tega z zadovoljstvom ugotavlja, da je agencija v letu 2022 podprla 265 skupnih preiskovalnih skupin (od tega je bilo 78 skupin ustanovljenih na novo), organizirala 528 usklajevalnih sestankov in 22 centrov za usklajevanje, olajšala izvršitev 1262 evropskih nalogov za prijetje (od teh so bili novi 504 primeri) in omogočila uporabo 5415 evropskih preiskovalnih nalogov (približno polovica novih); ugotavlja, da agencija še naprej sodeluje z </w:t>
      </w:r>
      <w:r w:rsidR="00F2427C" w:rsidRPr="00F2427C">
        <w:t xml:space="preserve">Evropskim </w:t>
      </w:r>
      <w:proofErr w:type="spellStart"/>
      <w:r w:rsidR="00F2427C" w:rsidRPr="00F2427C">
        <w:t>urado</w:t>
      </w:r>
      <w:proofErr w:type="spellEnd"/>
      <w:r w:rsidR="00F2427C" w:rsidRPr="00F2427C">
        <w:t xml:space="preserve"> za boj proti goljufijam (</w:t>
      </w:r>
      <w:r w:rsidRPr="00F2427C">
        <w:t>OLAF</w:t>
      </w:r>
      <w:r w:rsidR="00F2427C" w:rsidRPr="00F2427C">
        <w:t>)</w:t>
      </w:r>
      <w:r w:rsidRPr="00F2427C">
        <w:t xml:space="preserve">, da bi okrepila boj proti kaznivim dejanjem, ki vplivajo na finančne interese </w:t>
      </w:r>
      <w:r w:rsidR="00F2427C" w:rsidRPr="00F2427C">
        <w:t>Unije</w:t>
      </w:r>
      <w:r w:rsidRPr="00F2427C">
        <w:t>;</w:t>
      </w:r>
    </w:p>
    <w:p w:rsidR="00EA1BDF" w:rsidRPr="00F2427C" w:rsidRDefault="00EA1BDF" w:rsidP="00EA1BDF">
      <w:pPr>
        <w:pStyle w:val="NormalHanging12a"/>
        <w:rPr>
          <w:szCs w:val="24"/>
        </w:rPr>
      </w:pPr>
      <w:r w:rsidRPr="00F2427C">
        <w:t>7.</w:t>
      </w:r>
      <w:r w:rsidRPr="00F2427C">
        <w:tab/>
        <w:t>izreka pohvalo agenciji za ukrepe, sprejete v odziv na nezakonito in neizzvano rusko invazijo na Ukrajino leta 2022; ugotavlja, da je agencija tri tedne po začetku vojne podprla ustanovitev skupne preiskovalne skupine, ki preiskuje domnevne najhujše mednarodne zločine, storjene v Ukrajini, da bi olajšala preiskave in pregon v zadevnih državah; ugotavlja, da je agencija nacionalnim uradom zagotovila pravno in operativno podporo v zvezi z razširitvijo sporazuma o skupni preiskovalni skupini na nove strani (Estonija, Latvija, Romunija in Slovaška) ter pravne analize in mnenja v zvezi s sodelovanjem Mednarodnega kazenskega sodišča v skupni preiskovalni skupini; ugotavlja tudi, da agencija zagotavlja operativno podporo projektni skupini EU za zamrznitev in zaplembo („</w:t>
      </w:r>
      <w:proofErr w:type="spellStart"/>
      <w:r w:rsidRPr="00F2427C">
        <w:t>Freeze</w:t>
      </w:r>
      <w:proofErr w:type="spellEnd"/>
      <w:r w:rsidRPr="00F2427C">
        <w:t xml:space="preserve"> </w:t>
      </w:r>
      <w:proofErr w:type="spellStart"/>
      <w:r w:rsidRPr="00F2427C">
        <w:t>and</w:t>
      </w:r>
      <w:proofErr w:type="spellEnd"/>
      <w:r w:rsidRPr="00F2427C">
        <w:t xml:space="preserve"> </w:t>
      </w:r>
      <w:proofErr w:type="spellStart"/>
      <w:r w:rsidRPr="00F2427C">
        <w:t>Seize</w:t>
      </w:r>
      <w:proofErr w:type="spellEnd"/>
      <w:r w:rsidRPr="00F2427C">
        <w:t>“), ki jo je Komisija vzpostavila z usklajevanjem držav članic pri izvrševanju sankcij Unije prek kazenskega prava, in sicer z več ukrepi, kot je redno navzkrižno preverjanje seznama posameznikov in podjetij, zoper katere je Unija sprejela sankcije, s podatki agencije o obstoječih primerih, ki jih obravnava, ter zbiranje ustreznih informacij na nacionalni ravni o preteklih in tekočih preiskavah v zvezi s tistimi, ki so uvrščeni na seznam sankcij, da se olajšajo kazenski postopki;</w:t>
      </w:r>
    </w:p>
    <w:p w:rsidR="00EA1BDF" w:rsidRPr="00F2427C" w:rsidRDefault="00EA1BDF" w:rsidP="00EA1BDF">
      <w:pPr>
        <w:pStyle w:val="NormalHanging12a"/>
      </w:pPr>
      <w:r w:rsidRPr="00F2427C">
        <w:t>8.</w:t>
      </w:r>
      <w:r w:rsidRPr="00F2427C">
        <w:tab/>
        <w:t xml:space="preserve">pozdravlja, da je agencija v letu 2022 okrepila operativno in strateško sodelovanje z različnimi deležniki, kot so evropske agencije s področja pravosodja in notranjih zadev (PNZ), institucije Unije, urad OLAF, Evropsko javno tožilstvo </w:t>
      </w:r>
      <w:r w:rsidR="00F2427C" w:rsidRPr="00F2427C">
        <w:t xml:space="preserve">(EJT) </w:t>
      </w:r>
      <w:r w:rsidRPr="00F2427C">
        <w:t xml:space="preserve">ter mreže pravosodnih delavcev, tretje države in mednarodne organizacije; je zlasti seznanjen s sodelovanjem agencije z Agencijo </w:t>
      </w:r>
      <w:r w:rsidR="00F2427C" w:rsidRPr="00F2427C">
        <w:t xml:space="preserve">Evropske unije </w:t>
      </w:r>
      <w:r w:rsidRPr="00F2427C">
        <w:t>za operativno upravljanje obsežnih informacijskih sistemov s področja svobode, varnosti in pravice (</w:t>
      </w:r>
      <w:proofErr w:type="spellStart"/>
      <w:r w:rsidRPr="00F2427C">
        <w:t>eu</w:t>
      </w:r>
      <w:proofErr w:type="spellEnd"/>
      <w:r w:rsidRPr="00F2427C">
        <w:t xml:space="preserve">-LISA) pri skupnem poročilu o umetni inteligenci in podpori čezmejnemu sodelovanju na področju kazenskega pravosodja, z Agencijo </w:t>
      </w:r>
      <w:r w:rsidR="00F2427C" w:rsidRPr="00F2427C">
        <w:t xml:space="preserve">Evropske unije </w:t>
      </w:r>
      <w:r w:rsidRPr="00F2427C">
        <w:t xml:space="preserve">za usposabljanje na področju preprečevanja, odkrivanja in preiskovanja kaznivih dejanj (CEPOL) pri 16 tečajih o pravosodnem sodelovanju, z Agencijo </w:t>
      </w:r>
      <w:r w:rsidR="00F2427C" w:rsidRPr="00F2427C">
        <w:t xml:space="preserve">Evropske unije </w:t>
      </w:r>
      <w:r w:rsidRPr="00F2427C">
        <w:t xml:space="preserve">za sodelovanje na področju preprečevanja, odkrivanja in preiskovanja kaznivih dejanj (Europol) pri projektu SIRIUS in pri Europolovem sistemu javljanja zadetkov ter z nacionalnimi organi 20 držav članic, Europolom, uradom OLAF in Evropskim javnim tožilstvom pri operaciji </w:t>
      </w:r>
      <w:proofErr w:type="spellStart"/>
      <w:r w:rsidRPr="00F2427C">
        <w:t>Sentinel</w:t>
      </w:r>
      <w:proofErr w:type="spellEnd"/>
      <w:r w:rsidRPr="00F2427C">
        <w:t xml:space="preserve"> proti goljufijam v zvezi s sredstvi za okrevanje po pandemiji covida-19; poudarja prispevek agencije k pobudam Komisije na področju digitalizacije pravosodja (med drugim SIS II, CMS, ECRIS-TCN); ugotavlja, da se agencija zanaša na vse večjo mrežo kontaktnih točk s pristojnimi organi v tretjih državah ter da se je leta 2022 njihovo skupno število povečalo in vključuje kontaktne točke agencije z Avstralijo, Bahrajnom in Marokom; pozdravlja razširitev mednarodnega sodelovanja agencije v kazenskih zadevah, zlasti prek programa </w:t>
      </w:r>
      <w:proofErr w:type="spellStart"/>
      <w:r w:rsidRPr="00F2427C">
        <w:t>EuroMed</w:t>
      </w:r>
      <w:proofErr w:type="spellEnd"/>
      <w:r w:rsidRPr="00F2427C">
        <w:t xml:space="preserve"> Justice z južnimi partnerskimi državami in projekta, ki ga financira EU in je osredotočen na čezmejno sodelovanje v kazenskem pravosodju na Zahodnem Balkanu;</w:t>
      </w:r>
    </w:p>
    <w:p w:rsidR="00EA1BDF" w:rsidRPr="00F2427C" w:rsidRDefault="00EA1BDF" w:rsidP="00EA1BDF">
      <w:pPr>
        <w:pStyle w:val="NormalHanging12a"/>
        <w:jc w:val="both"/>
      </w:pPr>
      <w:r w:rsidRPr="00F2427C">
        <w:t>9.</w:t>
      </w:r>
      <w:r w:rsidRPr="00F2427C">
        <w:tab/>
        <w:t>ceni mednarodno sodelovanje med pravosodnimi organi, ki ga omogoča agencija, in tesno sodelovanje z vsemi akterji v verigi kazenskega pravosodja, ki je omogočilo prijetje več kot 4000 osumljencev, odvzem ali zamrznitev sredstev, pridobljenih s kaznivimi dejanji, vrednih skoraj 3 milijarde EUR, in zaplembo drog v vrednosti skoraj 12 milijard EUR;</w:t>
      </w:r>
    </w:p>
    <w:p w:rsidR="00EA1BDF" w:rsidRPr="00F2427C" w:rsidRDefault="00EA1BDF" w:rsidP="00EA1BDF">
      <w:pPr>
        <w:pStyle w:val="NormalHanging12a"/>
        <w:rPr>
          <w:b/>
          <w:i/>
          <w:szCs w:val="24"/>
        </w:rPr>
      </w:pPr>
      <w:r w:rsidRPr="00F2427C">
        <w:rPr>
          <w:b/>
          <w:i/>
        </w:rPr>
        <w:t>Povečanje učinkovitosti</w:t>
      </w:r>
    </w:p>
    <w:p w:rsidR="00EA1BDF" w:rsidRPr="00F2427C" w:rsidRDefault="00EA1BDF" w:rsidP="00EA1BDF">
      <w:pPr>
        <w:pStyle w:val="NormalHanging12a"/>
        <w:rPr>
          <w:szCs w:val="24"/>
        </w:rPr>
      </w:pPr>
      <w:r w:rsidRPr="00F2427C">
        <w:t>10.</w:t>
      </w:r>
      <w:r w:rsidRPr="00F2427C">
        <w:tab/>
        <w:t xml:space="preserve">poudarja, da je agencija poleg uvedbe sistema SUMMA dodatno okrepila svoje postopke in orodja za upravljanje na podlagi dejavnosti, in sicer s povečanjem učinkovitosti, kakovosti/celovitosti podatkov in uporabnosti orodja za načrtovanje, uvedbo novega orodja za evidentiranje dejavnosti in nadaljnjim postopnim prehodom s ključnih kazalnikov uspešnosti </w:t>
      </w:r>
      <w:proofErr w:type="spellStart"/>
      <w:r w:rsidRPr="00F2427C">
        <w:t>izložkov</w:t>
      </w:r>
      <w:proofErr w:type="spellEnd"/>
      <w:r w:rsidRPr="00F2427C">
        <w:t xml:space="preserve"> na ključne kazalnike uspešnosti rezultatov; izreka pohvalo agenciji, ker je začela razpravo z Europolom, da bi se preučila možnost skupne zdravstvene službe v prihodnosti; ponovno pozdravlja odločitev agencije, da ohrani določeno učinkovitost, ki jo je pridobila med pandemijo</w:t>
      </w:r>
      <w:r w:rsidR="00F2427C" w:rsidRPr="00F2427C">
        <w:t xml:space="preserve"> covida-12</w:t>
      </w:r>
      <w:r w:rsidRPr="00F2427C">
        <w:t>; na podlagi odgovorov agencije na pisna vprašanja Parlamenta ugotavlja, da je agencija leta 2022 prek spleta organizirala 47 % usklajevalnih sestankov ter vsa usposabljanja osebja in izbirne postopke, s čimer je znatno zmanjšala zadevne finančne stroške in stroške človeških virov, 29 % vseh usklajevalnih sej pa je opravila v hibridni obliki;</w:t>
      </w:r>
    </w:p>
    <w:p w:rsidR="00EA1BDF" w:rsidRPr="00F2427C" w:rsidRDefault="00EA1BDF" w:rsidP="00EA1BDF">
      <w:pPr>
        <w:pStyle w:val="NormalHanging12a"/>
        <w:rPr>
          <w:szCs w:val="24"/>
        </w:rPr>
      </w:pPr>
      <w:r w:rsidRPr="00F2427C">
        <w:t>11.</w:t>
      </w:r>
      <w:r w:rsidRPr="00F2427C">
        <w:tab/>
        <w:t xml:space="preserve">ugotavlja, da sta se zaradi večje učinkovitosti v letu 2022 začela dva projekta, ki zajemata celotno organizacijo, in sicer samopostrežni portal agencije in novi sistem za videokonference </w:t>
      </w:r>
      <w:proofErr w:type="spellStart"/>
      <w:r w:rsidRPr="00F2427C">
        <w:t>Pexip</w:t>
      </w:r>
      <w:proofErr w:type="spellEnd"/>
      <w:r w:rsidRPr="00F2427C">
        <w:t>, namenjen usklajevalnim sestankom in centrom za usklajevanje, ki omogoča tolmačenje v vsaj 10 jezikov naenkrat; ugotavlja tudi, da sta bila končana analiza za migracijo obstoječega ekstraneta in izbor dobaviteljev za zamenjavo sistema za knjižnico, medtem ko se certificirano orodje za elektronski podpis še razvija, rezultati pa se pričakujejo leta 2024; izreka pohvalo agenciji za izvajanje štirih novih modulov sistema SYSPER (ocenjevanje, nazivi delovnih mest/opisi delovnih mest, NDP, poročanje), poleg petih modulov, ki jih je že izvajala v prejšnjih letih; je seznanjen z zavezo agencije, da bo do leta 2024 v celoti izvajala sistem SYSPER;</w:t>
      </w:r>
    </w:p>
    <w:p w:rsidR="00EA1BDF" w:rsidRPr="00F2427C" w:rsidRDefault="00EA1BDF" w:rsidP="00EA1BDF">
      <w:pPr>
        <w:pStyle w:val="NormalHanging12a"/>
        <w:rPr>
          <w:szCs w:val="24"/>
        </w:rPr>
      </w:pPr>
      <w:r w:rsidRPr="00F2427C">
        <w:t>12.</w:t>
      </w:r>
      <w:r w:rsidRPr="00F2427C">
        <w:tab/>
        <w:t xml:space="preserve">na podlagi poročila Računskega sodišča ugotavlja, da agencija še ni med agencijami, ki so pripravile poslovne načrte, da bi izboljšale energetsko učinkovitost in podnebno nevtralnost svojih dejavnosti, ali so v svoja letna poročila o dejavnostih vključile eno od oblik </w:t>
      </w:r>
      <w:proofErr w:type="spellStart"/>
      <w:r w:rsidRPr="00F2427C">
        <w:t>okoljskega</w:t>
      </w:r>
      <w:proofErr w:type="spellEnd"/>
      <w:r w:rsidRPr="00F2427C">
        <w:t xml:space="preserve"> poročanja ali prejele registracijo EMAS; opozarja, da je agencija leta 2021 začela izvajati </w:t>
      </w:r>
      <w:r w:rsidR="00F2427C" w:rsidRPr="00F2427C">
        <w:t xml:space="preserve">sistem za </w:t>
      </w:r>
      <w:proofErr w:type="spellStart"/>
      <w:r w:rsidR="00F2427C" w:rsidRPr="00F2427C">
        <w:t>okoljsko</w:t>
      </w:r>
      <w:proofErr w:type="spellEnd"/>
      <w:r w:rsidR="00F2427C" w:rsidRPr="00F2427C">
        <w:t xml:space="preserve"> ravnanje in presojo (EMAS) </w:t>
      </w:r>
      <w:r w:rsidRPr="00F2427C">
        <w:t xml:space="preserve">oziroma okvir za skladnost z ISO 14001; v zvezi s tem ugotavlja, da je agencija leta 2022 prejela končno poročilo zunanjega svetovalnega podjetja, ki vključuje vse ustrezne informacije o okoljskih predpisih na Nizozemskem; ugotavlja tudi, da se je agencija v letu 2022 pridružila javnemu razpisu za svetovanje na področju sistemov </w:t>
      </w:r>
      <w:proofErr w:type="spellStart"/>
      <w:r w:rsidRPr="00F2427C">
        <w:t>okoljskega</w:t>
      </w:r>
      <w:proofErr w:type="spellEnd"/>
      <w:r w:rsidRPr="00F2427C">
        <w:t xml:space="preserve"> ravnanja ter zmanjšanja in izravnave emisij toplogrednih plinov;</w:t>
      </w:r>
    </w:p>
    <w:p w:rsidR="00EA1BDF" w:rsidRPr="00F2427C" w:rsidRDefault="00EA1BDF" w:rsidP="00EA1BDF">
      <w:pPr>
        <w:pStyle w:val="Normal12Hanging"/>
        <w:rPr>
          <w:b/>
          <w:i/>
          <w:szCs w:val="24"/>
          <w:lang w:val="sl-SI"/>
        </w:rPr>
      </w:pPr>
      <w:r w:rsidRPr="00F2427C">
        <w:rPr>
          <w:b/>
          <w:i/>
          <w:lang w:val="sl-SI"/>
        </w:rPr>
        <w:t>Kadrovska politika</w:t>
      </w:r>
    </w:p>
    <w:p w:rsidR="00EA1BDF" w:rsidRPr="00F2427C" w:rsidRDefault="00EA1BDF" w:rsidP="00EA1BDF">
      <w:pPr>
        <w:pStyle w:val="Normal12Hanging"/>
        <w:rPr>
          <w:szCs w:val="24"/>
          <w:lang w:val="sl-SI"/>
        </w:rPr>
      </w:pPr>
      <w:r w:rsidRPr="00F2427C">
        <w:rPr>
          <w:lang w:val="sl-SI"/>
        </w:rPr>
        <w:t>13.</w:t>
      </w:r>
      <w:r w:rsidRPr="00F2427C">
        <w:rPr>
          <w:lang w:val="sl-SI"/>
        </w:rPr>
        <w:tab/>
        <w:t xml:space="preserve">ugotavlja, da je bil kadrovski načrt agencije na dan 31. decembra 2022 uresničen 100-odstotno (enako kot v letu 2021), saj je bilo imenovanih vseh 221 začasnih uslužbencev, odobrenih v proračunu Unije za leto 2022, pri čemer je bilo zaposlenih 209 začasnih uslužbencev, 12 pa so bile poslane ponudbe za zaposlitev; ugotavlja, da je za agencijo v letu 2022 delalo tudi 18 pogodbenih uslužbencev in 22 napotenih nacionalnih strokovnjakov; je seznanjen tudi s postopkom prerazvrstitve, v katerem je bilo </w:t>
      </w:r>
      <w:proofErr w:type="spellStart"/>
      <w:r w:rsidRPr="00F2427C">
        <w:rPr>
          <w:lang w:val="sl-SI"/>
        </w:rPr>
        <w:t>prerazvrščenih</w:t>
      </w:r>
      <w:proofErr w:type="spellEnd"/>
      <w:r w:rsidRPr="00F2427C">
        <w:rPr>
          <w:lang w:val="sl-SI"/>
        </w:rPr>
        <w:t xml:space="preserve"> 53 uslužbencev;</w:t>
      </w:r>
    </w:p>
    <w:p w:rsidR="00EA1BDF" w:rsidRPr="00F2427C" w:rsidRDefault="00EA1BDF" w:rsidP="00EA1BDF">
      <w:pPr>
        <w:pStyle w:val="NormalHanging12a"/>
      </w:pPr>
      <w:r w:rsidRPr="00F2427C">
        <w:t>14.</w:t>
      </w:r>
      <w:r w:rsidRPr="00F2427C">
        <w:tab/>
        <w:t>je seznanjen z zastopanostjo spolov v agenciji leta 2022, ko je bilo na višjih in srednjih vodstvenih položajih zaposlenih šest moških (60 %) in štiri ženske (40 %), v upravnem odboru agencije 16 moških (64 %) in 9 žensk (36 %), med vsemi zaposlenimi pa je bilo 85 moških (33 %) in 175 žensk (67 %); poziva agencijo, naj poskrbi za bolj uravnoteženo zastopanost spolov med uslužbenci na vseh ravneh ter dodatno spodbuja kandidatke, naj se prijavijo na vodstvene položaje, na zunanjih izborih za preostala delovna mesta pa naj spodbuja tudi prijave moških kandidatov; priznava, da agencija ni odgovorna za sestavo svojega upravnega odbora (v nadaljnjem besedilu: kolegij), saj zadevne države članice neposredno imenujejo nacionalne člane kolegija; poziva Komisijo in države članice, naj pri imenovanju članov v kolegij upoštevajo pomen zagotavljanja uravnotežene zastopanosti spolov;</w:t>
      </w:r>
    </w:p>
    <w:p w:rsidR="00EA1BDF" w:rsidRPr="00F2427C" w:rsidRDefault="00EA1BDF" w:rsidP="00EA1BDF">
      <w:pPr>
        <w:pStyle w:val="NormalHanging12a"/>
        <w:rPr>
          <w:szCs w:val="24"/>
        </w:rPr>
      </w:pPr>
      <w:r w:rsidRPr="00F2427C">
        <w:t>15.</w:t>
      </w:r>
      <w:r w:rsidRPr="00F2427C">
        <w:tab/>
        <w:t>ugotavlja, da je agencija med letoma 2017 in 2022 poiskala svetovanje zunanje odvetniške pisarne, specializirane za pravo javne uprave Unije, in jo prosila za pomoč v zvezi z več primeri domnevnega psihičnega nadlegovanja; ugotavlja, da sta se na podlagi prošnje za pomoč, prejete leta 2021, začeli dve ločeni upravni preiskavi, v okviru katerih je agencija najela podporo dveh zunanjih preiskovalcev; ugotavlja, da sta bili preiskavi v obeh primerih zaključeni brez nadaljnjih ukrepov, en primer pa se je nato nadaljeval pred sodiščem; poziva agencijo, naj organ za podelitev razrešnice obvesti, kako se je ta zadeva razpletla;</w:t>
      </w:r>
    </w:p>
    <w:p w:rsidR="00EA1BDF" w:rsidRPr="00F2427C" w:rsidRDefault="00EA1BDF" w:rsidP="00EA1BDF">
      <w:pPr>
        <w:pStyle w:val="NormalHanging12a"/>
        <w:rPr>
          <w:szCs w:val="24"/>
        </w:rPr>
      </w:pPr>
      <w:r w:rsidRPr="00F2427C">
        <w:t>16.</w:t>
      </w:r>
      <w:r w:rsidRPr="00F2427C">
        <w:tab/>
        <w:t>poudarja, da je agencija leta 2022 sprejela izvedbena pravila za kadrovske predpise, med drugim v zvezi z izvajanjem upravnih preiskav in disciplinskih postopkov, dopustom doma za uslužbence, ki delajo v tretji državi, in plačevanjem dodatka za šolanje, ki ga zaposleni prejemajo pod določenimi pogoji; pozdravlja ukrepe, ki jih je agencija sprejela za vključevanje invalidov, in zavezo agencije, da bo v okviru izvajanja kadrovske strategije sprejela listino o raznolikosti in vključevanju, ki jo je potrdila delovna skupina za raznolikost in vključevanje mreže za pravosodje in notranje zadeve;</w:t>
      </w:r>
    </w:p>
    <w:p w:rsidR="00EA1BDF" w:rsidRPr="00F2427C" w:rsidRDefault="00EA1BDF" w:rsidP="00EA1BDF">
      <w:pPr>
        <w:pStyle w:val="NormalHanging12a"/>
      </w:pPr>
      <w:r w:rsidRPr="00F2427C">
        <w:t>17.</w:t>
      </w:r>
      <w:r w:rsidRPr="00F2427C">
        <w:tab/>
        <w:t>ugotavlja, da so zaposleni v agenciji do marca 2022 delali predvsem na daljavo; ugotavlja, da so se do aprila 2022 vsi zaposleni vrnili v prostore agencije; v zvezi s tem ugotavlja, da je agencija uvedla prehodne ukrepe v zvezi z delom v pisarni in delom na daljavo ter organizirala delavnice za pomoč zaposlenim, da bi se mentalno prilagodili na vrnitev v pisarno po dveh letih neprekinjenega dela na daljavo; ugotavlja tudi, da rezultati ankete med zaposlenimi, ki jo je agencija opravila leta 2023, kažejo, da so ukrepi za socialno varnost, ki jih je agencija sprejela leta 2022, učinkovito ublažili vpliv dolgotrajnega dela na daljavo na zaposlene; zlasti ugotavlja, da je 96 % anketirancev pozitivno ocenilo možnost usklajevanja s člani skupin, čeprav delajo na različnih lokacijah;</w:t>
      </w:r>
    </w:p>
    <w:p w:rsidR="00EA1BDF" w:rsidRPr="00F2427C" w:rsidRDefault="00EA1BDF" w:rsidP="00EA1BDF">
      <w:pPr>
        <w:pStyle w:val="NormalHanging12a"/>
        <w:rPr>
          <w:b/>
          <w:i/>
        </w:rPr>
      </w:pPr>
      <w:r w:rsidRPr="00F2427C">
        <w:t>18.</w:t>
      </w:r>
      <w:r w:rsidRPr="00F2427C">
        <w:tab/>
        <w:t>z zadovoljstvom ugotavlja, da so bili 31. decembra 2022 v agenciji zaposleni uslužbenci iz 26 držav članic; ugotavlja, da so bili med zaposlenimi v agenciji najbolj številni državljani Nizozemske, Italije, Španije in Romunije; opozarja na pomen geografske uravnoteženosti in spodbuja agencijo, naj še naprej sprejema potrebne ukrepe za uravnoteženo in pravično geografsko zastopanost;</w:t>
      </w:r>
    </w:p>
    <w:p w:rsidR="00EA1BDF" w:rsidRPr="00F2427C" w:rsidRDefault="00EA1BDF" w:rsidP="00EA1BDF">
      <w:pPr>
        <w:pStyle w:val="Normal12Hanging"/>
        <w:rPr>
          <w:b/>
          <w:i/>
          <w:szCs w:val="24"/>
          <w:lang w:val="sl-SI"/>
        </w:rPr>
      </w:pPr>
      <w:r w:rsidRPr="00F2427C">
        <w:rPr>
          <w:b/>
          <w:i/>
          <w:lang w:val="sl-SI"/>
        </w:rPr>
        <w:t>Javna naročila</w:t>
      </w:r>
    </w:p>
    <w:p w:rsidR="00EA1BDF" w:rsidRPr="00F2427C" w:rsidRDefault="00EA1BDF" w:rsidP="00EA1BDF">
      <w:pPr>
        <w:pStyle w:val="NormalHanging12a"/>
      </w:pPr>
      <w:r w:rsidRPr="00F2427C">
        <w:t>19.</w:t>
      </w:r>
      <w:r w:rsidRPr="00F2427C">
        <w:tab/>
        <w:t>opozarja na ugotovitev Računskega sodišča v poročilu za leto 2020, da okvirna pogodba o zakupu vozil z enim samim gospodarskim subjektom ni bila primerna glede na naravo potrebnih storitev ter da so bila nepravilna tako pogodba, sklenjena ob zaključku postopka, kot vsa z njo povezana plačila; na podlagi poročila Računskega sodišča ugotavlja, da je agencija v letu 2022 na podlagi te pogodbe nepravilno plačala 59.281 EUR in da ta pripomba še drži; poziva agencijo, naj preuči možnost prekinitve te okvirne pogodbe in začne nov postopek s ponovnim natečajem, kot bi bilo po mnenju Računskega sodišča ustrezno v primeru zakupa vozil;</w:t>
      </w:r>
    </w:p>
    <w:p w:rsidR="00EA1BDF" w:rsidRPr="00F2427C" w:rsidRDefault="00EA1BDF" w:rsidP="00EA1BDF">
      <w:pPr>
        <w:pStyle w:val="NormalHanging12a"/>
        <w:rPr>
          <w:szCs w:val="24"/>
        </w:rPr>
      </w:pPr>
      <w:r w:rsidRPr="00F2427C">
        <w:t>20.</w:t>
      </w:r>
      <w:r w:rsidRPr="00F2427C">
        <w:tab/>
        <w:t>na podlagi poročila agencije o nadaljnjem ukrepanju v zvezi z razrešnico za leto 2021 (v nadaljnjem besedilu: poročilo o nadaljnjem ukrepanju) ugotavlja, da agencija še naprej preizkuša orodje za upravljanje javnih naročil, saj ga namerava uporabljati v vseh novih postopkih javnih naročil, ki jih bo začela z letom 2024;</w:t>
      </w:r>
    </w:p>
    <w:p w:rsidR="00EA1BDF" w:rsidRPr="00F2427C" w:rsidRDefault="00EA1BDF" w:rsidP="00EA1BDF">
      <w:pPr>
        <w:pStyle w:val="Normal12Hanging"/>
        <w:rPr>
          <w:b/>
          <w:i/>
          <w:szCs w:val="24"/>
          <w:lang w:val="sl-SI"/>
        </w:rPr>
      </w:pPr>
      <w:r w:rsidRPr="00F2427C">
        <w:rPr>
          <w:b/>
          <w:i/>
          <w:lang w:val="sl-SI"/>
        </w:rPr>
        <w:t>Preprečevanje in obvladovanje nasprotij interesov ter preglednost</w:t>
      </w:r>
    </w:p>
    <w:p w:rsidR="00EA1BDF" w:rsidRPr="00F2427C" w:rsidRDefault="00EA1BDF" w:rsidP="00EA1BDF">
      <w:pPr>
        <w:pStyle w:val="Normal12Hanging"/>
        <w:rPr>
          <w:szCs w:val="24"/>
          <w:lang w:val="sl-SI"/>
        </w:rPr>
      </w:pPr>
      <w:r w:rsidRPr="00F2427C">
        <w:rPr>
          <w:lang w:val="sl-SI"/>
        </w:rPr>
        <w:t>21.</w:t>
      </w:r>
      <w:r w:rsidRPr="00F2427C">
        <w:rPr>
          <w:lang w:val="sl-SI"/>
        </w:rPr>
        <w:tab/>
        <w:t>je seznanjen s standardnim operativnim postopkom agencije v zvezi z obvladovanjem nasprotij interesov, ki se uporablja za vse kandidate, ki se jim ponudi delovno mesto v agenciji, nove zaposlene in zaposlene, ki zamenjajo delovno mesto, ter za vse zaposlene, ki zapustijo agencijo; poudarja, da je agencija sprejela etični kodeks za člane kolegija in izvršnega odbora, nima pa politike na področju pojava vrtljivih vrat; ugotavlja, da so bili leta 2022 prijavljeni in obravnavni primeri nasprotja interesov, zlasti v zvezi s sodelovanjem članov kolegija v postopkih, ki so zadevali zaposlene; z zadovoljstvom ugotavlja, da so se zadevne osebe izključile in niso sodelovale pri razpravah in odločanju kolegija v zvezi s tem;</w:t>
      </w:r>
    </w:p>
    <w:p w:rsidR="00EA1BDF" w:rsidRPr="00F2427C" w:rsidRDefault="00EA1BDF" w:rsidP="00EA1BDF">
      <w:pPr>
        <w:pStyle w:val="Normal12Hanging"/>
        <w:rPr>
          <w:szCs w:val="24"/>
          <w:lang w:val="sl-SI"/>
        </w:rPr>
      </w:pPr>
      <w:r w:rsidRPr="00F2427C">
        <w:rPr>
          <w:lang w:val="sl-SI"/>
        </w:rPr>
        <w:t>22.</w:t>
      </w:r>
      <w:r w:rsidRPr="00F2427C">
        <w:rPr>
          <w:lang w:val="sl-SI"/>
        </w:rPr>
        <w:tab/>
        <w:t xml:space="preserve">ugotavlja, da je agencija, četudi se ne sestaja z lobisti, leta 2022 na svojem </w:t>
      </w:r>
      <w:proofErr w:type="spellStart"/>
      <w:r w:rsidRPr="00F2427C">
        <w:rPr>
          <w:lang w:val="sl-SI"/>
        </w:rPr>
        <w:t>twitter</w:t>
      </w:r>
      <w:proofErr w:type="spellEnd"/>
      <w:r w:rsidRPr="00F2427C">
        <w:rPr>
          <w:lang w:val="sl-SI"/>
        </w:rPr>
        <w:t xml:space="preserve"> računu objavila sestanke izvršnega odbora agencije z zunanjimi gosti, ki so jo obiskali, od leta 2023 pa te sestanke objavlja na svojem javnem spletnem mestu; globoko obžaluje, da agencija kljub večkratnim pozivom v resolucijah Parlamenta o razrešnici na svojem spletnem mestu še vedno ne objavlja življenjepisov vseh višjih vodstvenih delavcev ter notranjih in zunanjih strokovnjakov; poziva agencijo, naj objavi te življenjepise ali pojasni razloge, zakaj tega še ni storila;</w:t>
      </w:r>
    </w:p>
    <w:p w:rsidR="00EA1BDF" w:rsidRPr="00F2427C" w:rsidRDefault="00EA1BDF" w:rsidP="00EA1BDF">
      <w:pPr>
        <w:pStyle w:val="Normal12Hanging"/>
        <w:rPr>
          <w:b/>
          <w:i/>
          <w:szCs w:val="24"/>
          <w:lang w:val="sl-SI"/>
        </w:rPr>
      </w:pPr>
      <w:r w:rsidRPr="00F2427C">
        <w:rPr>
          <w:b/>
          <w:i/>
          <w:lang w:val="sl-SI"/>
        </w:rPr>
        <w:t>Notranja kontrola</w:t>
      </w:r>
    </w:p>
    <w:p w:rsidR="00EA1BDF" w:rsidRPr="00F2427C" w:rsidRDefault="00EA1BDF" w:rsidP="00EA1BDF">
      <w:pPr>
        <w:pStyle w:val="NormalHanging12a"/>
        <w:rPr>
          <w:szCs w:val="24"/>
        </w:rPr>
      </w:pPr>
      <w:r w:rsidRPr="00F2427C">
        <w:t>23.</w:t>
      </w:r>
      <w:r w:rsidRPr="00F2427C">
        <w:tab/>
        <w:t>opozarja, da je urad OLAF v letu 2021 izvajal preiskavo na podlagi anonimne pritožbe v zvezi z obtožbami o nepravilnostih v postopkih zaposlovanja; ugotavlja, da je urad OLAF leta 2022 poročal, da v zvezi s tem ni odkril nobenih nepravilnosti; je glede tega seznanjen tudi z odločitvijo urada OLAF, da ob koncu leta 2022 zaradi zaupnosti ne posreduje več podrobnosti o zadevi, ker je bila takrat preiskava delno še v teku; na podlagi poročila o nadaljnjem ukrepanju pozdravlja zavezo agencije, da bo organ za podelitev razrešnice pravočasno obveščala o vseh spremembah v tej zadevi;</w:t>
      </w:r>
    </w:p>
    <w:p w:rsidR="00EA1BDF" w:rsidRPr="00F2427C" w:rsidRDefault="00EA1BDF" w:rsidP="00EA1BDF">
      <w:pPr>
        <w:pStyle w:val="NormalHanging12a"/>
        <w:rPr>
          <w:szCs w:val="24"/>
        </w:rPr>
      </w:pPr>
      <w:r w:rsidRPr="00F2427C">
        <w:t>24.</w:t>
      </w:r>
      <w:r w:rsidRPr="00F2427C">
        <w:tab/>
        <w:t xml:space="preserve">ugotavlja, da je ob koncu leta 2022 močno zamujala izvedba štirih priporočil, ki jih je služba Komisije za notranjo revizijo izdala v letih 2019 in 2021; glede tega ugotavlja, da je ustrezna notranja delovna skupina agencije v zvezi s samoiniciativnim priporočilom službe za notranjo revizijo iz leta 2021 o operativnih nalogah dosegla dogovor o strateškem dokumentu in akcijskem načrtu s kratkoročnimi in srednjeročnimi ukrepi, od katerih so bili nekateri že izvedeni leta 2023, ter da je agencija to priporočilo označila kot izvedeno, kar pa mora dokončno oceniti služba za notranjo revizijo; na podlagi poročila o nadaljnjem ukrepanju v zvezi s priporočilom službe za notranjo revizijo iz leta 2021, naj agencija izvede anketo </w:t>
      </w:r>
      <w:proofErr w:type="spellStart"/>
      <w:r w:rsidRPr="00F2427C">
        <w:t>iCAT</w:t>
      </w:r>
      <w:proofErr w:type="spellEnd"/>
      <w:r w:rsidRPr="00F2427C">
        <w:t xml:space="preserve"> za izboljšanje ocenjevanja mehkih kontrol, ugotavlja tudi, da je bil začetek te raziskave, ki je bil načrtovan za zadnje četrtletje 2022, odložen zaradi izvajanja večjih </w:t>
      </w:r>
      <w:proofErr w:type="spellStart"/>
      <w:r w:rsidRPr="00F2427C">
        <w:t>medorganizacijskih</w:t>
      </w:r>
      <w:proofErr w:type="spellEnd"/>
      <w:r w:rsidRPr="00F2427C">
        <w:t xml:space="preserve"> projektov (npr. sistema SUMMA), povečanja delovne obremenitve zaradi novih prednostnih nalog, povezanih z vojno v Ukrajini, ter prehodnega obdobja med odhodom prejšnjega upravnega direktorja in imenovanjem novega; v zvezi s tem ugotavlja, da so bila ustrezna vprašanja </w:t>
      </w:r>
      <w:proofErr w:type="spellStart"/>
      <w:r w:rsidRPr="00F2427C">
        <w:t>iCAT</w:t>
      </w:r>
      <w:proofErr w:type="spellEnd"/>
      <w:r w:rsidRPr="00F2427C">
        <w:t xml:space="preserve"> vključena v anketo agencije o zavzetosti zaposlenih, ki se je začela izvajati v drugem četrtletju leta 2023; nazadnje ugotavlja, da je bilo po mnenju agencije to priporočilo izvedeno, kar pa mora dokončno oceniti služba za notranjo revizijo; poziva agencijo, naj pospeši izvajanje preostalih odprtih priporočil službe za notranjo revizijo, zlasti tistih, ki že močno zamujajo;</w:t>
      </w:r>
    </w:p>
    <w:p w:rsidR="00EA1BDF" w:rsidRPr="00F2427C" w:rsidRDefault="00EA1BDF" w:rsidP="00EA1BDF">
      <w:pPr>
        <w:pStyle w:val="NormalHanging12a"/>
      </w:pPr>
      <w:r w:rsidRPr="00F2427C">
        <w:t>25.</w:t>
      </w:r>
      <w:r w:rsidRPr="00F2427C">
        <w:tab/>
        <w:t xml:space="preserve">z zaskrbljenostjo ugotavlja, da sta se med letoma 2021 in 2022 znatno povečala število in vrednost primerov neskladnosti (43 primerov v vrednosti 294.000 EUR v primerjavi s 33 primeri v vrednosti 18.000 EUR) ter da so bili ti primeri pretežno povezani s težavami, kot so denimo višji znesek računa kot znesek pravne obveznosti, oblikovanje proračunske obveznosti po dodelitvi pravne obveznosti ali neobstoj naročilnice ali konkretne pogodbe; je seznanjen s pojasnilom agencije, da je to povečanje povezano s težavami pri upravljanju proračuna in finančnem </w:t>
      </w:r>
      <w:proofErr w:type="spellStart"/>
      <w:r w:rsidRPr="00F2427C">
        <w:t>poslovodenju</w:t>
      </w:r>
      <w:proofErr w:type="spellEnd"/>
      <w:r w:rsidRPr="00F2427C">
        <w:t xml:space="preserve"> v letu 2022 zaradi uvedbe sistema SUMMA; poziva agencijo, naj obravnava ta opažanja in preuči modele, da v prihodnosti ne bi več prihajalo do tega;</w:t>
      </w:r>
    </w:p>
    <w:p w:rsidR="00EA1BDF" w:rsidRPr="00F2427C" w:rsidRDefault="00EA1BDF" w:rsidP="00EA1BDF">
      <w:pPr>
        <w:pStyle w:val="NormalHanging12a"/>
        <w:rPr>
          <w:szCs w:val="24"/>
        </w:rPr>
      </w:pPr>
      <w:r w:rsidRPr="00F2427C">
        <w:t>26.</w:t>
      </w:r>
      <w:r w:rsidRPr="00F2427C">
        <w:tab/>
        <w:t>ugotavlja, da so bili v letu 2022 sestavni deli in načela okvira notranje kontrole agencije prisotni in delujoči ter da je bil sistem na splošno učinkovit, potrebne pa so bile nekatere izboljšave, na primer v zvezi z izvajanjem sistema SUMMA in potrebo po sprejetju načrta za ponovno vzpostavitev delovanja; izreka pohvalo agenciji za sprejetje politike o občutljivih funkcijah in pripravo osnutka ocene stroškovne učinkovitosti in koristi imenovanja službe za notranjo revizijo, pa tudi, da v letu 2022 ni prejela kritičnih revizijskih priporočil ali opažanj; poziva agencijo, naj organ za podelitev razrešnice obvesti o rezultatu ocene glede skupine za notranjo revizijo; na koncu pozdravlja nadaljnje ukrepe agencije, ki so sledili njenemu sprejetju strategije za boj proti goljufijam leta 2021; v zvezi s tem ugotavlja, da je agencija leta 2022 sprejela nove notranje postopke za upravljanje premoženja in sredstev;</w:t>
      </w:r>
    </w:p>
    <w:p w:rsidR="00EA1BDF" w:rsidRPr="00F2427C" w:rsidRDefault="00EA1BDF" w:rsidP="00EA1BDF">
      <w:pPr>
        <w:pStyle w:val="Normal12Hanging"/>
        <w:rPr>
          <w:b/>
          <w:i/>
          <w:szCs w:val="24"/>
          <w:lang w:val="sl-SI"/>
        </w:rPr>
      </w:pPr>
      <w:r w:rsidRPr="00F2427C">
        <w:rPr>
          <w:b/>
          <w:i/>
          <w:lang w:val="sl-SI"/>
        </w:rPr>
        <w:t>Druge pripombe</w:t>
      </w:r>
    </w:p>
    <w:p w:rsidR="00EA1BDF" w:rsidRPr="00F2427C" w:rsidRDefault="00EA1BDF" w:rsidP="00EA1BDF">
      <w:pPr>
        <w:pStyle w:val="Normal12Hanging"/>
        <w:rPr>
          <w:szCs w:val="24"/>
          <w:lang w:val="sl-SI"/>
        </w:rPr>
      </w:pPr>
      <w:r w:rsidRPr="00F2427C">
        <w:rPr>
          <w:lang w:val="sl-SI"/>
        </w:rPr>
        <w:t>27.</w:t>
      </w:r>
      <w:r w:rsidRPr="00F2427C">
        <w:rPr>
          <w:lang w:val="sl-SI"/>
        </w:rPr>
        <w:tab/>
        <w:t>izreka pohvalo agenciji, ker je vlagala v svoje komunikacijske dejavnosti, da bi izboljšala svojo prepoznavnost in razumevanje svojega dela ter dosegla široko občinstvo; ugotavlja, da se je zaradi tega metrika agencije v družbenih medijih leta 2022 v primerjavi z letom 2021 povečala za 40 %, število obiskovalcev spletnega mesta agencije za skoraj 100 % in število sporočil za javnost in novic za 16 %, slednje pa je privedlo do povečanja števila omemb za skoraj petkrat v primerjavi z letom 2021;</w:t>
      </w:r>
    </w:p>
    <w:p w:rsidR="00EA1BDF" w:rsidRPr="00F2427C" w:rsidRDefault="00EA1BDF" w:rsidP="00EA1BDF">
      <w:pPr>
        <w:pStyle w:val="Normal12Hanging"/>
        <w:rPr>
          <w:szCs w:val="24"/>
          <w:lang w:val="sl-SI"/>
        </w:rPr>
      </w:pPr>
      <w:r w:rsidRPr="00F2427C">
        <w:rPr>
          <w:lang w:val="sl-SI"/>
        </w:rPr>
        <w:t>28.</w:t>
      </w:r>
      <w:r w:rsidRPr="00F2427C">
        <w:rPr>
          <w:lang w:val="sl-SI"/>
        </w:rPr>
        <w:tab/>
        <w:t>izreka pohvalo agenciji, da si je v letu 2022 še naprej prizadevala za večjo skladnost z varstvom podatkov; pozdravlja povečanje števila zaposlenih v skupini pooblaščene osebe agencije za varstvo podatkov z dvema dodatnima uslužbencema, ki opravljata naloge v zvezi z Uredbo (EU) 2018/1725</w:t>
      </w:r>
      <w:r w:rsidR="00F2427C" w:rsidRPr="00D07971">
        <w:rPr>
          <w:rStyle w:val="FootnoteReference"/>
          <w:szCs w:val="24"/>
        </w:rPr>
        <w:footnoteReference w:id="12"/>
      </w:r>
      <w:r w:rsidR="00F2427C" w:rsidRPr="00D07971">
        <w:rPr>
          <w:szCs w:val="24"/>
          <w:lang w:val="sl-SI"/>
        </w:rPr>
        <w:t xml:space="preserve"> </w:t>
      </w:r>
      <w:r w:rsidRPr="00F2427C">
        <w:rPr>
          <w:lang w:val="sl-SI"/>
        </w:rPr>
        <w:t xml:space="preserve"> in razširitvijo mandata agencije za najhujša mednarodna kazniva dejanja, ki povečuje potrebe glede varstva podatkov; ugotavlja, da sta pooblaščena oseba za varstvo podatkov in Evropski nadzornik za varstvo podatkov v letu 2022 še naprej organizirala redna (dvomesečna) in ad hoc srečanja ter posvetovanja o različnih vprašanjih varstva podatkov, kot so med drugim kršitve varstva podatkov in pritožbe;</w:t>
      </w:r>
    </w:p>
    <w:p w:rsidR="00EA1BDF" w:rsidRPr="00F2427C" w:rsidRDefault="00EA1BDF" w:rsidP="00EA1BDF">
      <w:pPr>
        <w:pStyle w:val="Normal12Hanging"/>
        <w:rPr>
          <w:szCs w:val="24"/>
          <w:lang w:val="sl-SI"/>
        </w:rPr>
      </w:pPr>
      <w:r w:rsidRPr="00F2427C">
        <w:rPr>
          <w:lang w:val="sl-SI"/>
        </w:rPr>
        <w:t>29.</w:t>
      </w:r>
      <w:r w:rsidRPr="00F2427C">
        <w:rPr>
          <w:lang w:val="sl-SI"/>
        </w:rPr>
        <w:tab/>
        <w:t>poleg tega izreka pohvalo agenciji, ker je v letu 2022 izvedla več ukrepov za povečanje kibernetske varnosti in zaščite digitalnih evidenc v svoji posesti, in sicer z uvedbo centralno upravljanih in varnih službenih mobilnih telefonov, organiziranjem notranjih srečanj za ozaveščanje (</w:t>
      </w:r>
      <w:proofErr w:type="spellStart"/>
      <w:r w:rsidRPr="00F2427C">
        <w:rPr>
          <w:lang w:val="sl-SI"/>
        </w:rPr>
        <w:t>CyberCafe</w:t>
      </w:r>
      <w:proofErr w:type="spellEnd"/>
      <w:r w:rsidRPr="00F2427C">
        <w:rPr>
          <w:lang w:val="sl-SI"/>
        </w:rPr>
        <w:t>) in izvajanjem zaščite pred kibernetskimi napadi porazdeljene zavrnitve storitve;</w:t>
      </w:r>
    </w:p>
    <w:p w:rsidR="00EA1BDF" w:rsidRPr="00F2427C" w:rsidRDefault="00EA1BDF" w:rsidP="00EA1BDF">
      <w:pPr>
        <w:pStyle w:val="NormalCenter12a"/>
      </w:pPr>
      <w:r w:rsidRPr="00F2427C">
        <w:t>°</w:t>
      </w:r>
    </w:p>
    <w:p w:rsidR="00EA1BDF" w:rsidRPr="00F2427C" w:rsidRDefault="00EA1BDF" w:rsidP="00EA1BDF">
      <w:pPr>
        <w:pStyle w:val="NormalCenter12a"/>
      </w:pPr>
      <w:r w:rsidRPr="00F2427C">
        <w:t>°</w:t>
      </w:r>
      <w:r w:rsidRPr="00F2427C">
        <w:tab/>
        <w:t>°</w:t>
      </w:r>
    </w:p>
    <w:p w:rsidR="00E365E1" w:rsidRPr="00ED6BB6" w:rsidRDefault="00EA1BDF" w:rsidP="00D07971">
      <w:pPr>
        <w:ind w:left="567" w:hanging="567"/>
      </w:pPr>
      <w:r w:rsidRPr="00F2427C">
        <w:t>30.</w:t>
      </w:r>
      <w:r w:rsidRPr="00F2427C">
        <w:tab/>
        <w:t xml:space="preserve">sporoča, da so druge ugotovitve horizontalne narave, ki spremljajo sklep o razrešnici, zbrane v resoluciji z dne </w:t>
      </w:r>
      <w:r w:rsidR="00F2427C" w:rsidRPr="00F2427C">
        <w:t xml:space="preserve">11. aprila </w:t>
      </w:r>
      <w:r w:rsidRPr="00F2427C">
        <w:t>2024</w:t>
      </w:r>
      <w:r w:rsidRPr="00F2427C">
        <w:rPr>
          <w:rStyle w:val="FootnoteReference"/>
        </w:rPr>
        <w:footnoteReference w:id="13"/>
      </w:r>
      <w:r w:rsidRPr="00F2427C">
        <w:t xml:space="preserve"> o uspešnosti, finančnem </w:t>
      </w:r>
      <w:proofErr w:type="spellStart"/>
      <w:r w:rsidRPr="00F2427C">
        <w:t>poslovodenju</w:t>
      </w:r>
      <w:proofErr w:type="spellEnd"/>
      <w:r w:rsidRPr="00F2427C">
        <w:t xml:space="preserve"> in nadzoru agencij.</w:t>
      </w:r>
      <w:bookmarkStart w:id="11" w:name="TextBodyEnd"/>
      <w:bookmarkEnd w:id="11"/>
    </w:p>
    <w:sectPr w:rsidR="00E365E1" w:rsidRPr="00ED6BB6" w:rsidSect="00ED6BB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6E7" w:rsidRPr="00ED6BB6" w:rsidRDefault="00B516E7">
      <w:r w:rsidRPr="00ED6BB6">
        <w:separator/>
      </w:r>
    </w:p>
  </w:endnote>
  <w:endnote w:type="continuationSeparator" w:id="0">
    <w:p w:rsidR="00B516E7" w:rsidRPr="00ED6BB6" w:rsidRDefault="00B516E7">
      <w:r w:rsidRPr="00ED6B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BDF" w:rsidRPr="00ED6BB6" w:rsidRDefault="00EA1BDF" w:rsidP="00EC3DFE">
    <w:pPr>
      <w:pStyle w:val="EPFooter"/>
    </w:pPr>
    <w:r w:rsidRPr="00ED6BB6">
      <w:t>PE</w:t>
    </w:r>
    <w:r w:rsidRPr="00ED6BB6">
      <w:rPr>
        <w:rStyle w:val="HideTWBExt"/>
      </w:rPr>
      <w:t>&lt;</w:t>
    </w:r>
    <w:proofErr w:type="spellStart"/>
    <w:r w:rsidRPr="00ED6BB6">
      <w:rPr>
        <w:rStyle w:val="HideTWBExt"/>
      </w:rPr>
      <w:t>NoPE</w:t>
    </w:r>
    <w:proofErr w:type="spellEnd"/>
    <w:r w:rsidRPr="00ED6BB6">
      <w:rPr>
        <w:rStyle w:val="HideTWBExt"/>
      </w:rPr>
      <w:t>&gt;</w:t>
    </w:r>
    <w:r w:rsidRPr="00ED6BB6">
      <w:t>753.539</w:t>
    </w:r>
    <w:r w:rsidRPr="00ED6BB6">
      <w:rPr>
        <w:rStyle w:val="HideTWBExt"/>
      </w:rPr>
      <w:t>&lt;/</w:t>
    </w:r>
    <w:proofErr w:type="spellStart"/>
    <w:r w:rsidRPr="00ED6BB6">
      <w:rPr>
        <w:rStyle w:val="HideTWBExt"/>
      </w:rPr>
      <w:t>NoPE</w:t>
    </w:r>
    <w:proofErr w:type="spellEnd"/>
    <w:r w:rsidRPr="00ED6BB6">
      <w:rPr>
        <w:rStyle w:val="HideTWBExt"/>
      </w:rPr>
      <w:t>&gt;&lt;Version&gt;</w:t>
    </w:r>
    <w:r w:rsidRPr="00ED6BB6">
      <w:t>v02-00</w:t>
    </w:r>
    <w:r w:rsidRPr="00ED6BB6">
      <w:rPr>
        <w:rStyle w:val="HideTWBExt"/>
      </w:rPr>
      <w:t>&lt;/</w:t>
    </w:r>
    <w:proofErr w:type="spellStart"/>
    <w:r w:rsidRPr="00ED6BB6">
      <w:rPr>
        <w:rStyle w:val="HideTWBExt"/>
      </w:rPr>
      <w:t>Version</w:t>
    </w:r>
    <w:proofErr w:type="spellEnd"/>
    <w:r w:rsidRPr="00ED6BB6">
      <w:rPr>
        <w:rStyle w:val="HideTWBExt"/>
      </w:rPr>
      <w:t>&gt;</w:t>
    </w:r>
    <w:r w:rsidRPr="00ED6BB6">
      <w:tab/>
    </w:r>
    <w:r w:rsidRPr="00ED6BB6">
      <w:fldChar w:fldCharType="begin"/>
    </w:r>
    <w:r w:rsidRPr="00ED6BB6">
      <w:instrText xml:space="preserve"> PAGE  \* MERGEFORMAT </w:instrText>
    </w:r>
    <w:r w:rsidRPr="00ED6BB6">
      <w:fldChar w:fldCharType="separate"/>
    </w:r>
    <w:r w:rsidR="00ED6BB6" w:rsidRPr="00ED6BB6">
      <w:rPr>
        <w:noProof/>
      </w:rPr>
      <w:t>2</w:t>
    </w:r>
    <w:r w:rsidRPr="00ED6BB6">
      <w:fldChar w:fldCharType="end"/>
    </w:r>
    <w:r w:rsidRPr="00ED6BB6">
      <w:t>/</w:t>
    </w:r>
    <w:r w:rsidR="00D07971">
      <w:fldChar w:fldCharType="begin"/>
    </w:r>
    <w:r w:rsidR="00D07971">
      <w:instrText xml:space="preserve"> NUMPAGES  \* MERGEFORMAT </w:instrText>
    </w:r>
    <w:r w:rsidR="00D07971">
      <w:fldChar w:fldCharType="separate"/>
    </w:r>
    <w:r w:rsidR="00ED6BB6" w:rsidRPr="00ED6BB6">
      <w:rPr>
        <w:noProof/>
      </w:rPr>
      <w:t>4</w:t>
    </w:r>
    <w:r w:rsidR="00D07971">
      <w:rPr>
        <w:noProof/>
      </w:rPr>
      <w:fldChar w:fldCharType="end"/>
    </w:r>
    <w:r w:rsidRPr="00ED6BB6">
      <w:tab/>
    </w:r>
    <w:r w:rsidRPr="00ED6BB6">
      <w:rPr>
        <w:rStyle w:val="HideTWBExt"/>
      </w:rPr>
      <w:t>&lt;PathFdR&gt;</w:t>
    </w:r>
    <w:r w:rsidRPr="00ED6BB6">
      <w:t>RR\1298768SL.docx</w:t>
    </w:r>
    <w:r w:rsidRPr="00ED6BB6">
      <w:rPr>
        <w:rStyle w:val="HideTWBExt"/>
      </w:rPr>
      <w:t>&lt;/</w:t>
    </w:r>
    <w:proofErr w:type="spellStart"/>
    <w:r w:rsidRPr="00ED6BB6">
      <w:rPr>
        <w:rStyle w:val="HideTWBExt"/>
      </w:rPr>
      <w:t>PathFdR</w:t>
    </w:r>
    <w:proofErr w:type="spellEnd"/>
    <w:r w:rsidRPr="00ED6BB6">
      <w:rPr>
        <w:rStyle w:val="HideTWBExt"/>
      </w:rPr>
      <w:t>&gt;</w:t>
    </w:r>
  </w:p>
  <w:p w:rsidR="00EA1BDF" w:rsidRPr="00ED6BB6" w:rsidRDefault="00EA1BDF" w:rsidP="00EC3DFE">
    <w:pPr>
      <w:pStyle w:val="EPFooter2"/>
    </w:pPr>
    <w:r w:rsidRPr="00ED6BB6">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BDF" w:rsidRPr="00ED6BB6" w:rsidRDefault="00EA1BDF" w:rsidP="00EC3DF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BDF" w:rsidRPr="00ED6BB6" w:rsidRDefault="00EA1BDF" w:rsidP="00EC3DFE">
    <w:pPr>
      <w:pStyle w:val="EPFooter"/>
    </w:pPr>
    <w:r w:rsidRPr="00ED6BB6">
      <w:rPr>
        <w:rStyle w:val="HideTWBExt"/>
      </w:rPr>
      <w:t>&lt;PathFdR&gt;</w:t>
    </w:r>
    <w:r w:rsidRPr="00ED6BB6">
      <w:t>RR\1298768SL.docx</w:t>
    </w:r>
    <w:r w:rsidRPr="00ED6BB6">
      <w:rPr>
        <w:rStyle w:val="HideTWBExt"/>
      </w:rPr>
      <w:t>&lt;/</w:t>
    </w:r>
    <w:proofErr w:type="spellStart"/>
    <w:r w:rsidRPr="00ED6BB6">
      <w:rPr>
        <w:rStyle w:val="HideTWBExt"/>
      </w:rPr>
      <w:t>PathFdR</w:t>
    </w:r>
    <w:proofErr w:type="spellEnd"/>
    <w:r w:rsidRPr="00ED6BB6">
      <w:rPr>
        <w:rStyle w:val="HideTWBExt"/>
      </w:rPr>
      <w:t>&gt;</w:t>
    </w:r>
    <w:r w:rsidRPr="00ED6BB6">
      <w:tab/>
    </w:r>
    <w:r w:rsidRPr="00ED6BB6">
      <w:tab/>
      <w:t>PE</w:t>
    </w:r>
    <w:r w:rsidRPr="00ED6BB6">
      <w:rPr>
        <w:rStyle w:val="HideTWBExt"/>
      </w:rPr>
      <w:t>&lt;</w:t>
    </w:r>
    <w:proofErr w:type="spellStart"/>
    <w:r w:rsidRPr="00ED6BB6">
      <w:rPr>
        <w:rStyle w:val="HideTWBExt"/>
      </w:rPr>
      <w:t>NoPE</w:t>
    </w:r>
    <w:proofErr w:type="spellEnd"/>
    <w:r w:rsidRPr="00ED6BB6">
      <w:rPr>
        <w:rStyle w:val="HideTWBExt"/>
      </w:rPr>
      <w:t>&gt;</w:t>
    </w:r>
    <w:r w:rsidRPr="00ED6BB6">
      <w:t>753.539</w:t>
    </w:r>
    <w:r w:rsidRPr="00ED6BB6">
      <w:rPr>
        <w:rStyle w:val="HideTWBExt"/>
      </w:rPr>
      <w:t>&lt;/</w:t>
    </w:r>
    <w:proofErr w:type="spellStart"/>
    <w:r w:rsidRPr="00ED6BB6">
      <w:rPr>
        <w:rStyle w:val="HideTWBExt"/>
      </w:rPr>
      <w:t>NoPE</w:t>
    </w:r>
    <w:proofErr w:type="spellEnd"/>
    <w:r w:rsidRPr="00ED6BB6">
      <w:rPr>
        <w:rStyle w:val="HideTWBExt"/>
      </w:rPr>
      <w:t>&gt;&lt;Version&gt;</w:t>
    </w:r>
    <w:r w:rsidRPr="00ED6BB6">
      <w:t>v02-00</w:t>
    </w:r>
    <w:r w:rsidRPr="00ED6BB6">
      <w:rPr>
        <w:rStyle w:val="HideTWBExt"/>
      </w:rPr>
      <w:t>&lt;/</w:t>
    </w:r>
    <w:proofErr w:type="spellStart"/>
    <w:r w:rsidRPr="00ED6BB6">
      <w:rPr>
        <w:rStyle w:val="HideTWBExt"/>
      </w:rPr>
      <w:t>Version</w:t>
    </w:r>
    <w:proofErr w:type="spellEnd"/>
    <w:r w:rsidRPr="00ED6BB6">
      <w:rPr>
        <w:rStyle w:val="HideTWBExt"/>
      </w:rPr>
      <w:t>&gt;</w:t>
    </w:r>
  </w:p>
  <w:p w:rsidR="00EA1BDF" w:rsidRPr="00ED6BB6" w:rsidRDefault="00EA1BDF" w:rsidP="00EC3DFE">
    <w:pPr>
      <w:pStyle w:val="EPFooter2"/>
    </w:pPr>
    <w:r w:rsidRPr="00ED6BB6">
      <w:t>SL</w:t>
    </w:r>
    <w:r w:rsidRPr="00ED6BB6">
      <w:tab/>
    </w:r>
    <w:r w:rsidRPr="00ED6BB6">
      <w:rPr>
        <w:b w:val="0"/>
        <w:i/>
        <w:color w:val="C0C0C0"/>
        <w:sz w:val="22"/>
      </w:rPr>
      <w:t>Združena v raznolikosti</w:t>
    </w:r>
    <w:r w:rsidRPr="00ED6BB6">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6BB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6BB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6B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6E7" w:rsidRPr="00ED6BB6" w:rsidRDefault="00B516E7">
      <w:r w:rsidRPr="00ED6BB6">
        <w:separator/>
      </w:r>
    </w:p>
  </w:footnote>
  <w:footnote w:type="continuationSeparator" w:id="0">
    <w:p w:rsidR="00B516E7" w:rsidRPr="00ED6BB6" w:rsidRDefault="00B516E7">
      <w:r w:rsidRPr="00ED6BB6">
        <w:continuationSeparator/>
      </w:r>
    </w:p>
  </w:footnote>
  <w:footnote w:id="1">
    <w:p w:rsidR="00EA1BDF" w:rsidRPr="00F2427C" w:rsidRDefault="00EA1BDF" w:rsidP="00ED6BB6">
      <w:pPr>
        <w:pStyle w:val="FootnoteText"/>
        <w:ind w:left="567" w:hanging="567"/>
        <w:rPr>
          <w:sz w:val="24"/>
          <w:lang w:val="sl-SI"/>
        </w:rPr>
      </w:pPr>
      <w:r w:rsidRPr="00F2427C">
        <w:rPr>
          <w:rStyle w:val="FootnoteReference"/>
          <w:sz w:val="24"/>
          <w:lang w:val="sl-SI"/>
        </w:rPr>
        <w:footnoteRef/>
      </w:r>
      <w:r w:rsidR="00ED6BB6" w:rsidRPr="00F2427C">
        <w:rPr>
          <w:sz w:val="24"/>
          <w:lang w:val="sl-SI"/>
        </w:rPr>
        <w:t xml:space="preserve"> </w:t>
      </w:r>
      <w:r w:rsidR="00ED6BB6" w:rsidRPr="00F2427C">
        <w:rPr>
          <w:sz w:val="24"/>
          <w:lang w:val="sl-SI"/>
        </w:rPr>
        <w:tab/>
      </w:r>
      <w:r w:rsidRPr="00F2427C">
        <w:rPr>
          <w:sz w:val="24"/>
          <w:lang w:val="sl-SI"/>
        </w:rPr>
        <w:t>UL C, C/2023/594, 27.10.2023.</w:t>
      </w:r>
    </w:p>
  </w:footnote>
  <w:footnote w:id="2">
    <w:p w:rsidR="00EA1BDF" w:rsidRPr="00F2427C" w:rsidRDefault="00EA1BDF" w:rsidP="00ED6BB6">
      <w:pPr>
        <w:pStyle w:val="FootnoteText"/>
        <w:ind w:left="567" w:hanging="567"/>
        <w:rPr>
          <w:sz w:val="24"/>
          <w:lang w:val="sl-SI"/>
        </w:rPr>
      </w:pPr>
      <w:r w:rsidRPr="00F2427C">
        <w:rPr>
          <w:rStyle w:val="FootnoteReference"/>
          <w:sz w:val="24"/>
          <w:lang w:val="sl-SI"/>
        </w:rPr>
        <w:footnoteRef/>
      </w:r>
      <w:r w:rsidR="00ED6BB6" w:rsidRPr="00F2427C">
        <w:rPr>
          <w:sz w:val="24"/>
          <w:lang w:val="sl-SI"/>
        </w:rPr>
        <w:t xml:space="preserve"> </w:t>
      </w:r>
      <w:r w:rsidR="00ED6BB6" w:rsidRPr="00F2427C">
        <w:rPr>
          <w:sz w:val="24"/>
          <w:lang w:val="sl-SI"/>
        </w:rPr>
        <w:tab/>
      </w:r>
      <w:r w:rsidRPr="00F2427C">
        <w:rPr>
          <w:sz w:val="24"/>
          <w:lang w:val="sl-SI"/>
        </w:rPr>
        <w:t>UL C, C/2023/112, 12.10.2023.</w:t>
      </w:r>
    </w:p>
  </w:footnote>
  <w:footnote w:id="3">
    <w:p w:rsidR="00EA1BDF" w:rsidRPr="00F2427C" w:rsidRDefault="00EA1BDF" w:rsidP="00ED6BB6">
      <w:pPr>
        <w:pStyle w:val="FootnoteText"/>
        <w:ind w:left="567" w:hanging="567"/>
        <w:rPr>
          <w:sz w:val="24"/>
          <w:lang w:val="sl-SI"/>
        </w:rPr>
      </w:pPr>
      <w:r w:rsidRPr="00F2427C">
        <w:rPr>
          <w:rStyle w:val="FootnoteReference"/>
          <w:sz w:val="24"/>
          <w:lang w:val="sl-SI"/>
        </w:rPr>
        <w:footnoteRef/>
      </w:r>
      <w:r w:rsidR="00ED6BB6" w:rsidRPr="00F2427C">
        <w:rPr>
          <w:sz w:val="24"/>
          <w:lang w:val="sl-SI"/>
        </w:rPr>
        <w:t xml:space="preserve"> </w:t>
      </w:r>
      <w:r w:rsidR="00ED6BB6" w:rsidRPr="00F2427C">
        <w:rPr>
          <w:sz w:val="24"/>
          <w:lang w:val="sl-SI"/>
        </w:rPr>
        <w:tab/>
      </w:r>
      <w:r w:rsidRPr="00F2427C">
        <w:rPr>
          <w:sz w:val="24"/>
          <w:lang w:val="sl-SI"/>
        </w:rPr>
        <w:t>UL L 193, 30.7.2018, str. 1.</w:t>
      </w:r>
    </w:p>
  </w:footnote>
  <w:footnote w:id="4">
    <w:p w:rsidR="00EA1BDF" w:rsidRPr="00F2427C" w:rsidRDefault="00EA1BDF" w:rsidP="00ED6BB6">
      <w:pPr>
        <w:pStyle w:val="FootnoteText"/>
        <w:ind w:left="567" w:hanging="567"/>
        <w:rPr>
          <w:sz w:val="24"/>
          <w:lang w:val="sl-SI"/>
        </w:rPr>
      </w:pPr>
      <w:r w:rsidRPr="00F2427C">
        <w:rPr>
          <w:rStyle w:val="FootnoteReference"/>
          <w:sz w:val="24"/>
          <w:lang w:val="sl-SI"/>
        </w:rPr>
        <w:footnoteRef/>
      </w:r>
      <w:r w:rsidR="00ED6BB6" w:rsidRPr="00F2427C">
        <w:rPr>
          <w:sz w:val="24"/>
          <w:lang w:val="sl-SI"/>
        </w:rPr>
        <w:t xml:space="preserve"> </w:t>
      </w:r>
      <w:r w:rsidR="00ED6BB6" w:rsidRPr="00F2427C">
        <w:rPr>
          <w:sz w:val="24"/>
          <w:lang w:val="sl-SI"/>
        </w:rPr>
        <w:tab/>
      </w:r>
      <w:r w:rsidRPr="00F2427C">
        <w:rPr>
          <w:sz w:val="24"/>
          <w:lang w:val="sl-SI"/>
        </w:rPr>
        <w:t>UL L 295, 21.11.2018, str. 138.</w:t>
      </w:r>
    </w:p>
  </w:footnote>
  <w:footnote w:id="5">
    <w:p w:rsidR="00EA1BDF" w:rsidRPr="00F2427C" w:rsidRDefault="00EA1BDF" w:rsidP="00ED6BB6">
      <w:pPr>
        <w:pStyle w:val="FootnoteText"/>
        <w:ind w:left="567" w:hanging="567"/>
        <w:rPr>
          <w:sz w:val="24"/>
          <w:lang w:val="sl-SI"/>
        </w:rPr>
      </w:pPr>
      <w:r w:rsidRPr="00F2427C">
        <w:rPr>
          <w:rStyle w:val="FootnoteReference"/>
          <w:sz w:val="24"/>
          <w:lang w:val="sl-SI"/>
        </w:rPr>
        <w:footnoteRef/>
      </w:r>
      <w:r w:rsidR="00ED6BB6" w:rsidRPr="00F2427C">
        <w:rPr>
          <w:sz w:val="24"/>
          <w:lang w:val="sl-SI"/>
        </w:rPr>
        <w:t xml:space="preserve"> </w:t>
      </w:r>
      <w:r w:rsidR="00ED6BB6" w:rsidRPr="00F2427C">
        <w:rPr>
          <w:sz w:val="24"/>
          <w:lang w:val="sl-SI"/>
        </w:rPr>
        <w:tab/>
      </w:r>
      <w:r w:rsidRPr="00F2427C">
        <w:rPr>
          <w:sz w:val="24"/>
          <w:lang w:val="sl-SI"/>
        </w:rPr>
        <w:t>UL L 122, 10.5.2019, str. 1.</w:t>
      </w:r>
    </w:p>
  </w:footnote>
  <w:footnote w:id="6">
    <w:p w:rsidR="00EA1BDF" w:rsidRPr="00F2427C" w:rsidRDefault="00EA1BDF" w:rsidP="00ED6BB6">
      <w:pPr>
        <w:pStyle w:val="FootnoteText"/>
        <w:ind w:left="567" w:hanging="567"/>
        <w:rPr>
          <w:sz w:val="24"/>
          <w:lang w:val="sl-SI"/>
        </w:rPr>
      </w:pPr>
      <w:r w:rsidRPr="00F2427C">
        <w:rPr>
          <w:rStyle w:val="FootnoteReference"/>
          <w:sz w:val="24"/>
          <w:lang w:val="sl-SI"/>
        </w:rPr>
        <w:footnoteRef/>
      </w:r>
      <w:r w:rsidR="00ED6BB6" w:rsidRPr="00F2427C">
        <w:rPr>
          <w:sz w:val="24"/>
          <w:lang w:val="sl-SI"/>
        </w:rPr>
        <w:t xml:space="preserve"> </w:t>
      </w:r>
      <w:r w:rsidR="00ED6BB6" w:rsidRPr="00F2427C">
        <w:rPr>
          <w:sz w:val="24"/>
          <w:lang w:val="sl-SI"/>
        </w:rPr>
        <w:tab/>
      </w:r>
      <w:r w:rsidRPr="00F2427C">
        <w:rPr>
          <w:sz w:val="24"/>
          <w:lang w:val="sl-SI"/>
        </w:rPr>
        <w:t>UL C, C/2023/594, 27.10.2023.</w:t>
      </w:r>
    </w:p>
  </w:footnote>
  <w:footnote w:id="7">
    <w:p w:rsidR="00EA1BDF" w:rsidRPr="00F2427C" w:rsidRDefault="00EA1BDF" w:rsidP="00ED6BB6">
      <w:pPr>
        <w:pStyle w:val="FootnoteText"/>
        <w:ind w:left="567" w:hanging="567"/>
        <w:rPr>
          <w:sz w:val="24"/>
          <w:lang w:val="sl-SI"/>
        </w:rPr>
      </w:pPr>
      <w:r w:rsidRPr="00F2427C">
        <w:rPr>
          <w:rStyle w:val="FootnoteReference"/>
          <w:sz w:val="24"/>
          <w:lang w:val="sl-SI"/>
        </w:rPr>
        <w:footnoteRef/>
      </w:r>
      <w:r w:rsidR="00ED6BB6" w:rsidRPr="00F2427C">
        <w:rPr>
          <w:sz w:val="24"/>
          <w:lang w:val="sl-SI"/>
        </w:rPr>
        <w:t xml:space="preserve"> </w:t>
      </w:r>
      <w:r w:rsidR="00ED6BB6" w:rsidRPr="00F2427C">
        <w:rPr>
          <w:sz w:val="24"/>
          <w:lang w:val="sl-SI"/>
        </w:rPr>
        <w:tab/>
      </w:r>
      <w:r w:rsidRPr="00F2427C">
        <w:rPr>
          <w:sz w:val="24"/>
          <w:lang w:val="sl-SI"/>
        </w:rPr>
        <w:t>UL C, C/2023/112, 12.10.2023.</w:t>
      </w:r>
    </w:p>
  </w:footnote>
  <w:footnote w:id="8">
    <w:p w:rsidR="00EA1BDF" w:rsidRPr="00F2427C" w:rsidRDefault="00EA1BDF" w:rsidP="00ED6BB6">
      <w:pPr>
        <w:pStyle w:val="FootnoteText"/>
        <w:ind w:left="567" w:hanging="567"/>
        <w:rPr>
          <w:sz w:val="24"/>
          <w:lang w:val="sl-SI"/>
        </w:rPr>
      </w:pPr>
      <w:r w:rsidRPr="00F2427C">
        <w:rPr>
          <w:rStyle w:val="FootnoteReference"/>
          <w:sz w:val="24"/>
          <w:lang w:val="sl-SI"/>
        </w:rPr>
        <w:footnoteRef/>
      </w:r>
      <w:r w:rsidR="00ED6BB6" w:rsidRPr="00F2427C">
        <w:rPr>
          <w:sz w:val="24"/>
          <w:lang w:val="sl-SI"/>
        </w:rPr>
        <w:t xml:space="preserve"> </w:t>
      </w:r>
      <w:r w:rsidR="00ED6BB6" w:rsidRPr="00F2427C">
        <w:rPr>
          <w:sz w:val="24"/>
          <w:lang w:val="sl-SI"/>
        </w:rPr>
        <w:tab/>
      </w:r>
      <w:r w:rsidRPr="00F2427C">
        <w:rPr>
          <w:sz w:val="24"/>
          <w:lang w:val="sl-SI"/>
        </w:rPr>
        <w:t>UL L 193, 30.7.2018, str. 1.</w:t>
      </w:r>
    </w:p>
  </w:footnote>
  <w:footnote w:id="9">
    <w:p w:rsidR="00EA1BDF" w:rsidRPr="00F2427C" w:rsidRDefault="00EA1BDF" w:rsidP="00ED6BB6">
      <w:pPr>
        <w:pStyle w:val="FootnoteText"/>
        <w:ind w:left="567" w:hanging="567"/>
        <w:rPr>
          <w:sz w:val="24"/>
          <w:lang w:val="sl-SI"/>
        </w:rPr>
      </w:pPr>
      <w:r w:rsidRPr="00F2427C">
        <w:rPr>
          <w:rStyle w:val="FootnoteReference"/>
          <w:sz w:val="24"/>
          <w:lang w:val="sl-SI"/>
        </w:rPr>
        <w:footnoteRef/>
      </w:r>
      <w:r w:rsidR="00ED6BB6" w:rsidRPr="00F2427C">
        <w:rPr>
          <w:sz w:val="24"/>
          <w:lang w:val="sl-SI"/>
        </w:rPr>
        <w:t xml:space="preserve"> </w:t>
      </w:r>
      <w:r w:rsidR="00ED6BB6" w:rsidRPr="00F2427C">
        <w:rPr>
          <w:sz w:val="24"/>
          <w:lang w:val="sl-SI"/>
        </w:rPr>
        <w:tab/>
      </w:r>
      <w:r w:rsidRPr="00F2427C">
        <w:rPr>
          <w:sz w:val="24"/>
          <w:lang w:val="sl-SI"/>
        </w:rPr>
        <w:t>UL L 295, 21.11.2018, str. 138.</w:t>
      </w:r>
    </w:p>
  </w:footnote>
  <w:footnote w:id="10">
    <w:p w:rsidR="00EA1BDF" w:rsidRPr="00F2427C" w:rsidRDefault="00EA1BDF" w:rsidP="00ED6BB6">
      <w:pPr>
        <w:pStyle w:val="FootnoteText"/>
        <w:ind w:left="567" w:hanging="567"/>
        <w:rPr>
          <w:sz w:val="24"/>
          <w:lang w:val="sl-SI"/>
        </w:rPr>
      </w:pPr>
      <w:r w:rsidRPr="00F2427C">
        <w:rPr>
          <w:rStyle w:val="FootnoteReference"/>
          <w:sz w:val="24"/>
          <w:lang w:val="sl-SI"/>
        </w:rPr>
        <w:footnoteRef/>
      </w:r>
      <w:r w:rsidR="00ED6BB6" w:rsidRPr="00F2427C">
        <w:rPr>
          <w:sz w:val="24"/>
          <w:lang w:val="sl-SI"/>
        </w:rPr>
        <w:t xml:space="preserve"> </w:t>
      </w:r>
      <w:r w:rsidR="00ED6BB6" w:rsidRPr="00F2427C">
        <w:rPr>
          <w:sz w:val="24"/>
          <w:lang w:val="sl-SI"/>
        </w:rPr>
        <w:tab/>
      </w:r>
      <w:r w:rsidRPr="00F2427C">
        <w:rPr>
          <w:sz w:val="24"/>
          <w:lang w:val="sl-SI"/>
        </w:rPr>
        <w:t>UL L 122, 10.5.2019, str. 1.</w:t>
      </w:r>
    </w:p>
  </w:footnote>
  <w:footnote w:id="11">
    <w:p w:rsidR="00EA1BDF" w:rsidRPr="00F2427C" w:rsidRDefault="00EA1BDF" w:rsidP="00ED6BB6">
      <w:pPr>
        <w:pStyle w:val="FootnoteText"/>
        <w:ind w:left="567" w:hanging="567"/>
        <w:rPr>
          <w:sz w:val="24"/>
          <w:lang w:val="sl-SI"/>
        </w:rPr>
      </w:pPr>
      <w:r w:rsidRPr="00F2427C">
        <w:rPr>
          <w:rStyle w:val="FootnoteReference"/>
          <w:sz w:val="24"/>
          <w:lang w:val="sl-SI"/>
        </w:rPr>
        <w:footnoteRef/>
      </w:r>
      <w:r w:rsidR="00ED6BB6" w:rsidRPr="00F2427C">
        <w:rPr>
          <w:sz w:val="24"/>
          <w:lang w:val="sl-SI"/>
        </w:rPr>
        <w:t xml:space="preserve"> </w:t>
      </w:r>
      <w:r w:rsidR="00ED6BB6" w:rsidRPr="00F2427C">
        <w:rPr>
          <w:sz w:val="24"/>
          <w:lang w:val="sl-SI"/>
        </w:rPr>
        <w:tab/>
      </w:r>
      <w:r w:rsidRPr="00F2427C">
        <w:rPr>
          <w:sz w:val="24"/>
          <w:lang w:val="sl-SI"/>
        </w:rPr>
        <w:t>UL C 38, 31.1.2023, str. 194.</w:t>
      </w:r>
    </w:p>
  </w:footnote>
  <w:footnote w:id="12">
    <w:p w:rsidR="00F2427C" w:rsidRPr="00D07971" w:rsidRDefault="00F2427C" w:rsidP="00D07971">
      <w:pPr>
        <w:pStyle w:val="FootnoteText"/>
        <w:ind w:left="567" w:hanging="567"/>
        <w:rPr>
          <w:sz w:val="24"/>
          <w:szCs w:val="24"/>
          <w:lang w:val="sl-SI"/>
        </w:rPr>
      </w:pPr>
      <w:r w:rsidRPr="00D07971">
        <w:rPr>
          <w:rStyle w:val="FootnoteReference"/>
          <w:sz w:val="24"/>
          <w:szCs w:val="24"/>
        </w:rPr>
        <w:footnoteRef/>
      </w:r>
      <w:r w:rsidRPr="00D07971">
        <w:rPr>
          <w:sz w:val="24"/>
          <w:szCs w:val="24"/>
          <w:lang w:val="sl-SI"/>
        </w:rPr>
        <w:t xml:space="preserve"> </w:t>
      </w:r>
      <w:r w:rsidRPr="00D07971">
        <w:rPr>
          <w:sz w:val="24"/>
          <w:szCs w:val="24"/>
          <w:lang w:val="sl-SI"/>
        </w:rPr>
        <w:tab/>
      </w:r>
      <w:r w:rsidRPr="00D07971">
        <w:rPr>
          <w:bCs/>
          <w:color w:val="333333"/>
          <w:sz w:val="24"/>
          <w:szCs w:val="24"/>
          <w:shd w:val="clear" w:color="auto" w:fill="FFFFFF"/>
          <w:lang w:val="sl-SI"/>
        </w:rPr>
        <w:t>Uredba (EU) 2018/1725 Evropskega parlamenta in Sveta z dne 23. oktobra 2018 o varstvu posameznikov pri obdelavi osebnih podatkov v institucijah, organih, uradih in agencijah Unije in o prostem pretoku takih podatkov ter o razveljavitvi Uredbe (ES) št. 45/2001 in Sklepa št. 1247/2002/ES</w:t>
      </w:r>
      <w:r w:rsidRPr="00D07971">
        <w:rPr>
          <w:sz w:val="24"/>
          <w:szCs w:val="24"/>
          <w:lang w:val="sl-SI"/>
        </w:rPr>
        <w:t xml:space="preserve"> (UL L 295, 21.11.2018, str. 39).</w:t>
      </w:r>
    </w:p>
  </w:footnote>
  <w:footnote w:id="13">
    <w:p w:rsidR="00EA1BDF" w:rsidRPr="00ED6BB6" w:rsidRDefault="00EA1BDF" w:rsidP="00ED6BB6">
      <w:pPr>
        <w:pStyle w:val="FootnoteText"/>
        <w:ind w:left="567" w:hanging="567"/>
        <w:rPr>
          <w:sz w:val="24"/>
          <w:lang w:val="sl-SI"/>
        </w:rPr>
      </w:pPr>
      <w:r w:rsidRPr="00F2427C">
        <w:rPr>
          <w:rStyle w:val="FootnoteReference"/>
          <w:sz w:val="24"/>
          <w:lang w:val="sl-SI"/>
        </w:rPr>
        <w:footnoteRef/>
      </w:r>
      <w:r w:rsidR="00ED6BB6" w:rsidRPr="00F2427C">
        <w:rPr>
          <w:sz w:val="24"/>
          <w:lang w:val="sl-SI"/>
        </w:rPr>
        <w:t xml:space="preserve"> </w:t>
      </w:r>
      <w:r w:rsidR="00ED6BB6" w:rsidRPr="00F2427C">
        <w:rPr>
          <w:sz w:val="24"/>
          <w:lang w:val="sl-SI"/>
        </w:rPr>
        <w:tab/>
      </w:r>
      <w:r w:rsidRPr="00F2427C">
        <w:rPr>
          <w:sz w:val="24"/>
          <w:lang w:val="sl-SI"/>
        </w:rPr>
        <w:t>Sprejeta besedila, P9_TA(2024)</w:t>
      </w:r>
      <w:r w:rsidR="00D07971">
        <w:rPr>
          <w:sz w:val="24"/>
          <w:lang w:val="sl-SI"/>
        </w:rPr>
        <w:t>0280</w:t>
      </w:r>
      <w:bookmarkStart w:id="10" w:name="_GoBack"/>
      <w:bookmarkEnd w:id="10"/>
      <w:r w:rsidRPr="00F2427C">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BDF" w:rsidRPr="00ED6BB6" w:rsidRDefault="00EA1B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BDF" w:rsidRPr="00ED6BB6" w:rsidRDefault="00EA1B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BDF" w:rsidRPr="00ED6BB6" w:rsidRDefault="00EA1B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6BB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6BB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6B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SL"/>
    <w:docVar w:name="dvnumam" w:val="0"/>
    <w:docVar w:name="dvpe" w:val="753.539"/>
    <w:docVar w:name="dvrapporteur" w:val="Poročevalec: "/>
    <w:docVar w:name="dvtitre" w:val="Sklep Evropskega parlamenta z dne … 2024 o razrešnici glede izvrševanja proračuna Agencije Evropske unije za pravosodno sodelovanje v kazenskih zadevah (Eurojust) za proračunsko leto 2022(2023/2168(DEC))"/>
  </w:docVars>
  <w:rsids>
    <w:rsidRoot w:val="00B516E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C25"/>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3984"/>
    <w:rsid w:val="00930C23"/>
    <w:rsid w:val="0093193B"/>
    <w:rsid w:val="009509D8"/>
    <w:rsid w:val="00950B64"/>
    <w:rsid w:val="00981893"/>
    <w:rsid w:val="00A1687D"/>
    <w:rsid w:val="00A3014C"/>
    <w:rsid w:val="00A43E52"/>
    <w:rsid w:val="00A4678D"/>
    <w:rsid w:val="00A778C7"/>
    <w:rsid w:val="00AB441E"/>
    <w:rsid w:val="00AB6293"/>
    <w:rsid w:val="00AE0928"/>
    <w:rsid w:val="00AF3B82"/>
    <w:rsid w:val="00B12E95"/>
    <w:rsid w:val="00B22876"/>
    <w:rsid w:val="00B516E7"/>
    <w:rsid w:val="00B558F0"/>
    <w:rsid w:val="00BA4D7E"/>
    <w:rsid w:val="00BD48FE"/>
    <w:rsid w:val="00BD7BD8"/>
    <w:rsid w:val="00BE6ADC"/>
    <w:rsid w:val="00C05BFE"/>
    <w:rsid w:val="00C23CD4"/>
    <w:rsid w:val="00C61C0C"/>
    <w:rsid w:val="00C941CB"/>
    <w:rsid w:val="00CC2357"/>
    <w:rsid w:val="00CF071A"/>
    <w:rsid w:val="00D058B8"/>
    <w:rsid w:val="00D07971"/>
    <w:rsid w:val="00D56C11"/>
    <w:rsid w:val="00D834A0"/>
    <w:rsid w:val="00D872DF"/>
    <w:rsid w:val="00D91E21"/>
    <w:rsid w:val="00DA7FCD"/>
    <w:rsid w:val="00E365E1"/>
    <w:rsid w:val="00E820A4"/>
    <w:rsid w:val="00EA1BDF"/>
    <w:rsid w:val="00EB006A"/>
    <w:rsid w:val="00EB4772"/>
    <w:rsid w:val="00ED169E"/>
    <w:rsid w:val="00ED4235"/>
    <w:rsid w:val="00ED6BB6"/>
    <w:rsid w:val="00F04346"/>
    <w:rsid w:val="00F075DC"/>
    <w:rsid w:val="00F149E9"/>
    <w:rsid w:val="00F2427C"/>
    <w:rsid w:val="00F5134D"/>
    <w:rsid w:val="00F74202"/>
    <w:rsid w:val="00F87713"/>
    <w:rsid w:val="00FB12D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2F07D8"/>
  <w15:chartTrackingRefBased/>
  <w15:docId w15:val="{D62B8BE0-E9CC-455A-B85B-EE6AE9705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A1BD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A1BDF"/>
    <w:pPr>
      <w:spacing w:before="480" w:after="240"/>
    </w:pPr>
  </w:style>
  <w:style w:type="paragraph" w:customStyle="1" w:styleId="PageHeading">
    <w:name w:val="PageHeading"/>
    <w:basedOn w:val="Normal"/>
    <w:rsid w:val="00EA1BDF"/>
    <w:pPr>
      <w:keepNext/>
      <w:spacing w:after="480"/>
      <w:jc w:val="center"/>
    </w:pPr>
    <w:rPr>
      <w:rFonts w:ascii="Arial" w:hAnsi="Arial" w:cs="Arial"/>
      <w:b/>
    </w:rPr>
  </w:style>
  <w:style w:type="paragraph" w:customStyle="1" w:styleId="NormalBold">
    <w:name w:val="NormalBold"/>
    <w:basedOn w:val="Normal"/>
    <w:rsid w:val="00EA1BDF"/>
    <w:rPr>
      <w:b/>
    </w:rPr>
  </w:style>
  <w:style w:type="paragraph" w:customStyle="1" w:styleId="NormalHanging12a">
    <w:name w:val="NormalHanging12a"/>
    <w:basedOn w:val="Normal"/>
    <w:link w:val="NormalHanging12aChar"/>
    <w:rsid w:val="00EA1BDF"/>
    <w:pPr>
      <w:spacing w:after="240"/>
      <w:ind w:left="567" w:hanging="567"/>
    </w:pPr>
  </w:style>
  <w:style w:type="paragraph" w:customStyle="1" w:styleId="NormalCenter12a">
    <w:name w:val="NormalCenter12a"/>
    <w:basedOn w:val="Normal"/>
    <w:rsid w:val="00EA1BDF"/>
    <w:pPr>
      <w:spacing w:after="240"/>
      <w:jc w:val="center"/>
    </w:pPr>
  </w:style>
  <w:style w:type="paragraph" w:styleId="Header">
    <w:name w:val="header"/>
    <w:basedOn w:val="Normal"/>
    <w:link w:val="HeaderChar"/>
    <w:rsid w:val="00EA1BDF"/>
    <w:pPr>
      <w:tabs>
        <w:tab w:val="center" w:pos="4513"/>
        <w:tab w:val="right" w:pos="9026"/>
      </w:tabs>
    </w:pPr>
  </w:style>
  <w:style w:type="character" w:customStyle="1" w:styleId="HeaderChar">
    <w:name w:val="Header Char"/>
    <w:basedOn w:val="DefaultParagraphFont"/>
    <w:link w:val="Header"/>
    <w:rsid w:val="00EA1BDF"/>
    <w:rPr>
      <w:sz w:val="24"/>
      <w:lang w:val="sl-SI"/>
    </w:rPr>
  </w:style>
  <w:style w:type="paragraph" w:customStyle="1" w:styleId="EPFooter">
    <w:name w:val="EPFooter"/>
    <w:basedOn w:val="Normal"/>
    <w:rsid w:val="00EA1BD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A1BDF"/>
    <w:rPr>
      <w:sz w:val="24"/>
      <w:lang w:val="sl-SI"/>
    </w:rPr>
  </w:style>
  <w:style w:type="character" w:customStyle="1" w:styleId="Normal12HangingChar">
    <w:name w:val="Normal12Hanging Char"/>
    <w:link w:val="Normal12Hanging"/>
    <w:locked/>
    <w:rsid w:val="00EA1BDF"/>
    <w:rPr>
      <w:sz w:val="24"/>
    </w:rPr>
  </w:style>
  <w:style w:type="paragraph" w:customStyle="1" w:styleId="Normal12Hanging">
    <w:name w:val="Normal12Hanging"/>
    <w:basedOn w:val="Normal"/>
    <w:link w:val="Normal12HangingChar"/>
    <w:rsid w:val="00EA1BDF"/>
    <w:pPr>
      <w:spacing w:after="240"/>
      <w:ind w:left="567" w:hanging="567"/>
    </w:pPr>
    <w:rPr>
      <w:lang w:val="en-GB"/>
    </w:rPr>
  </w:style>
  <w:style w:type="paragraph" w:styleId="BalloonText">
    <w:name w:val="Balloon Text"/>
    <w:basedOn w:val="Normal"/>
    <w:link w:val="BalloonTextChar"/>
    <w:rsid w:val="00F2427C"/>
    <w:rPr>
      <w:rFonts w:ascii="Segoe UI" w:hAnsi="Segoe UI" w:cs="Segoe UI"/>
      <w:sz w:val="18"/>
      <w:szCs w:val="18"/>
    </w:rPr>
  </w:style>
  <w:style w:type="character" w:customStyle="1" w:styleId="BalloonTextChar">
    <w:name w:val="Balloon Text Char"/>
    <w:basedOn w:val="DefaultParagraphFont"/>
    <w:link w:val="BalloonText"/>
    <w:rsid w:val="00F2427C"/>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1BECB-EF99-4F64-AC61-25DC502FD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4368</Words>
  <Characters>25597</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2024-04-11T12:58:00Z</dcterms:created>
  <dcterms:modified xsi:type="dcterms:W3CDTF">2024-04-11T12:58:00Z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A9-0099/2024</vt:lpwstr>
  </property>
  <property fmtid="{D5CDD505-2E9C-101B-9397-08002B2CF9AE}" pid="4" name="&lt;Type&gt;">
    <vt:lpwstr>RR</vt:lpwstr>
  </property>
</Properties>
</file>