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2D10" w14:paraId="7C2D9FB6" w14:textId="77777777" w:rsidTr="0010095E">
        <w:trPr>
          <w:trHeight w:hRule="exact" w:val="1418"/>
        </w:trPr>
        <w:tc>
          <w:tcPr>
            <w:tcW w:w="6804" w:type="dxa"/>
            <w:shd w:val="clear" w:color="auto" w:fill="auto"/>
            <w:vAlign w:val="center"/>
          </w:tcPr>
          <w:p w14:paraId="6CC96609" w14:textId="77777777" w:rsidR="00751A4A" w:rsidRPr="005D2D10" w:rsidRDefault="00846602" w:rsidP="0010095E">
            <w:pPr>
              <w:pStyle w:val="EPName"/>
            </w:pPr>
            <w:r w:rsidRPr="005D2D10">
              <w:t>Europaparlamentet</w:t>
            </w:r>
          </w:p>
          <w:p w14:paraId="055C4AA1" w14:textId="77777777" w:rsidR="00751A4A" w:rsidRPr="005D2D10" w:rsidRDefault="00817416" w:rsidP="00756632">
            <w:pPr>
              <w:pStyle w:val="EPTerm"/>
              <w:rPr>
                <w:rStyle w:val="HideTWBExt"/>
                <w:noProof w:val="0"/>
                <w:vanish w:val="0"/>
                <w:color w:val="auto"/>
              </w:rPr>
            </w:pPr>
            <w:r w:rsidRPr="005D2D10">
              <w:t>2019-2024</w:t>
            </w:r>
          </w:p>
        </w:tc>
        <w:tc>
          <w:tcPr>
            <w:tcW w:w="2268" w:type="dxa"/>
            <w:shd w:val="clear" w:color="auto" w:fill="auto"/>
          </w:tcPr>
          <w:p w14:paraId="40A7B092" w14:textId="77777777" w:rsidR="00751A4A" w:rsidRPr="005D2D10" w:rsidRDefault="00187494" w:rsidP="0010095E">
            <w:pPr>
              <w:pStyle w:val="EPLogo"/>
            </w:pPr>
            <w:r w:rsidRPr="005D2D10">
              <w:rPr>
                <w:noProof/>
                <w:lang w:val="en-GB"/>
              </w:rPr>
              <w:drawing>
                <wp:inline distT="0" distB="0" distL="0" distR="0" wp14:anchorId="157DF953" wp14:editId="1CD2A8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54FEAD" w14:textId="77777777" w:rsidR="00D058B8" w:rsidRPr="005D2D10" w:rsidRDefault="00D058B8" w:rsidP="004C5D52">
      <w:pPr>
        <w:pStyle w:val="LineTop"/>
      </w:pPr>
    </w:p>
    <w:p w14:paraId="40BB32E7" w14:textId="77777777" w:rsidR="00680577" w:rsidRPr="005D2D10" w:rsidRDefault="00846602" w:rsidP="00680577">
      <w:pPr>
        <w:pStyle w:val="EPBodyTA1"/>
      </w:pPr>
      <w:r w:rsidRPr="005D2D10">
        <w:t>ANTAGNA TEXTER</w:t>
      </w:r>
    </w:p>
    <w:p w14:paraId="689C8BBA" w14:textId="77777777" w:rsidR="00D058B8" w:rsidRPr="005D2D10" w:rsidRDefault="00D058B8" w:rsidP="00D058B8">
      <w:pPr>
        <w:pStyle w:val="LineBottom"/>
      </w:pPr>
    </w:p>
    <w:p w14:paraId="58A9472B" w14:textId="224AF1E9" w:rsidR="00846602" w:rsidRPr="005D2D10" w:rsidRDefault="00846602" w:rsidP="00846602">
      <w:pPr>
        <w:pStyle w:val="ATHeading1"/>
      </w:pPr>
      <w:bookmarkStart w:id="0" w:name="TANumber"/>
      <w:r w:rsidRPr="005D2D10">
        <w:t>P9_TA(2024)0</w:t>
      </w:r>
      <w:bookmarkEnd w:id="0"/>
      <w:r w:rsidR="005D2D10" w:rsidRPr="005D2D10">
        <w:t>246</w:t>
      </w:r>
    </w:p>
    <w:p w14:paraId="711C2C56" w14:textId="77777777" w:rsidR="00846602" w:rsidRPr="005D2D10" w:rsidRDefault="00846602" w:rsidP="00846602">
      <w:pPr>
        <w:pStyle w:val="ATHeading2"/>
      </w:pPr>
      <w:bookmarkStart w:id="1" w:name="title"/>
      <w:r w:rsidRPr="005D2D10">
        <w:t>Ansvarsfrihet 2022: Europeiska unionens byrå för straffrättsligt samarbete (Eurojust)</w:t>
      </w:r>
      <w:bookmarkEnd w:id="1"/>
    </w:p>
    <w:p w14:paraId="60DDD8C6" w14:textId="77777777" w:rsidR="00846602" w:rsidRPr="005D2D10" w:rsidRDefault="00846602" w:rsidP="00846602">
      <w:pPr>
        <w:rPr>
          <w:i/>
          <w:vanish/>
        </w:rPr>
      </w:pPr>
      <w:r w:rsidRPr="005D2D10">
        <w:rPr>
          <w:i/>
        </w:rPr>
        <w:fldChar w:fldCharType="begin"/>
      </w:r>
      <w:r w:rsidRPr="005D2D10">
        <w:rPr>
          <w:i/>
        </w:rPr>
        <w:instrText xml:space="preserve"> TC"(</w:instrText>
      </w:r>
      <w:bookmarkStart w:id="2" w:name="DocNumber"/>
      <w:r w:rsidRPr="005D2D10">
        <w:rPr>
          <w:i/>
        </w:rPr>
        <w:instrText>A9-0099/2024</w:instrText>
      </w:r>
      <w:bookmarkEnd w:id="2"/>
      <w:r w:rsidRPr="005D2D10">
        <w:rPr>
          <w:i/>
        </w:rPr>
        <w:instrText xml:space="preserve"> - Föredragande: Petri Sarvamaa)"\l3 \n&gt; \* MERGEFORMAT </w:instrText>
      </w:r>
      <w:r w:rsidRPr="005D2D10">
        <w:rPr>
          <w:i/>
        </w:rPr>
        <w:fldChar w:fldCharType="end"/>
      </w:r>
    </w:p>
    <w:p w14:paraId="39D215BF" w14:textId="77777777" w:rsidR="00846602" w:rsidRPr="005D2D10" w:rsidRDefault="00846602" w:rsidP="00846602">
      <w:pPr>
        <w:rPr>
          <w:vanish/>
        </w:rPr>
      </w:pPr>
      <w:bookmarkStart w:id="3" w:name="Commission"/>
      <w:r w:rsidRPr="005D2D10">
        <w:rPr>
          <w:vanish/>
        </w:rPr>
        <w:t>Budgetkontrollutskottet</w:t>
      </w:r>
      <w:bookmarkEnd w:id="3"/>
    </w:p>
    <w:p w14:paraId="4B9916DB" w14:textId="77777777" w:rsidR="00846602" w:rsidRPr="005D2D10" w:rsidRDefault="00846602" w:rsidP="00846602">
      <w:pPr>
        <w:rPr>
          <w:vanish/>
        </w:rPr>
      </w:pPr>
      <w:bookmarkStart w:id="4" w:name="PE"/>
      <w:r w:rsidRPr="005D2D10">
        <w:rPr>
          <w:vanish/>
        </w:rPr>
        <w:t>PE753.539</w:t>
      </w:r>
      <w:bookmarkEnd w:id="4"/>
    </w:p>
    <w:p w14:paraId="4B0E9A90" w14:textId="77777777" w:rsidR="00846602" w:rsidRPr="005D2D10" w:rsidRDefault="005E4D4E" w:rsidP="00846602">
      <w:pPr>
        <w:pStyle w:val="ATHeading3"/>
      </w:pPr>
      <w:bookmarkStart w:id="5" w:name="Sujet"/>
      <w:r w:rsidRPr="005D2D10">
        <w:t xml:space="preserve">1. </w:t>
      </w:r>
      <w:r w:rsidR="00846602" w:rsidRPr="005D2D10">
        <w:t xml:space="preserve">Europaparlamentets beslut av den </w:t>
      </w:r>
      <w:r w:rsidRPr="005D2D10">
        <w:t>11</w:t>
      </w:r>
      <w:r w:rsidR="00846602" w:rsidRPr="005D2D10">
        <w:t xml:space="preserve"> </w:t>
      </w:r>
      <w:r w:rsidRPr="005D2D10">
        <w:t>april</w:t>
      </w:r>
      <w:r w:rsidR="00846602" w:rsidRPr="005D2D10">
        <w:t xml:space="preserve"> 2024 om ansvarsfrihet för genomförandet av budgeten för Europeiska unionens byrå för straffrättsligt samarbete (Eurojust) för budgetåret 2022</w:t>
      </w:r>
      <w:bookmarkEnd w:id="5"/>
      <w:r w:rsidR="00846602" w:rsidRPr="005D2D10">
        <w:t xml:space="preserve"> </w:t>
      </w:r>
      <w:bookmarkStart w:id="6" w:name="References"/>
      <w:r w:rsidR="00846602" w:rsidRPr="005D2D10">
        <w:t>(2023/2168(DEC))</w:t>
      </w:r>
      <w:bookmarkEnd w:id="6"/>
    </w:p>
    <w:p w14:paraId="0A4C5956" w14:textId="77777777" w:rsidR="0050602F" w:rsidRPr="005D2D10" w:rsidRDefault="0050602F" w:rsidP="0050602F">
      <w:pPr>
        <w:pStyle w:val="EPComma"/>
      </w:pPr>
      <w:bookmarkStart w:id="7" w:name="TextBodyBegin"/>
      <w:bookmarkEnd w:id="7"/>
      <w:r w:rsidRPr="005D2D10">
        <w:rPr>
          <w:i/>
        </w:rPr>
        <w:t>Europaparlamentet fattar detta beslut</w:t>
      </w:r>
    </w:p>
    <w:p w14:paraId="2E0BF59C" w14:textId="77777777" w:rsidR="0050602F" w:rsidRPr="005D2D10" w:rsidRDefault="0050602F" w:rsidP="0050602F">
      <w:pPr>
        <w:pStyle w:val="NormalHanging12a"/>
      </w:pPr>
      <w:r w:rsidRPr="005D2D10">
        <w:t>–</w:t>
      </w:r>
      <w:r w:rsidRPr="005D2D10">
        <w:tab/>
        <w:t>med beaktande av den slutliga årsredovisningen för Europeiska unionens byrå för straffrättsligt samarbete (Eurojust) för budgetåret 2022,</w:t>
      </w:r>
    </w:p>
    <w:p w14:paraId="1BDA3272" w14:textId="77777777" w:rsidR="0050602F" w:rsidRPr="005D2D10" w:rsidRDefault="0050602F" w:rsidP="0050602F">
      <w:pPr>
        <w:pStyle w:val="NormalHanging12a"/>
      </w:pPr>
      <w:r w:rsidRPr="005D2D10">
        <w:t>–</w:t>
      </w:r>
      <w:r w:rsidRPr="005D2D10">
        <w:tab/>
        <w:t>med beaktande av revisionsrättens årsrapport om EU:s byråer för budgetåret 2022, med byråernas svar</w:t>
      </w:r>
      <w:r w:rsidRPr="005D2D10">
        <w:rPr>
          <w:rStyle w:val="FootnoteReference"/>
        </w:rPr>
        <w:footnoteReference w:id="1"/>
      </w:r>
      <w:r w:rsidRPr="005D2D10">
        <w:t>,</w:t>
      </w:r>
    </w:p>
    <w:p w14:paraId="1CCE11EA" w14:textId="77777777" w:rsidR="0050602F" w:rsidRPr="005D2D10" w:rsidRDefault="0050602F" w:rsidP="0050602F">
      <w:pPr>
        <w:pStyle w:val="NormalHanging12a"/>
      </w:pPr>
      <w:r w:rsidRPr="005D2D10">
        <w:t>–</w:t>
      </w:r>
      <w:r w:rsidRPr="005D2D10">
        <w:tab/>
        <w:t>med beaktande av förklaringen om räkenskapernas tillförlitlighet och de underliggande transaktionernas laglighet och korrekthet</w:t>
      </w:r>
      <w:r w:rsidRPr="005D2D10">
        <w:rPr>
          <w:rStyle w:val="FootnoteReference"/>
        </w:rPr>
        <w:footnoteReference w:id="2"/>
      </w:r>
      <w:r w:rsidRPr="005D2D10">
        <w:t>, som avgetts av revisionsrätten för budgetåret 2022 i enlighet med artikel 287 i fördraget om Europeiska unionens funktionssätt,</w:t>
      </w:r>
    </w:p>
    <w:p w14:paraId="2891F0F6" w14:textId="0E5C3E5A" w:rsidR="0050602F" w:rsidRPr="005D2D10" w:rsidRDefault="0050602F" w:rsidP="0050602F">
      <w:pPr>
        <w:pStyle w:val="NormalHanging12a"/>
      </w:pPr>
      <w:r w:rsidRPr="005D2D10">
        <w:t>–</w:t>
      </w:r>
      <w:r w:rsidRPr="005D2D10">
        <w:tab/>
        <w:t>med beaktande av rådets rekommendation av den 22 februari 2024 om att bevilja byrån ansvarsfrihet för genomförandet av budgeten för budgetåret 2022 (</w:t>
      </w:r>
      <w:r w:rsidR="005E4D4E" w:rsidRPr="005D2D10">
        <w:t>06180</w:t>
      </w:r>
      <w:r w:rsidRPr="005D2D10">
        <w:t>/2024 – C9</w:t>
      </w:r>
      <w:r w:rsidRPr="005D2D10">
        <w:noBreakHyphen/>
      </w:r>
      <w:r w:rsidR="005E4D4E" w:rsidRPr="005D2D10">
        <w:t>0106</w:t>
      </w:r>
      <w:r w:rsidRPr="005D2D10">
        <w:t>/2024),</w:t>
      </w:r>
    </w:p>
    <w:p w14:paraId="01D5D4A1" w14:textId="77777777" w:rsidR="0050602F" w:rsidRPr="005D2D10" w:rsidRDefault="0050602F" w:rsidP="0050602F">
      <w:pPr>
        <w:pStyle w:val="NormalHanging12a"/>
      </w:pPr>
      <w:r w:rsidRPr="005D2D10">
        <w:t>–</w:t>
      </w:r>
      <w:r w:rsidRPr="005D2D10">
        <w:tab/>
        <w:t>med beaktande av artikel 319 i fördraget om Europeiska unionens funktionssätt,</w:t>
      </w:r>
    </w:p>
    <w:p w14:paraId="034ACE01" w14:textId="77777777" w:rsidR="0050602F" w:rsidRPr="005D2D10" w:rsidRDefault="0050602F" w:rsidP="0050602F">
      <w:pPr>
        <w:pStyle w:val="NormalHanging12a"/>
      </w:pPr>
      <w:r w:rsidRPr="005D2D10">
        <w:t>–</w:t>
      </w:r>
      <w:r w:rsidRPr="005D2D10">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D2D10">
        <w:rPr>
          <w:rStyle w:val="FootnoteReference"/>
        </w:rPr>
        <w:footnoteReference w:id="3"/>
      </w:r>
      <w:r w:rsidRPr="005D2D10">
        <w:t>, särskilt artikel 70,</w:t>
      </w:r>
    </w:p>
    <w:p w14:paraId="67CDA19A" w14:textId="77777777" w:rsidR="0050602F" w:rsidRPr="005D2D10" w:rsidRDefault="0050602F" w:rsidP="0050602F">
      <w:pPr>
        <w:pStyle w:val="NormalHanging12a"/>
      </w:pPr>
      <w:r w:rsidRPr="005D2D10">
        <w:t>–</w:t>
      </w:r>
      <w:r w:rsidRPr="005D2D10">
        <w:tab/>
        <w:t xml:space="preserve">med beaktande av Europaparlamentets och rådets förordning (EU) 2018/1727 av den 14 </w:t>
      </w:r>
      <w:r w:rsidRPr="005D2D10">
        <w:lastRenderedPageBreak/>
        <w:t>november 2018 om Europeiska unionens byrå för straffrättsligt samarbete (Eurojust), och om ersättning och upphävande av rådets beslut 2002/187/RIF</w:t>
      </w:r>
      <w:r w:rsidRPr="005D2D10">
        <w:rPr>
          <w:rStyle w:val="FootnoteReference"/>
        </w:rPr>
        <w:footnoteReference w:id="4"/>
      </w:r>
      <w:r w:rsidRPr="005D2D10">
        <w:t>, särskilt artikel 63,</w:t>
      </w:r>
    </w:p>
    <w:p w14:paraId="56BD8C59" w14:textId="77777777" w:rsidR="0050602F" w:rsidRPr="005D2D10" w:rsidRDefault="0050602F" w:rsidP="0050602F">
      <w:pPr>
        <w:pStyle w:val="NormalHanging12a"/>
      </w:pPr>
      <w:r w:rsidRPr="005D2D10">
        <w:t>–</w:t>
      </w:r>
      <w:r w:rsidRPr="005D2D10">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D2D10">
        <w:rPr>
          <w:rStyle w:val="FootnoteReference"/>
        </w:rPr>
        <w:footnoteReference w:id="5"/>
      </w:r>
      <w:r w:rsidRPr="005D2D10">
        <w:t>, särskilt artikel 105,</w:t>
      </w:r>
    </w:p>
    <w:p w14:paraId="40BE0ABF" w14:textId="77777777" w:rsidR="0050602F" w:rsidRPr="005D2D10" w:rsidRDefault="0050602F" w:rsidP="0050602F">
      <w:pPr>
        <w:pStyle w:val="NormalHanging12a"/>
      </w:pPr>
      <w:r w:rsidRPr="005D2D10">
        <w:t>–</w:t>
      </w:r>
      <w:r w:rsidRPr="005D2D10">
        <w:tab/>
        <w:t>med beaktande av artikel 100 och bilaga V i arbetsordningen,</w:t>
      </w:r>
    </w:p>
    <w:p w14:paraId="55AF281D" w14:textId="77777777" w:rsidR="0050602F" w:rsidRPr="005D2D10" w:rsidRDefault="0050602F" w:rsidP="0050602F">
      <w:pPr>
        <w:pStyle w:val="NormalHanging12a"/>
        <w:keepNext/>
        <w:widowControl/>
      </w:pPr>
      <w:r w:rsidRPr="005D2D10">
        <w:t>–</w:t>
      </w:r>
      <w:r w:rsidRPr="005D2D10">
        <w:tab/>
        <w:t>med beaktande av yttrandet från utskottet för medborgerliga fri- och rättigheter samt rättsliga och inrikes frågor,</w:t>
      </w:r>
    </w:p>
    <w:p w14:paraId="3BA2BB80" w14:textId="77777777" w:rsidR="0050602F" w:rsidRPr="005D2D10" w:rsidRDefault="0050602F" w:rsidP="0050602F">
      <w:pPr>
        <w:pStyle w:val="NormalHanging12a"/>
      </w:pPr>
      <w:r w:rsidRPr="005D2D10">
        <w:t>–</w:t>
      </w:r>
      <w:r w:rsidRPr="005D2D10">
        <w:tab/>
        <w:t>med beaktande av betänkandet från budgetkontrollutskottet (A9-0099/2024).</w:t>
      </w:r>
    </w:p>
    <w:p w14:paraId="6CFFE49B" w14:textId="77777777" w:rsidR="0050602F" w:rsidRPr="005D2D10" w:rsidRDefault="0050602F" w:rsidP="0050602F">
      <w:pPr>
        <w:pStyle w:val="NormalHanging12a"/>
      </w:pPr>
      <w:r w:rsidRPr="005D2D10">
        <w:t>1.</w:t>
      </w:r>
      <w:r w:rsidRPr="005D2D10">
        <w:tab/>
        <w:t xml:space="preserve">Europaparlamentet beviljar den administrativa direktören för Europeiska unionens byrå för straffrättsligt samarbete (Eurojust) ansvarsfrihet för genomförandet av byråns budget för budgetåret 2022. </w:t>
      </w:r>
    </w:p>
    <w:p w14:paraId="2FF1F69C" w14:textId="77777777" w:rsidR="0050602F" w:rsidRPr="005D2D10" w:rsidRDefault="0050602F" w:rsidP="0050602F">
      <w:pPr>
        <w:pStyle w:val="NormalHanging12a"/>
      </w:pPr>
      <w:r w:rsidRPr="005D2D10">
        <w:t>2.</w:t>
      </w:r>
      <w:r w:rsidRPr="005D2D10">
        <w:tab/>
        <w:t>Europaparlamentet redovisar sina iakttagelser i resolutionen nedan.</w:t>
      </w:r>
    </w:p>
    <w:p w14:paraId="708E9284" w14:textId="77777777" w:rsidR="0050602F" w:rsidRPr="005D2D10" w:rsidRDefault="0050602F" w:rsidP="0050602F">
      <w:pPr>
        <w:pStyle w:val="NormalHanging12a"/>
      </w:pPr>
      <w:r w:rsidRPr="005D2D10">
        <w:t>3.</w:t>
      </w:r>
      <w:r w:rsidRPr="005D2D10">
        <w:tab/>
        <w:t xml:space="preserve">Europaparlamentet uppdrar åt talmannen att översända detta beslut och den resolution som utgör en del av beslutet till den administrativa direktören för Europeiska unionens byrå för straffrättsligt samarbete (Eurojust), rådet, kommissionen och revisionsrätten samt att se till att de offentliggörs i </w:t>
      </w:r>
      <w:r w:rsidRPr="005D2D10">
        <w:rPr>
          <w:i/>
          <w:iCs/>
        </w:rPr>
        <w:t>Europeiska unionens officiella tidning</w:t>
      </w:r>
      <w:r w:rsidRPr="005D2D10">
        <w:t xml:space="preserve"> (L-serien).</w:t>
      </w:r>
    </w:p>
    <w:p w14:paraId="2897B59C" w14:textId="77777777" w:rsidR="0050602F" w:rsidRPr="005D2D10" w:rsidRDefault="0050602F" w:rsidP="0050602F"/>
    <w:p w14:paraId="5F1EEBA0" w14:textId="77777777" w:rsidR="0050602F" w:rsidRPr="005D2D10" w:rsidRDefault="0050602F" w:rsidP="0050602F">
      <w:pPr>
        <w:widowControl/>
        <w:rPr>
          <w:rFonts w:ascii="Arial" w:hAnsi="Arial" w:cs="Arial"/>
          <w:b/>
        </w:rPr>
        <w:sectPr w:rsidR="0050602F" w:rsidRPr="005D2D10" w:rsidSect="00BC1425">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40423DAE" w14:textId="77777777" w:rsidR="0050602F" w:rsidRPr="005D2D10" w:rsidRDefault="005E4D4E" w:rsidP="005E4D4E">
      <w:pPr>
        <w:pStyle w:val="ATHeading3"/>
      </w:pPr>
      <w:r w:rsidRPr="005D2D10">
        <w:lastRenderedPageBreak/>
        <w:t xml:space="preserve">2. Europaparlamentets beslut av den 11 april 2024 </w:t>
      </w:r>
      <w:r w:rsidR="0050602F" w:rsidRPr="005D2D10">
        <w:t>om avslutande av räkenskaperna för Europeiska unionens byrå för straffrättsligt samarbete (Eurojust) för budgetåret 2022</w:t>
      </w:r>
      <w:r w:rsidRPr="005D2D10">
        <w:t xml:space="preserve"> </w:t>
      </w:r>
      <w:r w:rsidR="0050602F" w:rsidRPr="005D2D10">
        <w:t>(2023/2168(DEC))</w:t>
      </w:r>
    </w:p>
    <w:p w14:paraId="48450CE9" w14:textId="77777777" w:rsidR="0050602F" w:rsidRPr="005D2D10" w:rsidRDefault="0050602F" w:rsidP="0050602F">
      <w:pPr>
        <w:pStyle w:val="EPComma"/>
      </w:pPr>
      <w:r w:rsidRPr="005D2D10">
        <w:rPr>
          <w:i/>
        </w:rPr>
        <w:t>Europaparlamentet fattar detta beslut</w:t>
      </w:r>
    </w:p>
    <w:p w14:paraId="1C0D122D" w14:textId="77777777" w:rsidR="0050602F" w:rsidRPr="005D2D10" w:rsidRDefault="0050602F" w:rsidP="0050602F">
      <w:pPr>
        <w:pStyle w:val="NormalHanging12a"/>
      </w:pPr>
      <w:r w:rsidRPr="005D2D10">
        <w:t>–</w:t>
      </w:r>
      <w:r w:rsidRPr="005D2D10">
        <w:tab/>
        <w:t>med beaktande av den slutliga årsredovisningen för Europeiska unionens byrå för straffrättsligt samarbete (Eurojust) för budgetåret 2022,</w:t>
      </w:r>
    </w:p>
    <w:p w14:paraId="3C7EFF6C" w14:textId="77777777" w:rsidR="0050602F" w:rsidRPr="005D2D10" w:rsidRDefault="0050602F" w:rsidP="0050602F">
      <w:pPr>
        <w:pStyle w:val="NormalHanging12a"/>
      </w:pPr>
      <w:r w:rsidRPr="005D2D10">
        <w:t>–</w:t>
      </w:r>
      <w:r w:rsidRPr="005D2D10">
        <w:tab/>
        <w:t>med beaktande av revisionsrättens årsrapport om EU:s byråer för budgetåret 2022, med byråernas svar</w:t>
      </w:r>
      <w:r w:rsidRPr="005D2D10">
        <w:rPr>
          <w:rStyle w:val="FootnoteReference"/>
        </w:rPr>
        <w:footnoteReference w:id="6"/>
      </w:r>
      <w:r w:rsidRPr="005D2D10">
        <w:t>,</w:t>
      </w:r>
    </w:p>
    <w:p w14:paraId="6F19991D" w14:textId="77777777" w:rsidR="0050602F" w:rsidRPr="005D2D10" w:rsidRDefault="0050602F" w:rsidP="0050602F">
      <w:pPr>
        <w:pStyle w:val="NormalHanging12a"/>
      </w:pPr>
      <w:r w:rsidRPr="005D2D10">
        <w:t>–</w:t>
      </w:r>
      <w:r w:rsidRPr="005D2D10">
        <w:tab/>
        <w:t>med beaktande av förklaringen om räkenskapernas tillförlitlighet och de underliggande transaktionernas laglighet och korrekthet</w:t>
      </w:r>
      <w:r w:rsidRPr="005D2D10">
        <w:rPr>
          <w:rStyle w:val="FootnoteReference"/>
        </w:rPr>
        <w:footnoteReference w:id="7"/>
      </w:r>
      <w:r w:rsidRPr="005D2D10">
        <w:t>, som avgetts av revisionsrätten för budgetåret 2022 i enlighet med artikel 287 i fördraget om Europeiska unionens funktionssätt,</w:t>
      </w:r>
    </w:p>
    <w:p w14:paraId="4413E74B" w14:textId="23BE20D8" w:rsidR="0050602F" w:rsidRPr="005D2D10" w:rsidRDefault="0050602F" w:rsidP="0050602F">
      <w:pPr>
        <w:pStyle w:val="NormalHanging12a"/>
      </w:pPr>
      <w:r w:rsidRPr="005D2D10">
        <w:t>–</w:t>
      </w:r>
      <w:r w:rsidRPr="005D2D10">
        <w:tab/>
        <w:t>med beaktande av rådets rekommendation av den 22 februari 2024 om att bevilja byrån ansvarsfrihet för genomförandet av budgeten för budgetåret 2022 (</w:t>
      </w:r>
      <w:r w:rsidR="005E4D4E" w:rsidRPr="005D2D10">
        <w:t>06180</w:t>
      </w:r>
      <w:r w:rsidRPr="005D2D10">
        <w:t>/2024 – C9</w:t>
      </w:r>
      <w:r w:rsidRPr="005D2D10">
        <w:noBreakHyphen/>
      </w:r>
      <w:r w:rsidR="005E4D4E" w:rsidRPr="005D2D10">
        <w:t>0106</w:t>
      </w:r>
      <w:r w:rsidRPr="005D2D10">
        <w:t>/2024),</w:t>
      </w:r>
    </w:p>
    <w:p w14:paraId="4A9D0887" w14:textId="77777777" w:rsidR="0050602F" w:rsidRPr="005D2D10" w:rsidRDefault="0050602F" w:rsidP="0050602F">
      <w:pPr>
        <w:pStyle w:val="NormalHanging12a"/>
      </w:pPr>
      <w:r w:rsidRPr="005D2D10">
        <w:t>–</w:t>
      </w:r>
      <w:r w:rsidRPr="005D2D10">
        <w:tab/>
        <w:t>med beaktande av artikel 319 i fördraget om Europeiska unionens funktionssätt,</w:t>
      </w:r>
    </w:p>
    <w:p w14:paraId="055D0C8C" w14:textId="77777777" w:rsidR="0050602F" w:rsidRPr="005D2D10" w:rsidRDefault="0050602F" w:rsidP="0050602F">
      <w:pPr>
        <w:pStyle w:val="NormalHanging12a"/>
      </w:pPr>
      <w:r w:rsidRPr="005D2D10">
        <w:t>–</w:t>
      </w:r>
      <w:r w:rsidRPr="005D2D10">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D2D10">
        <w:rPr>
          <w:rStyle w:val="FootnoteReference"/>
        </w:rPr>
        <w:footnoteReference w:id="8"/>
      </w:r>
      <w:r w:rsidRPr="005D2D10">
        <w:t>, särskilt artikel 70,</w:t>
      </w:r>
    </w:p>
    <w:p w14:paraId="5DB700BE" w14:textId="77777777" w:rsidR="0050602F" w:rsidRPr="005D2D10" w:rsidRDefault="0050602F" w:rsidP="0050602F">
      <w:pPr>
        <w:pStyle w:val="NormalHanging12a"/>
      </w:pPr>
      <w:r w:rsidRPr="005D2D10">
        <w:t>–</w:t>
      </w:r>
      <w:r w:rsidRPr="005D2D10">
        <w:tab/>
        <w:t>med beaktande av Europaparlamentets och rådets förordning (EU) 2018/1727 av den 14 november 2018 om Europeiska unionens byrå för straffrättsligt samarbete (Eurojust), och om ersättning och upphävande av rådets beslut 2002/187/RIF</w:t>
      </w:r>
      <w:r w:rsidRPr="005D2D10">
        <w:rPr>
          <w:rStyle w:val="FootnoteReference"/>
        </w:rPr>
        <w:footnoteReference w:id="9"/>
      </w:r>
      <w:r w:rsidRPr="005D2D10">
        <w:t>, särskilt artikel 63,</w:t>
      </w:r>
    </w:p>
    <w:p w14:paraId="50A46778" w14:textId="77777777" w:rsidR="0050602F" w:rsidRPr="005D2D10" w:rsidRDefault="0050602F" w:rsidP="0050602F">
      <w:pPr>
        <w:pStyle w:val="NormalHanging12a"/>
      </w:pPr>
      <w:r w:rsidRPr="005D2D10">
        <w:t>–</w:t>
      </w:r>
      <w:r w:rsidRPr="005D2D10">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5D2D10">
        <w:rPr>
          <w:rStyle w:val="FootnoteReference"/>
        </w:rPr>
        <w:footnoteReference w:id="10"/>
      </w:r>
      <w:r w:rsidRPr="005D2D10">
        <w:t>, särskilt artikel 105,</w:t>
      </w:r>
    </w:p>
    <w:p w14:paraId="4E223664" w14:textId="77777777" w:rsidR="0050602F" w:rsidRPr="005D2D10" w:rsidRDefault="0050602F" w:rsidP="0050602F">
      <w:pPr>
        <w:pStyle w:val="NormalHanging12a"/>
      </w:pPr>
      <w:r w:rsidRPr="005D2D10">
        <w:t>–</w:t>
      </w:r>
      <w:r w:rsidRPr="005D2D10">
        <w:tab/>
        <w:t>med beaktande av artikel 100 och bilaga V i arbetsordningen,</w:t>
      </w:r>
    </w:p>
    <w:p w14:paraId="118D8554" w14:textId="77777777" w:rsidR="0050602F" w:rsidRPr="005D2D10" w:rsidRDefault="0050602F" w:rsidP="0050602F">
      <w:pPr>
        <w:pStyle w:val="NormalHanging12a"/>
        <w:keepNext/>
        <w:widowControl/>
      </w:pPr>
      <w:r w:rsidRPr="005D2D10">
        <w:t>–</w:t>
      </w:r>
      <w:r w:rsidRPr="005D2D10">
        <w:tab/>
        <w:t>med beaktande av yttrandet från utskottet för medborgerliga fri- och rättigheter samt rättsliga och inrikes frågor,</w:t>
      </w:r>
    </w:p>
    <w:p w14:paraId="7D40A9AD" w14:textId="77777777" w:rsidR="0050602F" w:rsidRPr="005D2D10" w:rsidRDefault="0050602F" w:rsidP="0050602F">
      <w:pPr>
        <w:pStyle w:val="NormalHanging12a"/>
      </w:pPr>
      <w:r w:rsidRPr="005D2D10">
        <w:t>–</w:t>
      </w:r>
      <w:r w:rsidRPr="005D2D10">
        <w:tab/>
        <w:t>med beaktande av betänkandet från budgetkontrollutskottet (A9-0099/2024).</w:t>
      </w:r>
    </w:p>
    <w:p w14:paraId="34BA3A99" w14:textId="77777777" w:rsidR="0050602F" w:rsidRPr="005D2D10" w:rsidRDefault="0050602F" w:rsidP="0050602F">
      <w:pPr>
        <w:pStyle w:val="NormalHanging12a"/>
      </w:pPr>
      <w:r w:rsidRPr="005D2D10">
        <w:t>1.</w:t>
      </w:r>
      <w:r w:rsidRPr="005D2D10">
        <w:tab/>
        <w:t xml:space="preserve">Europaparlamentet godkänner avslutandet av räkenskaperna för Europeiska unionens </w:t>
      </w:r>
      <w:r w:rsidRPr="005D2D10">
        <w:lastRenderedPageBreak/>
        <w:t>byrå för straffrättsligt samarbete (Eurojust) för budgetåret 2022.</w:t>
      </w:r>
    </w:p>
    <w:p w14:paraId="6766D705" w14:textId="77777777" w:rsidR="0050602F" w:rsidRPr="005D2D10" w:rsidRDefault="0050602F" w:rsidP="0050602F">
      <w:pPr>
        <w:pStyle w:val="NormalHanging12a"/>
      </w:pPr>
      <w:r w:rsidRPr="005D2D10">
        <w:t>2.</w:t>
      </w:r>
      <w:r w:rsidRPr="005D2D10">
        <w:tab/>
        <w:t xml:space="preserve">Europaparlamentet uppdrar åt talmannen att översända detta beslut till den administrativa direktören för Europeiska unionens byrå för straffrättsligt samarbete (Eurojust), rådet, kommissionen och revisionsrätten samt att se till att det offentliggörs i </w:t>
      </w:r>
      <w:r w:rsidRPr="005D2D10">
        <w:rPr>
          <w:i/>
          <w:iCs/>
        </w:rPr>
        <w:t>Europeiska unionens officiella tidning</w:t>
      </w:r>
      <w:r w:rsidRPr="005D2D10">
        <w:t xml:space="preserve"> (L-serien).</w:t>
      </w:r>
    </w:p>
    <w:p w14:paraId="6F53DA0B" w14:textId="77777777" w:rsidR="0050602F" w:rsidRPr="005D2D10" w:rsidRDefault="0050602F" w:rsidP="0050602F"/>
    <w:p w14:paraId="7EE0C22A" w14:textId="77777777" w:rsidR="0050602F" w:rsidRPr="005D2D10" w:rsidRDefault="0050602F" w:rsidP="0050602F">
      <w:pPr>
        <w:widowControl/>
        <w:rPr>
          <w:rFonts w:ascii="Arial" w:hAnsi="Arial" w:cs="Arial"/>
          <w:b/>
        </w:rPr>
        <w:sectPr w:rsidR="0050602F" w:rsidRPr="005D2D10" w:rsidSect="00BC1425">
          <w:footnotePr>
            <w:numRestart w:val="eachPage"/>
          </w:footnotePr>
          <w:endnotePr>
            <w:numFmt w:val="decimal"/>
          </w:endnotePr>
          <w:pgSz w:w="11906" w:h="16838"/>
          <w:pgMar w:top="1134" w:right="1418" w:bottom="1418" w:left="1418" w:header="567" w:footer="567" w:gutter="0"/>
          <w:cols w:space="720"/>
          <w:docGrid w:linePitch="326"/>
        </w:sectPr>
      </w:pPr>
    </w:p>
    <w:p w14:paraId="0F85D44D" w14:textId="77777777" w:rsidR="0050602F" w:rsidRPr="005D2D10" w:rsidRDefault="005E4D4E" w:rsidP="005E4D4E">
      <w:pPr>
        <w:pStyle w:val="ATHeading3"/>
      </w:pPr>
      <w:r w:rsidRPr="005D2D10">
        <w:lastRenderedPageBreak/>
        <w:t xml:space="preserve">3. Europaparlamentets resolution av den 11 april 2024 </w:t>
      </w:r>
      <w:r w:rsidR="0050602F" w:rsidRPr="005D2D10">
        <w:t>med de iakttagelser som utgör en del av beslutet om ansvarsfrihet för genomförandet av budgeten för Europeiska unionens byrå för straffrättsligt samarbete (Eurojust) för budgetåret 2022</w:t>
      </w:r>
      <w:r w:rsidRPr="005D2D10">
        <w:t xml:space="preserve"> </w:t>
      </w:r>
      <w:r w:rsidR="0050602F" w:rsidRPr="005D2D10">
        <w:t>(2023/2168(DEC))</w:t>
      </w:r>
    </w:p>
    <w:p w14:paraId="1C2E3803" w14:textId="77777777" w:rsidR="0050602F" w:rsidRPr="005D2D10" w:rsidRDefault="0050602F" w:rsidP="0050602F">
      <w:pPr>
        <w:pStyle w:val="EPComma"/>
      </w:pPr>
      <w:r w:rsidRPr="005D2D10">
        <w:rPr>
          <w:i/>
        </w:rPr>
        <w:t>Europaparlamentet utfärdar denna resolution</w:t>
      </w:r>
    </w:p>
    <w:p w14:paraId="34277ABF" w14:textId="77777777" w:rsidR="0050602F" w:rsidRPr="005D2D10" w:rsidRDefault="0050602F" w:rsidP="0050602F">
      <w:pPr>
        <w:pStyle w:val="NormalHanging12a"/>
      </w:pPr>
      <w:r w:rsidRPr="005D2D10">
        <w:t>–</w:t>
      </w:r>
      <w:r w:rsidRPr="005D2D10">
        <w:tab/>
        <w:t>med beaktande av sitt beslut om ansvarsfrihet för genomförandet av budgeten för Europeiska unionens byrå för straffrättsligt samarbete (Eurojust) för budgetåret 2022,</w:t>
      </w:r>
    </w:p>
    <w:p w14:paraId="699CB8F1" w14:textId="77777777" w:rsidR="0050602F" w:rsidRPr="005D2D10" w:rsidRDefault="0050602F" w:rsidP="0050602F">
      <w:pPr>
        <w:pStyle w:val="NormalHanging12a"/>
      </w:pPr>
      <w:r w:rsidRPr="005D2D10">
        <w:t>–</w:t>
      </w:r>
      <w:r w:rsidRPr="005D2D10">
        <w:tab/>
        <w:t>med beaktande av artikel 100 och bilaga V i arbetsordningen,</w:t>
      </w:r>
    </w:p>
    <w:p w14:paraId="3C6FE14C" w14:textId="77777777" w:rsidR="0050602F" w:rsidRPr="005D2D10" w:rsidRDefault="0050602F" w:rsidP="0050602F">
      <w:pPr>
        <w:pStyle w:val="NormalHanging12a"/>
      </w:pPr>
      <w:r w:rsidRPr="005D2D10">
        <w:t>–</w:t>
      </w:r>
      <w:r w:rsidRPr="005D2D10">
        <w:tab/>
        <w:t>med beaktande av yttrandet från utskottet för medborgerliga fri- och rättigheter samt rättsliga och inrikes frågor,</w:t>
      </w:r>
    </w:p>
    <w:p w14:paraId="2B230218" w14:textId="77777777" w:rsidR="0050602F" w:rsidRPr="005D2D10" w:rsidRDefault="0050602F" w:rsidP="0050602F">
      <w:pPr>
        <w:pStyle w:val="NormalHanging12a"/>
      </w:pPr>
      <w:r w:rsidRPr="005D2D10">
        <w:t>–</w:t>
      </w:r>
      <w:r w:rsidRPr="005D2D10">
        <w:tab/>
        <w:t>med beaktande av betänkandet från budgetkontrollutskottet (A9-0099/2024), och av följande skäl:</w:t>
      </w:r>
    </w:p>
    <w:p w14:paraId="79141241" w14:textId="77777777" w:rsidR="0050602F" w:rsidRPr="005D2D10" w:rsidRDefault="0050602F" w:rsidP="0050602F">
      <w:pPr>
        <w:pStyle w:val="Normal12Hanging"/>
        <w:rPr>
          <w:szCs w:val="24"/>
          <w:lang w:val="sv-SE"/>
        </w:rPr>
      </w:pPr>
      <w:r w:rsidRPr="005D2D10">
        <w:rPr>
          <w:lang w:val="sv-SE"/>
        </w:rPr>
        <w:t>A.</w:t>
      </w:r>
      <w:r w:rsidRPr="005D2D10">
        <w:rPr>
          <w:lang w:val="sv-SE"/>
        </w:rPr>
        <w:tab/>
        <w:t>Enligt sammanställningen över inkomster och utgifter för Europeiska unionens byrå för straffrättsligt samarbete (Eurojust) (</w:t>
      </w:r>
      <w:r w:rsidRPr="005D2D10">
        <w:rPr>
          <w:i/>
          <w:iCs/>
          <w:lang w:val="sv-SE"/>
        </w:rPr>
        <w:t>byrån</w:t>
      </w:r>
      <w:r w:rsidRPr="005D2D10">
        <w:rPr>
          <w:lang w:val="sv-SE"/>
        </w:rPr>
        <w:t>)</w:t>
      </w:r>
      <w:r w:rsidRPr="005D2D10">
        <w:rPr>
          <w:rStyle w:val="FootnoteReference"/>
          <w:szCs w:val="24"/>
          <w:lang w:val="sv-SE"/>
        </w:rPr>
        <w:footnoteReference w:id="11"/>
      </w:r>
      <w:r w:rsidRPr="005D2D10">
        <w:rPr>
          <w:lang w:val="sv-SE"/>
        </w:rPr>
        <w:t xml:space="preserve"> uppgick byråns slutliga budget för budgetåret 2022 till 50 183 522 EUR, vilket innebär en ökning med 5,84 % jämfört med 2021. Byråns budget kommer nästan uteslutande från unionsbudgeten.</w:t>
      </w:r>
    </w:p>
    <w:p w14:paraId="120D4904" w14:textId="77777777" w:rsidR="0050602F" w:rsidRPr="005D2D10" w:rsidRDefault="0050602F" w:rsidP="0050602F">
      <w:pPr>
        <w:pStyle w:val="Normal12Hanging"/>
        <w:rPr>
          <w:szCs w:val="24"/>
          <w:lang w:val="sv-SE"/>
        </w:rPr>
      </w:pPr>
      <w:r w:rsidRPr="005D2D10">
        <w:rPr>
          <w:lang w:val="sv-SE"/>
        </w:rPr>
        <w:t>B.</w:t>
      </w:r>
      <w:r w:rsidRPr="005D2D10">
        <w:rPr>
          <w:lang w:val="sv-SE"/>
        </w:rPr>
        <w:tab/>
        <w:t>Revisionsrätten fastställer i sin rapport om årsredovisningen för byrån för budgetåret 2022 att man har uppnått en rimlig säkerhet om att byråns årliga räkenskaper är tillförlitliga och att de underliggande transaktionerna är lagliga och korrekta.</w:t>
      </w:r>
    </w:p>
    <w:p w14:paraId="22B6EC9B" w14:textId="77777777" w:rsidR="0050602F" w:rsidRPr="005D2D10" w:rsidRDefault="0050602F" w:rsidP="0050602F">
      <w:pPr>
        <w:pStyle w:val="Normal12Hanging"/>
        <w:rPr>
          <w:b/>
          <w:i/>
          <w:szCs w:val="24"/>
          <w:lang w:val="sv-SE"/>
        </w:rPr>
      </w:pPr>
      <w:r w:rsidRPr="005D2D10">
        <w:rPr>
          <w:b/>
          <w:i/>
          <w:lang w:val="sv-SE"/>
        </w:rPr>
        <w:t>Budgetförvaltning och ekonomisk förvaltning</w:t>
      </w:r>
    </w:p>
    <w:p w14:paraId="5E9FBB17" w14:textId="77777777" w:rsidR="0050602F" w:rsidRPr="005D2D10" w:rsidRDefault="0050602F" w:rsidP="0050602F">
      <w:pPr>
        <w:pStyle w:val="Normal12Hanging"/>
        <w:rPr>
          <w:szCs w:val="24"/>
          <w:lang w:val="sv-SE"/>
        </w:rPr>
      </w:pPr>
      <w:r w:rsidRPr="005D2D10">
        <w:rPr>
          <w:lang w:val="sv-SE"/>
        </w:rPr>
        <w:t>1.</w:t>
      </w:r>
      <w:r w:rsidRPr="005D2D10">
        <w:rPr>
          <w:lang w:val="sv-SE"/>
        </w:rPr>
        <w:tab/>
        <w:t>Europaparlamentet noterar med uppskattning att insatserna för uppföljning av budgeten resulterade i ett budgetgenomförande på 99,93 % av åtagandebemyndigandena 2022. Parlamentet noterar att genomförandegraden för betalningsbemyndigandena för 2022 var 89,22 %, vilket är en ökning med 4,64 % jämfört med 2021.</w:t>
      </w:r>
    </w:p>
    <w:p w14:paraId="30D957D1" w14:textId="23C3064F" w:rsidR="0050602F" w:rsidRPr="005D2D10" w:rsidRDefault="0050602F" w:rsidP="0050602F">
      <w:pPr>
        <w:pStyle w:val="Normal12Hanging"/>
        <w:rPr>
          <w:szCs w:val="24"/>
          <w:lang w:val="sv-SE"/>
        </w:rPr>
      </w:pPr>
      <w:r w:rsidRPr="005D2D10">
        <w:rPr>
          <w:lang w:val="sv-SE"/>
        </w:rPr>
        <w:t>2.</w:t>
      </w:r>
      <w:r w:rsidRPr="005D2D10">
        <w:rPr>
          <w:lang w:val="sv-SE"/>
        </w:rPr>
        <w:tab/>
        <w:t>Europaparlamentet noterar att olika nya finansieringsbehov uppstod under 2022, bland annat kopplade till infrastrukturen för det nya ärendehanteringssystemet, förstärkningen i samband med de nya uppgifterna för databas</w:t>
      </w:r>
      <w:r w:rsidR="00D46346" w:rsidRPr="005D2D10">
        <w:rPr>
          <w:lang w:val="sv-SE"/>
        </w:rPr>
        <w:t>en</w:t>
      </w:r>
      <w:r w:rsidRPr="005D2D10">
        <w:rPr>
          <w:lang w:val="sv-SE"/>
        </w:rPr>
        <w:t xml:space="preserve"> över bevis på centrala internationella brott </w:t>
      </w:r>
      <w:r w:rsidR="00D46346" w:rsidRPr="005D2D10">
        <w:rPr>
          <w:lang w:val="sv-SE"/>
        </w:rPr>
        <w:t xml:space="preserve">(Ciced) </w:t>
      </w:r>
      <w:r w:rsidRPr="005D2D10">
        <w:rPr>
          <w:lang w:val="sv-SE"/>
        </w:rPr>
        <w:t>och löneökningar på grund av hög inflation. Parlamentet noterar att dessa finansieringsbehov täcktes genom två ändringsbudgetar (på totalt 5,7 miljoner EUR) och flera budgetöverföringar.</w:t>
      </w:r>
    </w:p>
    <w:p w14:paraId="1D0ACD70" w14:textId="0BD5BFAC" w:rsidR="0050602F" w:rsidRPr="005D2D10" w:rsidRDefault="0050602F" w:rsidP="0050602F">
      <w:pPr>
        <w:pStyle w:val="Normal12Hanging"/>
        <w:rPr>
          <w:szCs w:val="24"/>
          <w:lang w:val="sv-SE"/>
        </w:rPr>
      </w:pPr>
      <w:r w:rsidRPr="005D2D10">
        <w:rPr>
          <w:lang w:val="sv-SE"/>
        </w:rPr>
        <w:t>3.</w:t>
      </w:r>
      <w:r w:rsidRPr="005D2D10">
        <w:rPr>
          <w:lang w:val="sv-SE"/>
        </w:rPr>
        <w:tab/>
        <w:t xml:space="preserve">Europaparlamentet konstaterar att byrån införde kommissionens nya system för ekonomisk förvaltning och redovisning (SUMMA) 2022, och noterar de relaterade tekniska problem som påverkade byråns budgetgenomförande och rapportering. Parlamentet noterar särskilt att byrån ansåg att dessa problem också påverkade den höga andelen betalningar som inte verkställdes i tid (52,9 %) och komplicerade övervakningen av områden med hög kostnadsvolatilitet, såsom samordningsmöten. Parlamentet noterar i detta sammanhang iakttagelsen i revisionsrättens rapport att byrån, </w:t>
      </w:r>
      <w:r w:rsidRPr="005D2D10">
        <w:rPr>
          <w:lang w:val="sv-SE"/>
        </w:rPr>
        <w:lastRenderedPageBreak/>
        <w:t>i strid med vissa bestämmelser i budgetförordningen, inte uppdaterade sin riskhanterings- och kontrollstrategi för att täcka risker i samband med genomförandet av SUMMA, eller sina ekonomihanteringsprocesser och sin strategi för förhands- och efterhandskontroller och inte specifikt kontrollerar de rättigheter som har tilldelats en användare i det systemet, vilket utgör en risk för att användarrollerna i SUMMA inte är korrekta eller uppdaterade.</w:t>
      </w:r>
    </w:p>
    <w:p w14:paraId="4277F35D" w14:textId="77777777" w:rsidR="0050602F" w:rsidRPr="005D2D10" w:rsidRDefault="0050602F" w:rsidP="0050602F">
      <w:pPr>
        <w:pStyle w:val="NormalHanging12a"/>
      </w:pPr>
      <w:r w:rsidRPr="005D2D10">
        <w:t>4.</w:t>
      </w:r>
      <w:r w:rsidRPr="005D2D10">
        <w:tab/>
        <w:t>Europaparlamentet noterar med oro iakttagelsen i revisionsrättens rapport att byrån inte uppfyllde de tidsfrister som fastställs i budgetförordningen för 1 222 av de sammanlagt 2 308 betalningar (52,9 %) som gjordes. Parlamentet påminner om och understryker att i 720 av de totala fallen (31,5 %) försenades betalningarna med mer än 30 dagar. Parlamentet noterar att byrån anser att denna brist, som enligt revisionsrätten utsätter byrån för finansiella risker och anseenderisker och strider mot principen om ekonomi, beror på genomförandet av SUMMA. Parlamentet noterar byråns svar att SUMMA har varit i en pilotfas och att det förekom förseningar och tekniska svårigheter i hanteringen av transaktionerna, vilket påverkade utbildningen av personalen och skapade vissa utmaningar för budgetförvaltningen. Parlamentet konstaterar slutligen att byrån trots det ökade antalet sena betalningar inte betalade någon dröjsmålsränta. Parlamentet uppmanar byrån att fullt ut åtgärda denna iakttagelse, lösa de tekniska svårigheterna vid hanteringen av transaktioner och rapportera till den ansvarsfrihetsbeviljande myndigheten om de framsteg som gjorts.</w:t>
      </w:r>
    </w:p>
    <w:p w14:paraId="0EC02109" w14:textId="77777777" w:rsidR="0050602F" w:rsidRPr="005D2D10" w:rsidRDefault="0050602F" w:rsidP="0050602F">
      <w:pPr>
        <w:pStyle w:val="Normal12Hanging"/>
        <w:rPr>
          <w:b/>
          <w:i/>
          <w:szCs w:val="24"/>
          <w:lang w:val="sv-SE"/>
        </w:rPr>
      </w:pPr>
      <w:r w:rsidRPr="005D2D10">
        <w:rPr>
          <w:b/>
          <w:i/>
          <w:lang w:val="sv-SE"/>
        </w:rPr>
        <w:t>Verksamhetsresultat</w:t>
      </w:r>
    </w:p>
    <w:p w14:paraId="7BC01F79" w14:textId="77777777" w:rsidR="0050602F" w:rsidRPr="005D2D10" w:rsidRDefault="0050602F" w:rsidP="0050602F">
      <w:pPr>
        <w:pStyle w:val="NormalHanging12a"/>
        <w:rPr>
          <w:szCs w:val="24"/>
        </w:rPr>
      </w:pPr>
      <w:r w:rsidRPr="005D2D10">
        <w:t>5.</w:t>
      </w:r>
      <w:r w:rsidRPr="005D2D10">
        <w:tab/>
        <w:t>Europaparlamentet noterar att byrån använder nyckelprestationsindikatorer för att bedöma det mervärde som dess verksamhet ger och för att förbättra sin budgetförvaltning. Parlamentet uppmärksammar byråns nya fleråriga strategi för 2022–2024, som fastställer fem mål som vart och ett omfattar ett antal strategiska åtgärdsområden. Parlamentet noterar att byrån fastställde 67 nyckelprestationsindikatorer i sin årliga arbetsplan för 2022 och 14 fleråriga nyckelprestationsindikatorer för den fleråriga strategin. Parlamentet noterar att byrån, med undantag för de nyckelprestationsindikatorer som inte anses vara mätbara eller relevanta, uppnådde målen för 47 av 59 nyckelprestationsindikatorer (88 %), vilket är en ökning jämfört med 2021 (73 %). Parlamentet noterar att byrån under 2022 gjorde stadiga framsteg mot att uppnå sina fleråriga nyckelprestationsindikatorer, varav 10 av dem (72 %) var på god väg att uppnå sina mål och tre (21 %) behövde uppmärksammas ytterligare, medan slutresultaten för nyckelprestationsindikatorerna för den fleråriga strategin kommer att rapporteras i slutet av 2024.</w:t>
      </w:r>
    </w:p>
    <w:p w14:paraId="1484508F" w14:textId="47AFBE46" w:rsidR="0050602F" w:rsidRPr="005D2D10" w:rsidRDefault="0050602F" w:rsidP="0050602F">
      <w:pPr>
        <w:pStyle w:val="NormalHanging12a"/>
      </w:pPr>
      <w:r w:rsidRPr="005D2D10">
        <w:t>6.</w:t>
      </w:r>
      <w:r w:rsidRPr="005D2D10">
        <w:tab/>
        <w:t xml:space="preserve">Europaparlamentet noterar att antalet ärenden som medlemsstaterna hänskjutit till byrån fortsatte att öka, med totalt 11 544 ärenden som behandlades under 2022 (varav 5 227 nyligen inleddes), vilket motsvarar en ökning med 14 % jämfört med 2021. Parlamentet lovordar i detta sammanhang byråns bidrag när det gäller att tillhandahålla juridisk rådgivning, analys och operativt stöd som resulterade i 941 operativa resultat till stöd för 528 fall, bland annat när det gäller komplexa fall som ledde till gripanden av människosmugglare (inklusive migranter), samt tillslag eller åtgärder mot kriminella nätverk på områden som penningtvätt, sexuellt utnyttjande, investeringsbedrägerier på nätet eller narkotikahandel. Parlamentet noterar dessutom med tillfredsställelse att byrån under 2022 stödde 265 gemensamma utredningsgrupper (varav 78 nyinrättade gemensamma utredningsgrupper), organiserade 528 gemensamma utredningsgrupper och 22 samordningscentrum, underlättade verkställandet av 1 262 europeiska </w:t>
      </w:r>
      <w:r w:rsidRPr="005D2D10">
        <w:lastRenderedPageBreak/>
        <w:t xml:space="preserve">arresteringsorder (varav 504 nya fall) och möjliggjorde användningen av 5 415 europeiska utredningsorder (varav omkring hälften nyligen inledda). Parlamentet noterar att byrån upprätthåller samarbetsförbindelser med </w:t>
      </w:r>
      <w:r w:rsidR="00D46346" w:rsidRPr="005D2D10">
        <w:t>Europeiska byrån för bedrägeribekämpning (Olaf)</w:t>
      </w:r>
      <w:r w:rsidRPr="005D2D10">
        <w:t xml:space="preserve"> i syfte att stärka kampen mot brott som skadar </w:t>
      </w:r>
      <w:r w:rsidR="00AA40B5" w:rsidRPr="005D2D10">
        <w:t>unionens</w:t>
      </w:r>
      <w:r w:rsidRPr="005D2D10">
        <w:t xml:space="preserve"> ekonomiska intressen.</w:t>
      </w:r>
    </w:p>
    <w:p w14:paraId="33132B22" w14:textId="77777777" w:rsidR="0050602F" w:rsidRPr="005D2D10" w:rsidRDefault="0050602F" w:rsidP="0050602F">
      <w:pPr>
        <w:pStyle w:val="NormalHanging12a"/>
        <w:rPr>
          <w:szCs w:val="24"/>
        </w:rPr>
      </w:pPr>
      <w:r w:rsidRPr="005D2D10">
        <w:t>7.</w:t>
      </w:r>
      <w:r w:rsidRPr="005D2D10">
        <w:tab/>
        <w:t>Europaparlamentet lovordar byrån för de åtgärder som vidtagits som svar på Rysslands olagliga och oprovocerade invasion av Ukraina 2022. Parlamentet noterar att byrån tre veckor efter krigets början stödde inrättandet av en gemensam utredningsgrupp för utredning av påstådda centrala internationella brott som begåtts i Ukraina i syfte att underlätta utredningar och åtal i de berörda staterna. Parlamentet noterar att byrån tillhandahöll rättsligt och operativt stöd till de nationella enheterna i samband med utvidgningen av överenskommelsen om en gemensam utredningsgrupp till nya parter (Estland, Lettland, Rumänien och Slovakien) samt rättsliga analyser och yttranden i samband med Internationella brottmålsdomstolens deltagande i den gemensamma utredningsgruppen. Parlamentet noterar vidare att byrån ger operativt stöd till EU:s arbetsgrupp ”Freeze and Seize”, som inrättats av kommissionen, genom att samordna medlemsstaternas arbete med att verkställa unionens sanktioner genom straffrättsliga bestämmelser, vilket utförs genom flera åtgärder, bland annat regelbundna dubbelkontroller av förteckningen över personer och företag som omfattas av unionens sanktioner mot byråns uppgifter om befintliga fall som hanteras av byrån och insamling av relevant information på nationell nivå om tidigare och pågående utredningar med anknytning till dem som förtecknas i sanktionsförteckningen för att underlätta straffrättsliga förfaranden.</w:t>
      </w:r>
    </w:p>
    <w:p w14:paraId="016A7F23" w14:textId="2900A550" w:rsidR="0050602F" w:rsidRPr="005D2D10" w:rsidRDefault="0050602F" w:rsidP="0050602F">
      <w:pPr>
        <w:pStyle w:val="NormalHanging12a"/>
        <w:keepNext/>
        <w:widowControl/>
      </w:pPr>
      <w:r w:rsidRPr="005D2D10">
        <w:t>8.</w:t>
      </w:r>
      <w:r w:rsidRPr="005D2D10">
        <w:tab/>
        <w:t>Europaparlamentet välkomnar att byrån under 2022 stärkte sitt operativa och strategiska samarbete med olika intressenter, såsom EU:s byråer för rättsliga och inrikes frågor (RIF), EU:s institutioner, Olaf,</w:t>
      </w:r>
      <w:r w:rsidR="00AA40B5" w:rsidRPr="005D2D10">
        <w:t xml:space="preserve"> Europeiska åklagarmyndigheten</w:t>
      </w:r>
      <w:r w:rsidRPr="005D2D10">
        <w:t xml:space="preserve"> </w:t>
      </w:r>
      <w:r w:rsidR="00AA40B5" w:rsidRPr="005D2D10">
        <w:t>(</w:t>
      </w:r>
      <w:r w:rsidRPr="005D2D10">
        <w:t>Eppo</w:t>
      </w:r>
      <w:r w:rsidR="00AA40B5" w:rsidRPr="005D2D10">
        <w:t>)</w:t>
      </w:r>
      <w:r w:rsidRPr="005D2D10">
        <w:t xml:space="preserve"> samt nätverk för rättstillämpare, tredjeländer och internationella organisationer. Parlamentet noterar särskilt byråns samarbete med </w:t>
      </w:r>
      <w:r w:rsidR="004768E9" w:rsidRPr="005D2D10">
        <w:t xml:space="preserve">Europeiska unionens </w:t>
      </w:r>
      <w:r w:rsidRPr="005D2D10">
        <w:t xml:space="preserve">byrå för den operativa förvaltningen av stora it-system inom området frihet, säkerhet och rättvisa (eu-LISA) om en gemensam rapport om artificiell intelligens (AI) till stöd för gränsöverskridande straffrättsligt samarbete, med </w:t>
      </w:r>
      <w:r w:rsidR="004768E9" w:rsidRPr="005D2D10">
        <w:t>Europeiska unionens byrå</w:t>
      </w:r>
      <w:r w:rsidRPr="005D2D10">
        <w:t xml:space="preserve"> för utbildning av tjänstemän inom brottsbekämpning (Cepol) om 16 kurser som omfattar rättsligt samarbete, med </w:t>
      </w:r>
      <w:r w:rsidR="004768E9" w:rsidRPr="005D2D10">
        <w:t>Europeiska unionens byrå</w:t>
      </w:r>
      <w:r w:rsidRPr="005D2D10">
        <w:t xml:space="preserve"> för samarbete inom brottsbekämpning (Europol) om Sirius-projektet och Europols system med ”träff/ingen träff”, och med nationella myndigheter från 20 medlemsstater, Europol, Olaf och Eppo om insatsen Sentinel mot bedrägerier i samband med medel för att stödja återhämtningen från covid-19. Parlamentet framhåller byråns bidrag till kommissionens initiativ på området för digitalisering av rättsväsendet (bland annat SIS II, CMS och Ecris-TCN). Parlamentet noterar att byrån har förlitat sig på ett ständigt växande nätverk av kontaktpunkter med behöriga myndigheter i tredjeländer, medan byråns totala antal kontaktpunkter under 2022 växte till att omfatta Australien, Bahrain och Marocko. Parlamentet lovordar utvidgningen av byråns straffrättsliga samarbete på internationell nivå, särskilt genom Euromeds program för rättsliga frågor (EuroMed Justice) med de sydliga partnerländerna och ett EU-finansierat projekt med inriktning på gränsöverskridande straffrättsligt samarbete på västra Balkan.</w:t>
      </w:r>
    </w:p>
    <w:p w14:paraId="6D9C15A3" w14:textId="77777777" w:rsidR="0050602F" w:rsidRPr="005D2D10" w:rsidRDefault="0050602F" w:rsidP="00D263EC">
      <w:pPr>
        <w:pStyle w:val="NormalHanging12a"/>
      </w:pPr>
      <w:r w:rsidRPr="005D2D10">
        <w:t>9.</w:t>
      </w:r>
      <w:r w:rsidRPr="005D2D10">
        <w:tab/>
        <w:t xml:space="preserve">Europaparlamentet uppskattar det transnationella samarbete mellan rättsliga myndigheter som främjas av Eurojust och det nära samarbetet med alla aktörer i den straffrättsliga kedjan, vilket bidrog till gripande av mer än 4 000 misstänkta, </w:t>
      </w:r>
      <w:r w:rsidRPr="005D2D10">
        <w:lastRenderedPageBreak/>
        <w:t>beslagtagande och frysning av tillgångar som härrör från brott till ett värde av nästan 3 miljarder EUR och beslag av narkotika till ett värde av nästan 12 miljarder EUR.</w:t>
      </w:r>
    </w:p>
    <w:p w14:paraId="17F709B3" w14:textId="77777777" w:rsidR="0050602F" w:rsidRPr="005D2D10" w:rsidRDefault="0050602F" w:rsidP="0050602F">
      <w:pPr>
        <w:pStyle w:val="NormalHanging12a"/>
        <w:rPr>
          <w:b/>
          <w:i/>
          <w:szCs w:val="24"/>
        </w:rPr>
      </w:pPr>
      <w:r w:rsidRPr="005D2D10">
        <w:rPr>
          <w:b/>
          <w:i/>
        </w:rPr>
        <w:t>Effektivitet och vinster</w:t>
      </w:r>
    </w:p>
    <w:p w14:paraId="7B3BE43A" w14:textId="31C85482" w:rsidR="0050602F" w:rsidRPr="005D2D10" w:rsidRDefault="0050602F" w:rsidP="0050602F">
      <w:pPr>
        <w:pStyle w:val="NormalHanging12a"/>
        <w:rPr>
          <w:szCs w:val="24"/>
        </w:rPr>
      </w:pPr>
      <w:r w:rsidRPr="005D2D10">
        <w:t>10.</w:t>
      </w:r>
      <w:r w:rsidRPr="005D2D10">
        <w:tab/>
        <w:t xml:space="preserve">Europaparlamentet betonar att byrån, utöver lanseringen av SUMMA, ytterligare förbättrade sina processer och verktyg för verksamhetsbaserad förvaltning genom att öka sitt planeringsverktygs effektivitet, datakvalitet/dataintegritet och användbarhet, genom att införa ett nytt verktyg för verksamhetsregistrering och genom att fortsätta sin gradvisa övergång från outputindikatorer till nyckelprestationsindikatorer. Parlamentet lovordar byrån för att ha inlett en diskussion med Europol för att undersöka möjligheten att dela hälso- och sjukvårdstjänster i framtiden. Parlamentet lovordar vidare byråns beslut att behålla vissa effektivitetsvinster som uppnåtts under </w:t>
      </w:r>
      <w:r w:rsidR="004768E9" w:rsidRPr="005D2D10">
        <w:t>covid-19-pandemin</w:t>
      </w:r>
      <w:r w:rsidRPr="005D2D10">
        <w:t>. Parlamentet noterar utifrån byråns svar på parlamentets skriftliga frågor att byrån under 2022 anordnade 47 % av samordningsmötena och all personalutbildning och alla urvalsförfaranden online, vilket avsevärt minskade de relaterade kostnaderna för finansiella resurser och personalresurser, samt 29 % av alla samordningsmöten i hybridform.</w:t>
      </w:r>
    </w:p>
    <w:p w14:paraId="43AF7ADC" w14:textId="77777777" w:rsidR="0050602F" w:rsidRPr="005D2D10" w:rsidRDefault="0050602F" w:rsidP="0050602F">
      <w:pPr>
        <w:pStyle w:val="NormalHanging12a"/>
        <w:rPr>
          <w:szCs w:val="24"/>
        </w:rPr>
      </w:pPr>
      <w:r w:rsidRPr="005D2D10">
        <w:t>11.</w:t>
      </w:r>
      <w:r w:rsidRPr="005D2D10">
        <w:tab/>
        <w:t>Europaparlamentet noterar att två organisationsomfattande projekt, i syfte att öka effektiviteten, togs i drift 2022, dvs. byråns självbetjäningsportal och Pexip, det nya videokonferenssystemet för samordningsmöten och samordningscentrum, med simultantolkning till minst tio språk. Parlamentet noterar vidare att analysen av migrationen av det befintliga extranätet och urvalet av leverantörer för att ersätta bibliotekssystemet har slutförts, medan arbetet med ett certifierat e-signaturverktyg fortfarande pågår med förväntade resultat under 2024. Parlamentet lovordar byrån för att ha genomfört fyra nya Sysper-moduler (bedömning, yrkestitlar/arbetsbeskrivningar, nationella utvecklingsplaner, rapportering), utöver de fem moduler som redan genomförts under tidigare år. Parlamentet noterar byråns åtagande att fullt ut genomföra Sysper senast 2024.</w:t>
      </w:r>
    </w:p>
    <w:p w14:paraId="3E091214" w14:textId="6D5EDA30" w:rsidR="0050602F" w:rsidRPr="005D2D10" w:rsidRDefault="0050602F" w:rsidP="0050602F">
      <w:pPr>
        <w:pStyle w:val="NormalHanging12a"/>
        <w:rPr>
          <w:szCs w:val="24"/>
        </w:rPr>
      </w:pPr>
      <w:r w:rsidRPr="005D2D10">
        <w:t>12.</w:t>
      </w:r>
      <w:r w:rsidRPr="005D2D10">
        <w:tab/>
        <w:t xml:space="preserve">Europaparlamentet noterar utifrån revisionsrättens rapport att byrån inte ännu hör till de byråer som har upprättat en verksamhetsplan för att förbättra energieffektiviteten och klimatneutraliteten i sin verksamhet, som har någon form av miljörapportering integrerad i sina årliga verksamhetsrapporter och som blivit </w:t>
      </w:r>
      <w:r w:rsidR="00646ABD" w:rsidRPr="005D2D10">
        <w:t>certifierade enligt miljölednings- och miljörevisionsordningen (Emas)</w:t>
      </w:r>
      <w:r w:rsidRPr="005D2D10">
        <w:t>. Parlamentet noterar att byrån under 2021 inledde genomförandet av Emas/efterlevnadsramen ISO 14001. Parlamentet noterar i detta sammanhang att byrån under 2022 mottog slutrapporten från det externa konsultföretaget, inklusive all relevant information om de miljörelaterade bestämmelserna i Nederländerna. Parlamentet noterar vidare att byrån under 2022 anslöt sig till den offentliga upphandlingen för konsulttjänster inom miljöledningssystem och minskning av och kompensation för växthusgasutsläpp.</w:t>
      </w:r>
    </w:p>
    <w:p w14:paraId="7D076007" w14:textId="77777777" w:rsidR="0050602F" w:rsidRPr="005D2D10" w:rsidRDefault="0050602F" w:rsidP="0050602F">
      <w:pPr>
        <w:pStyle w:val="Normal12Hanging"/>
        <w:rPr>
          <w:b/>
          <w:i/>
          <w:szCs w:val="24"/>
          <w:lang w:val="sv-SE"/>
        </w:rPr>
      </w:pPr>
      <w:r w:rsidRPr="005D2D10">
        <w:rPr>
          <w:b/>
          <w:i/>
          <w:lang w:val="sv-SE"/>
        </w:rPr>
        <w:t>Personalpolitik</w:t>
      </w:r>
    </w:p>
    <w:p w14:paraId="1EFBF9C9" w14:textId="77777777" w:rsidR="0050602F" w:rsidRPr="005D2D10" w:rsidRDefault="0050602F" w:rsidP="0050602F">
      <w:pPr>
        <w:pStyle w:val="Normal12Hanging"/>
        <w:rPr>
          <w:szCs w:val="24"/>
          <w:lang w:val="sv-SE"/>
        </w:rPr>
      </w:pPr>
      <w:r w:rsidRPr="005D2D10">
        <w:rPr>
          <w:lang w:val="sv-SE"/>
        </w:rPr>
        <w:t>13.</w:t>
      </w:r>
      <w:r w:rsidRPr="005D2D10">
        <w:rPr>
          <w:lang w:val="sv-SE"/>
        </w:rPr>
        <w:tab/>
        <w:t xml:space="preserve">Europaparlamentet noterar att 100 % av tjänsterna i byråns tjänsteförteckning var tillsatta den 31 december 2022 (samma som 2021). Av de 221 tjänster för tillfälligt anställda som fick tillsättas enligt unionsbudgeten för 2022 hade 221 tillsatts, och av dessa 221 var 209 tillfälligt anställda i tjänst, medan 12 anbudsbrev hade skickats ut. Parlamentet noterar dessutom att 18 kontraktsanställda och 22 utstationerade nationella experter arbetade för byrån 2022. Parlamentet noterar vidare att en omklassificering </w:t>
      </w:r>
      <w:r w:rsidRPr="005D2D10">
        <w:rPr>
          <w:lang w:val="sv-SE"/>
        </w:rPr>
        <w:lastRenderedPageBreak/>
        <w:t>genomfördes, vilket ledde till att 53 anställda omklassificerades.</w:t>
      </w:r>
    </w:p>
    <w:p w14:paraId="43AA56A2" w14:textId="77777777" w:rsidR="0050602F" w:rsidRPr="005D2D10" w:rsidRDefault="0050602F" w:rsidP="0050602F">
      <w:pPr>
        <w:pStyle w:val="NormalHanging12a"/>
      </w:pPr>
      <w:r w:rsidRPr="005D2D10">
        <w:t>14.</w:t>
      </w:r>
      <w:r w:rsidRPr="005D2D10">
        <w:tab/>
        <w:t>Europaparlamentet noterar könsfördelningen inom byrån under 2022 med sex män (60 %) och fyra kvinnor (40 %) på högre chefs- och mellanchefsnivå och 16 män (64 %) och 9 kvinnor (36 %) i byråns kollegium, medan personalen totalt består av 85 män (33 %) och 175 kvinnor (67 %). Parlamentet uppmanar byrån att säkerställa en bättre könsbalans på alla personalnivåer och att ytterligare uppmuntra kvinnliga kandidater att söka chefstjänster, liksom ansökningar från manliga sökande i externa urvalsförfaranden för återstoden av personaltjänsterna. Parlamentet konstaterar att byrån inte ansvarar för sammansättningen av sitt kollegium eftersom kollegiets nationella medlemmar utses direkt av respektive medlemsstat. Parlamentet uppmanar kommissionen och medlemsstaterna att beakta vikten av att säkerställa en jämn könsfördelning när de nominerar sina ledamöter till kollegiet.</w:t>
      </w:r>
    </w:p>
    <w:p w14:paraId="78CA4AAE" w14:textId="77777777" w:rsidR="0050602F" w:rsidRPr="005D2D10" w:rsidRDefault="0050602F" w:rsidP="0050602F">
      <w:pPr>
        <w:pStyle w:val="NormalHanging12a"/>
        <w:rPr>
          <w:szCs w:val="24"/>
        </w:rPr>
      </w:pPr>
      <w:r w:rsidRPr="005D2D10">
        <w:t>15.</w:t>
      </w:r>
      <w:r w:rsidRPr="005D2D10">
        <w:tab/>
        <w:t>Europaparlamentet noterar att byrån mellan 2017 och 2022 sökte råd från en extern advokatbyrå specialiserad på bestämmelserna om unionens personalförvaltning för flera begäranden om bistånd i samband med påstådda fall av mobbning. Parlamentet noterar att en begäran om bistånd som mottogs 2021 ledde till att två separata administrativa utredningar inleddes, där byrån sökte stöd från två externa utredare. Parlamentet noterar att utredningarna i båda fallen avslutades utan ytterligare åtgärder, medan en av dem drogs inför domstol. Byrån uppmanas att informera den ansvarsfrihetsbeviljande myndigheten om resultatet i detta ärende.</w:t>
      </w:r>
    </w:p>
    <w:p w14:paraId="03A00082" w14:textId="77777777" w:rsidR="0050602F" w:rsidRPr="005D2D10" w:rsidRDefault="0050602F" w:rsidP="0050602F">
      <w:pPr>
        <w:pStyle w:val="NormalHanging12a"/>
        <w:rPr>
          <w:szCs w:val="24"/>
        </w:rPr>
      </w:pPr>
      <w:r w:rsidRPr="005D2D10">
        <w:t>16.</w:t>
      </w:r>
      <w:r w:rsidRPr="005D2D10">
        <w:tab/>
        <w:t>Europaparlamentet betonar att byrån 2022 antog genomförandebestämmelser till tjänsteföreskrifterna om bland annat administrativa utredningar och disciplinära förfaranden, ledighet i hemlandet för personal som tjänstgör i ett tredjeland och utbetalning av utbildningstillägg till anställda på vissa villkor. Parlamentet välkomnar de åtgärder som byrån vidtagit för att integrera personer med funktionsnedsättning samt byråns åtagande att inom ramen för genomförandet av personalstrategin anta stadgan om mångfald och inkludering, som godkänts av RIF-nätverkets arbetsgrupp för mångfald och inkludering.</w:t>
      </w:r>
    </w:p>
    <w:p w14:paraId="2C40221E" w14:textId="77777777" w:rsidR="0050602F" w:rsidRPr="005D2D10" w:rsidRDefault="0050602F" w:rsidP="0050602F">
      <w:pPr>
        <w:pStyle w:val="NormalHanging12a"/>
      </w:pPr>
      <w:r w:rsidRPr="005D2D10">
        <w:t>17.</w:t>
      </w:r>
      <w:r w:rsidRPr="005D2D10">
        <w:tab/>
        <w:t>Europaparlamentet noterar att byråns personal främst arbetade på distans fram till mars 2022. Parlamentet noterar att från och med april 2022 återvände all personal till byråns lokaler. Parlamentet noterar i detta sammanhang att byrån införde övergångsåtgärder för arbete på kontoret och distansarbete och organiserade workshoppar för att hjälpa personalen att anpassa sig mentalt till återgången till kontoret efter ett kontinuerligt distansarbetat under två år. Parlamentet noterar också att resultaten av byråns personalundersökning 2023 visar att de sociala åtgärder som byrån vidtog 2022 på ett effektivt sätt mildrade den inverkan som det utökade distansarbetet hade på personalen. Parlamentet noterar särskilt att 96 % av de svarande var positiva till att kunna samordna sitt arbete med gruppmedlemmar trots att de arbetade från olika platser.</w:t>
      </w:r>
    </w:p>
    <w:p w14:paraId="336996CA" w14:textId="77777777" w:rsidR="0050602F" w:rsidRPr="005D2D10" w:rsidRDefault="0050602F" w:rsidP="0050602F">
      <w:pPr>
        <w:pStyle w:val="NormalHanging12a"/>
        <w:rPr>
          <w:b/>
          <w:i/>
        </w:rPr>
      </w:pPr>
      <w:r w:rsidRPr="005D2D10">
        <w:t>18.</w:t>
      </w:r>
      <w:r w:rsidRPr="005D2D10">
        <w:tab/>
        <w:t>Europaparlamentet noterar med tillfredsställelse att byråns personal den 31 december 2022 bestod av anställda från 26 medlemsstater. Parlamentet noterar att de nationaliteter som var mest representerade bland byråns personal var Nederländerna, Italien, Spanien och Rumänien. Parlamentet påminner om vikten av geografisk balans och uppmuntrar byrån att även i fortsättningen vidta nödvändiga åtgärder för att få till stånd en balanserad och rättvis geografisk representation.</w:t>
      </w:r>
    </w:p>
    <w:p w14:paraId="74CA9E91" w14:textId="77777777" w:rsidR="0050602F" w:rsidRPr="005D2D10" w:rsidRDefault="0050602F" w:rsidP="0050602F">
      <w:pPr>
        <w:pStyle w:val="Normal12Hanging"/>
        <w:rPr>
          <w:b/>
          <w:i/>
          <w:szCs w:val="24"/>
          <w:lang w:val="sv-SE"/>
        </w:rPr>
      </w:pPr>
      <w:r w:rsidRPr="005D2D10">
        <w:rPr>
          <w:b/>
          <w:i/>
          <w:lang w:val="sv-SE"/>
        </w:rPr>
        <w:t>Upphandling</w:t>
      </w:r>
    </w:p>
    <w:p w14:paraId="1C32230E" w14:textId="77777777" w:rsidR="0050602F" w:rsidRPr="005D2D10" w:rsidRDefault="0050602F" w:rsidP="0050602F">
      <w:pPr>
        <w:pStyle w:val="NormalHanging12a"/>
      </w:pPr>
      <w:r w:rsidRPr="005D2D10">
        <w:lastRenderedPageBreak/>
        <w:t>19.</w:t>
      </w:r>
      <w:r w:rsidRPr="005D2D10">
        <w:tab/>
        <w:t>Europaparlamentet påminner om iakttagelsen i revisionsrättens rapport för 2020 att ett ramavtal för fordonsleasing med en enda ekonomisk aktör inte var lämpligt för den typ av tjänster som efterfrågades, och att det kontrakt som tilldelades till följd av förfarandet samt alla tillhörande betalningar var oriktiga. Parlamentet noterar utifrån revisionsrättens rapport att byrån under 2022 felaktigt betalade ut 59 281 EUR inom ramen för detta kontrakt och att iakttagelsen fortfarande är oavslutad. Parlamentet uppmanar byrån att undersöka möjligheten att avsluta detta ramavtal och inleda ett nytt förfarande med förnyad konkurrensutsättning på det sätt som revisionsrätten anser lämpligt när det gäller leasing av fordon.</w:t>
      </w:r>
    </w:p>
    <w:p w14:paraId="4A7785A9" w14:textId="77777777" w:rsidR="0050602F" w:rsidRPr="005D2D10" w:rsidRDefault="0050602F" w:rsidP="0050602F">
      <w:pPr>
        <w:pStyle w:val="NormalHanging12a"/>
        <w:rPr>
          <w:szCs w:val="24"/>
        </w:rPr>
      </w:pPr>
      <w:r w:rsidRPr="005D2D10">
        <w:t>20.</w:t>
      </w:r>
      <w:r w:rsidRPr="005D2D10">
        <w:tab/>
        <w:t>Europaparlamentet noterar utifrån byråns uppföljningsrapport för ansvarsfrihetsförfarandet för 2021 att byrån fortsätter att testa verktyget för förvaltning av offentlig upphandling (PPMT), i syfte att använda det för alla nya upphandlingsförfaranden som inleds från och med 2024.</w:t>
      </w:r>
    </w:p>
    <w:p w14:paraId="664F795C" w14:textId="77777777" w:rsidR="0050602F" w:rsidRPr="005D2D10" w:rsidRDefault="0050602F" w:rsidP="0050602F">
      <w:pPr>
        <w:pStyle w:val="Normal12Hanging"/>
        <w:rPr>
          <w:b/>
          <w:i/>
          <w:szCs w:val="24"/>
          <w:lang w:val="sv-SE"/>
        </w:rPr>
      </w:pPr>
      <w:r w:rsidRPr="005D2D10">
        <w:rPr>
          <w:b/>
          <w:i/>
          <w:lang w:val="sv-SE"/>
        </w:rPr>
        <w:t>Förebyggande och hantering av intressekonflikter samt transparens</w:t>
      </w:r>
    </w:p>
    <w:p w14:paraId="11EFBDE1" w14:textId="77777777" w:rsidR="0050602F" w:rsidRPr="005D2D10" w:rsidRDefault="0050602F" w:rsidP="0050602F">
      <w:pPr>
        <w:pStyle w:val="Normal12Hanging"/>
        <w:rPr>
          <w:szCs w:val="24"/>
          <w:lang w:val="sv-SE"/>
        </w:rPr>
      </w:pPr>
      <w:r w:rsidRPr="005D2D10">
        <w:rPr>
          <w:lang w:val="sv-SE"/>
        </w:rPr>
        <w:t>21.</w:t>
      </w:r>
      <w:r w:rsidRPr="005D2D10">
        <w:rPr>
          <w:lang w:val="sv-SE"/>
        </w:rPr>
        <w:tab/>
        <w:t>Europaparlamentet noterar byråns standardförfarande för hantering av intressekonflikter som gäller för alla kandidater som erbjuds en tjänst vid byrån, nyanställda, personal som byter tjänst samt alla anställda som lämnar byrån. Parlamentet betonar att byrån har infört etiska regler för ledamöterna i kollegiet och styrelsen, dock utan någon policy på området ”svängdörrsproblematik”. Parlamentet noterar att det under 2022 har förekommit fall av intressekonflikter som rapporterats och hanterats, särskilt när det gäller kollegiets ledamöters deltagande i personalrelaterade förfaranden. Parlamentet noterar med tillfredsställelse att de berörda personerna förklarade sig jäviga och deltog inte i kollegiets överläggningar och beslutsfattande i detta avseende.</w:t>
      </w:r>
    </w:p>
    <w:p w14:paraId="35541317" w14:textId="6AE550E8" w:rsidR="0050602F" w:rsidRPr="005D2D10" w:rsidRDefault="0050602F" w:rsidP="0050602F">
      <w:pPr>
        <w:pStyle w:val="Normal12Hanging"/>
        <w:rPr>
          <w:szCs w:val="24"/>
          <w:lang w:val="sv-SE"/>
        </w:rPr>
      </w:pPr>
      <w:r w:rsidRPr="005D2D10">
        <w:rPr>
          <w:lang w:val="sv-SE"/>
        </w:rPr>
        <w:t>22.</w:t>
      </w:r>
      <w:r w:rsidRPr="005D2D10">
        <w:rPr>
          <w:lang w:val="sv-SE"/>
        </w:rPr>
        <w:tab/>
        <w:t>Europaparlamentet noterar att byrån visserligen inte har några möten med lobbyister, men att byråns styrelsemöten med externa gäster som besöker byrån offentliggjordes på byråns twitterkonto 2022 och, från och med 2023, på byråns offentliga webbplats. Parlamentet beklagar djupt att byrån, trots parlamentets upprepade uppmaningar i flera resolutioner om ansvarsfrihet, fortfarande inte offentliggör meritförteckningarna för hela den högsta ledningen och interna och externa experter på sin webbplats. Parlamentet uppmanar byrån att offentliggöra dessa meritförteckningar eller förklara varför byrån ännu inte har gjort det.</w:t>
      </w:r>
    </w:p>
    <w:p w14:paraId="756D3597" w14:textId="77777777" w:rsidR="0050602F" w:rsidRPr="005D2D10" w:rsidRDefault="0050602F" w:rsidP="0050602F">
      <w:pPr>
        <w:pStyle w:val="Normal12Hanging"/>
        <w:keepNext/>
        <w:widowControl/>
        <w:rPr>
          <w:b/>
          <w:i/>
          <w:szCs w:val="24"/>
          <w:lang w:val="sv-SE"/>
        </w:rPr>
      </w:pPr>
      <w:r w:rsidRPr="005D2D10">
        <w:rPr>
          <w:b/>
          <w:i/>
          <w:lang w:val="sv-SE"/>
        </w:rPr>
        <w:t>Internkontroll</w:t>
      </w:r>
    </w:p>
    <w:p w14:paraId="79ADD2B2" w14:textId="77777777" w:rsidR="0050602F" w:rsidRPr="005D2D10" w:rsidRDefault="0050602F" w:rsidP="0050602F">
      <w:pPr>
        <w:pStyle w:val="NormalHanging12a"/>
        <w:keepNext/>
        <w:widowControl/>
        <w:rPr>
          <w:szCs w:val="24"/>
        </w:rPr>
      </w:pPr>
      <w:r w:rsidRPr="005D2D10">
        <w:t>23.</w:t>
      </w:r>
      <w:r w:rsidRPr="005D2D10">
        <w:tab/>
        <w:t>Europaparlamentet påminner om att en Olaf-utredning som genomfördes 2021 till följd av ett anonymt klagomål om påstådda oriktigheter i rekryteringsförfaranden pågick. Parlamentet noterar att Olaf under 2022 rapporterade att inga oriktigheter hade konstaterats i samband med detta. Parlamentet noterar vidare i detta sammanhang att eftersom denna utredning delvis fortfarande pågick i slutet av 2022, och av sekretesskäl, beslutade Olaf att inte dela med sig av mer information i det skedet. Parlamentet välkomnar utifrån uppföljningsrapporten byråns åtagande att i god tid informera den ansvarsfrihetsbeviljande myndigheten om utvecklingen i denna fråga.</w:t>
      </w:r>
    </w:p>
    <w:p w14:paraId="1C78E5C9" w14:textId="77777777" w:rsidR="0050602F" w:rsidRPr="005D2D10" w:rsidRDefault="0050602F" w:rsidP="0050602F">
      <w:pPr>
        <w:pStyle w:val="NormalHanging12a"/>
        <w:rPr>
          <w:szCs w:val="24"/>
        </w:rPr>
      </w:pPr>
      <w:r w:rsidRPr="005D2D10">
        <w:t>24.</w:t>
      </w:r>
      <w:r w:rsidRPr="005D2D10">
        <w:tab/>
        <w:t xml:space="preserve">Europaparlamentet noterar att fyra rekommendationer från kommissionens tjänst för internrevision (IAS) under 2019 och 2021 var avsevärt försenade i slutet av 2022. Parlamentet noterar i detta sammanhang, när det gäller IAS rekommendation från 2021 om genomförande av det egna initiativet om operativa uppgifter, att byråns relevanta </w:t>
      </w:r>
      <w:r w:rsidRPr="005D2D10">
        <w:lastRenderedPageBreak/>
        <w:t>interna arbetsgrupp enades om ett strategiskt dokument och en handlingsplan, med åtgärder på kort och lång sikt, varav vissa redan har genomförts under 2023, varvid byrån, med förbehåll för en slutlig bedömning från IAS, har markerat denna rekommendation som genomförd. Parlamentet noterar vidare från uppföljningsrapporten, när det gäller IAS rekommendation från 2021 om att byrån ska genomföra en iCAT-undersökning för att förstärka bedömningen av mjuka kontroller, att lanseringen av denna undersökning, som planerades till fjärde kvartalet 2022, försenades på grund av genomförandet av större tvärorganisatoriska projekt (t.ex. SUMMA), den ökade arbetsbördan på grund av nya prioriteringar i samband med kriget i Ukraina och övergångsperioden mellan den tidigare administrativa direktörens avgång och utnämningen av den nya. Parlamentet noterar i detta sammanhang att de relevanta iCAT-frågorna integrerades i byråns undersökning av personalens engagemang (SES) som inleddes andra kvartalet 2023. Parlamentet noterar slutligen, med förbehåll för IAS slutliga bedömning, att denna rekommendation också anses ha genomförts av byrån. Parlamentet uppmanar byrån att påskynda genomförandet av de kvarstående rekommendationerna från IAS, särskilt de som är avsevärt försenade.</w:t>
      </w:r>
    </w:p>
    <w:p w14:paraId="651411E1" w14:textId="77777777" w:rsidR="0050602F" w:rsidRPr="005D2D10" w:rsidRDefault="0050602F" w:rsidP="0050602F">
      <w:pPr>
        <w:pStyle w:val="NormalHanging12a"/>
      </w:pPr>
      <w:r w:rsidRPr="005D2D10">
        <w:t>25.</w:t>
      </w:r>
      <w:r w:rsidRPr="005D2D10">
        <w:tab/>
        <w:t>Europaparlamentet noterar med oro den betydande ökningen av antalet och värdet av fall av bristande efterlevnad under 2022 (43 fall till ett värde av 294 000 EUR) jämfört med 2021 (33 fall till ett värde av 18 000 EUR), samtidigt som sådana fall främst var kopplade till frågor såsom att en faktura var högre än det rättsliga åtagandet, att budgetåtagandet gjordes efter det att det rättsliga åtagandet hade tilldelats eller att en köporder eller ett specifikt kontrakt saknades. Parlamentet noterar att byrån förklarar att denna ökning är kopplad till de svårigheter som uppstått i samband med budgetförvaltningen och den ekonomiska förvaltningen under 2022, på grund av införandet av SUMMA. Parlamentet uppmanar byrån att reagera på dessa iakttagelser och undersöka modeller så att denna typ av situationer inte längre uppstår i framtiden.</w:t>
      </w:r>
    </w:p>
    <w:p w14:paraId="4DFED7FA" w14:textId="77777777" w:rsidR="0050602F" w:rsidRPr="005D2D10" w:rsidRDefault="0050602F" w:rsidP="0050602F">
      <w:pPr>
        <w:pStyle w:val="NormalHanging12a"/>
        <w:rPr>
          <w:szCs w:val="24"/>
        </w:rPr>
      </w:pPr>
      <w:r w:rsidRPr="005D2D10">
        <w:t>26.</w:t>
      </w:r>
      <w:r w:rsidRPr="005D2D10">
        <w:tab/>
        <w:t>Europaparlamentet noterar att komponenterna och principerna i byråns ram för internkontroll fanns på plats och fungerade under 2022, och att systemet överlag var effektivt, även om vissa förbättringar behövdes, t.ex. när det gäller genomförandet av SUMMA och behovet av att anta en katastrofhanteringsplan. Parlamentet lovordar byrån för antagandet av en policy för känsliga funktioner, utkastet till bedömning av kostnadseffektiviteten och nyttan med att utse en internrevisionsfunktion och avsaknaden av kritiska rekommendationer eller iakttagelser till följd av revisionen 2022. Byrån uppmanas att informera den ansvarsfrihetsbeviljande myndigheten om resultatet av bedömningen avseende internrevisionsfunktionen. Parlamentet lovordar slutligen byråns ytterligare åtgärder för att följa upp antagandet av byråns strategi för bedrägeribekämpning 2021. Parlamentet noterar i detta avseende att byrån 2022 antog nya interna förfaranden för förvaltning av tillgångar och lagerhantering.</w:t>
      </w:r>
    </w:p>
    <w:p w14:paraId="44B07999" w14:textId="77777777" w:rsidR="0050602F" w:rsidRPr="005D2D10" w:rsidRDefault="0050602F" w:rsidP="0050602F">
      <w:pPr>
        <w:pStyle w:val="Normal12Hanging"/>
        <w:rPr>
          <w:b/>
          <w:i/>
          <w:szCs w:val="24"/>
          <w:lang w:val="sv-SE"/>
        </w:rPr>
      </w:pPr>
      <w:r w:rsidRPr="005D2D10">
        <w:rPr>
          <w:b/>
          <w:i/>
          <w:lang w:val="sv-SE"/>
        </w:rPr>
        <w:t>Övriga synpunkter</w:t>
      </w:r>
    </w:p>
    <w:p w14:paraId="4135AC03" w14:textId="77777777" w:rsidR="0050602F" w:rsidRPr="005D2D10" w:rsidRDefault="0050602F" w:rsidP="0050602F">
      <w:pPr>
        <w:pStyle w:val="Normal12Hanging"/>
        <w:rPr>
          <w:szCs w:val="24"/>
          <w:lang w:val="sv-SE"/>
        </w:rPr>
      </w:pPr>
      <w:r w:rsidRPr="005D2D10">
        <w:rPr>
          <w:lang w:val="sv-SE"/>
        </w:rPr>
        <w:t>27.</w:t>
      </w:r>
      <w:r w:rsidRPr="005D2D10">
        <w:rPr>
          <w:lang w:val="sv-SE"/>
        </w:rPr>
        <w:tab/>
        <w:t>Europaparlamentet lovordar byrån för att den investerat i sin kommunikationsverksamhet för att öka byråns synlighet och förståelsen för dess arbete och på detta sätt nå ut till en bred publik. Parlamentet noterar till följd av detta en ökning av byråns mätvärden för sociala medier med 40 %, antalet besökare på byråns webbplats med nästan 100 % och antalet pressmeddelanden och nyhetsartiklar med 16 % under 2022 jämfört med 2021, varvid den sistnämnda indikatorn ledde till en ökning med nästan fem gånger fler omnämnanden jämfört med 2021.</w:t>
      </w:r>
    </w:p>
    <w:p w14:paraId="4314C93B" w14:textId="77777777" w:rsidR="0050602F" w:rsidRPr="005D2D10" w:rsidRDefault="0050602F" w:rsidP="0050602F">
      <w:pPr>
        <w:pStyle w:val="Normal12Hanging"/>
        <w:rPr>
          <w:szCs w:val="24"/>
          <w:lang w:val="sv-SE"/>
        </w:rPr>
      </w:pPr>
      <w:r w:rsidRPr="005D2D10">
        <w:rPr>
          <w:lang w:val="sv-SE"/>
        </w:rPr>
        <w:lastRenderedPageBreak/>
        <w:t>28.</w:t>
      </w:r>
      <w:r w:rsidRPr="005D2D10">
        <w:rPr>
          <w:lang w:val="sv-SE"/>
        </w:rPr>
        <w:tab/>
        <w:t>Europaparlamentet lovordar byråns fortsatta insatser under 2022 för att stärka sin efterlevnad av uppgiftsskyddet. Parlamentet välkomnar utökningen av gruppen med byråns dataskyddsombud med ytterligare två anställda för de nya uppgifterna i samband med förordning (EU) 2018/1725</w:t>
      </w:r>
      <w:r w:rsidR="00646ABD" w:rsidRPr="005D2D10">
        <w:rPr>
          <w:rStyle w:val="FootnoteReference"/>
          <w:lang w:val="sv-SE"/>
        </w:rPr>
        <w:footnoteReference w:id="12"/>
      </w:r>
      <w:r w:rsidRPr="005D2D10">
        <w:rPr>
          <w:lang w:val="sv-SE"/>
        </w:rPr>
        <w:t xml:space="preserve"> och utvidgningen av byråns mandat för centrala internationella brott, vilket innebär ökade dataskyddskrav. Parlamentet noterar att dataskyddsombudet och Europeiska datatillsynsmannen under 2022 fortsatte att hålla regelbundna möten (varannan månad), liksom ad hoc-möten, och samråd om olika dataskyddsfrågor, bland annat personuppgiftsincidenter och klagomål.</w:t>
      </w:r>
    </w:p>
    <w:p w14:paraId="0F78A39E" w14:textId="77777777" w:rsidR="0050602F" w:rsidRPr="005D2D10" w:rsidRDefault="0050602F" w:rsidP="0050602F">
      <w:pPr>
        <w:pStyle w:val="Normal12Hanging"/>
        <w:rPr>
          <w:szCs w:val="24"/>
          <w:lang w:val="sv-SE"/>
        </w:rPr>
      </w:pPr>
      <w:r w:rsidRPr="005D2D10">
        <w:rPr>
          <w:lang w:val="sv-SE"/>
        </w:rPr>
        <w:t>29.</w:t>
      </w:r>
      <w:r w:rsidRPr="005D2D10">
        <w:rPr>
          <w:lang w:val="sv-SE"/>
        </w:rPr>
        <w:tab/>
        <w:t>Europaparlamentet lovordar vidare byrån för att under 2022 ha genomfört flera åtgärder för att öka it-säkerheten och skyddet av de digitala register som den förfogar över, såsom bland annat införandet av centralt förvaltade och säkrade interna mobiltelefoner, införandet av informationsmöten i form av interna internetkafésessioner och genomförandet av skyddet mot samordnade överbelastningsattacker.</w:t>
      </w:r>
    </w:p>
    <w:p w14:paraId="2229AD4E" w14:textId="77777777" w:rsidR="0050602F" w:rsidRPr="005D2D10" w:rsidRDefault="0050602F" w:rsidP="0050602F">
      <w:pPr>
        <w:pStyle w:val="NormalCenter12a"/>
      </w:pPr>
      <w:r w:rsidRPr="005D2D10">
        <w:t>°</w:t>
      </w:r>
    </w:p>
    <w:p w14:paraId="33EA5910" w14:textId="77777777" w:rsidR="0050602F" w:rsidRPr="005D2D10" w:rsidRDefault="0050602F" w:rsidP="0050602F">
      <w:pPr>
        <w:pStyle w:val="NormalCenter12a"/>
      </w:pPr>
      <w:r w:rsidRPr="005D2D10">
        <w:t>°</w:t>
      </w:r>
      <w:r w:rsidRPr="005D2D10">
        <w:tab/>
        <w:t>°</w:t>
      </w:r>
    </w:p>
    <w:p w14:paraId="4067787B" w14:textId="7A5DBCA7" w:rsidR="0050602F" w:rsidRPr="00BC1425" w:rsidRDefault="0050602F" w:rsidP="0050602F">
      <w:pPr>
        <w:pStyle w:val="NormalHanging12a"/>
      </w:pPr>
      <w:r w:rsidRPr="005D2D10">
        <w:t>30.</w:t>
      </w:r>
      <w:r w:rsidRPr="005D2D10">
        <w:tab/>
        <w:t>När det gäller andra övergri</w:t>
      </w:r>
      <w:bookmarkStart w:id="8" w:name="_GoBack"/>
      <w:bookmarkEnd w:id="8"/>
      <w:r w:rsidRPr="005D2D10">
        <w:t xml:space="preserve">pande iakttagelser som utgör en del av beslutet om ansvarsfrihet hänvisar Europaparlamentet till sin resolution av den </w:t>
      </w:r>
      <w:r w:rsidR="00515CAC" w:rsidRPr="005D2D10">
        <w:t xml:space="preserve">11 april </w:t>
      </w:r>
      <w:r w:rsidRPr="005D2D10">
        <w:t>2024</w:t>
      </w:r>
      <w:r w:rsidRPr="005D2D10">
        <w:rPr>
          <w:rStyle w:val="FootnoteReference"/>
        </w:rPr>
        <w:footnoteReference w:id="13"/>
      </w:r>
      <w:r w:rsidRPr="005D2D10">
        <w:t xml:space="preserve"> om byråernas verksamhetsresultat, ekonomiska förvaltning och kontroll.</w:t>
      </w:r>
    </w:p>
    <w:p w14:paraId="1415081C" w14:textId="77777777" w:rsidR="0050602F" w:rsidRPr="00BC1425" w:rsidRDefault="0050602F" w:rsidP="0050602F"/>
    <w:p w14:paraId="05E4CEA0" w14:textId="791B53EB" w:rsidR="00E365E1" w:rsidRPr="00BC1425" w:rsidRDefault="00E365E1" w:rsidP="00846602">
      <w:bookmarkStart w:id="9" w:name="TextBodyEnd"/>
      <w:bookmarkEnd w:id="9"/>
    </w:p>
    <w:sectPr w:rsidR="00E365E1" w:rsidRPr="00BC1425" w:rsidSect="00BC142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A087A" w14:textId="77777777" w:rsidR="00846602" w:rsidRPr="00BC1425" w:rsidRDefault="00846602">
      <w:r w:rsidRPr="00BC1425">
        <w:separator/>
      </w:r>
    </w:p>
  </w:endnote>
  <w:endnote w:type="continuationSeparator" w:id="0">
    <w:p w14:paraId="38397870" w14:textId="77777777" w:rsidR="00846602" w:rsidRPr="00BC1425" w:rsidRDefault="00846602">
      <w:r w:rsidRPr="00BC14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8C69A" w14:textId="77777777" w:rsidR="0050602F" w:rsidRPr="00BC1425" w:rsidRDefault="0050602F" w:rsidP="005F3721">
    <w:pPr>
      <w:pStyle w:val="EPFooter"/>
    </w:pPr>
    <w:r w:rsidRPr="00BC1425">
      <w:t>PE</w:t>
    </w:r>
    <w:r w:rsidRPr="00BC1425">
      <w:rPr>
        <w:rStyle w:val="HideTWBExt"/>
      </w:rPr>
      <w:t>&lt;NoPE&gt;</w:t>
    </w:r>
    <w:r w:rsidRPr="00BC1425">
      <w:t>753.539</w:t>
    </w:r>
    <w:r w:rsidRPr="00BC1425">
      <w:rPr>
        <w:rStyle w:val="HideTWBExt"/>
      </w:rPr>
      <w:t>&lt;/NoPE&gt;&lt;Version&gt;</w:t>
    </w:r>
    <w:r w:rsidRPr="00BC1425">
      <w:t>v02-00</w:t>
    </w:r>
    <w:r w:rsidRPr="00BC1425">
      <w:rPr>
        <w:rStyle w:val="HideTWBExt"/>
      </w:rPr>
      <w:t>&lt;/Version&gt;</w:t>
    </w:r>
    <w:r w:rsidRPr="00BC1425">
      <w:tab/>
    </w:r>
    <w:r w:rsidRPr="00BC1425">
      <w:fldChar w:fldCharType="begin"/>
    </w:r>
    <w:r w:rsidRPr="00BC1425">
      <w:instrText xml:space="preserve"> PAGE  \* MERGEFORMAT </w:instrText>
    </w:r>
    <w:r w:rsidRPr="00BC1425">
      <w:fldChar w:fldCharType="separate"/>
    </w:r>
    <w:r w:rsidRPr="00BC1425">
      <w:rPr>
        <w:noProof/>
      </w:rPr>
      <w:t>12</w:t>
    </w:r>
    <w:r w:rsidRPr="00BC1425">
      <w:fldChar w:fldCharType="end"/>
    </w:r>
    <w:r w:rsidRPr="00BC1425">
      <w:t>/</w:t>
    </w:r>
    <w:r w:rsidR="005D2D10">
      <w:fldChar w:fldCharType="begin"/>
    </w:r>
    <w:r w:rsidR="005D2D10">
      <w:instrText xml:space="preserve"> NUMPAGES  </w:instrText>
    </w:r>
    <w:r w:rsidR="005D2D10">
      <w:instrText xml:space="preserve">\* MERGEFORMAT </w:instrText>
    </w:r>
    <w:r w:rsidR="005D2D10">
      <w:fldChar w:fldCharType="separate"/>
    </w:r>
    <w:r w:rsidRPr="00BC1425">
      <w:rPr>
        <w:noProof/>
      </w:rPr>
      <w:t>12</w:t>
    </w:r>
    <w:r w:rsidR="005D2D10">
      <w:rPr>
        <w:noProof/>
      </w:rPr>
      <w:fldChar w:fldCharType="end"/>
    </w:r>
    <w:r w:rsidRPr="00BC1425">
      <w:tab/>
    </w:r>
    <w:r w:rsidRPr="00BC1425">
      <w:rPr>
        <w:rStyle w:val="HideTWBExt"/>
      </w:rPr>
      <w:t>&lt;PathFdR&gt;</w:t>
    </w:r>
    <w:r w:rsidRPr="00BC1425">
      <w:t>RR\1298768SV.docx</w:t>
    </w:r>
    <w:r w:rsidRPr="00BC1425">
      <w:rPr>
        <w:rStyle w:val="HideTWBExt"/>
      </w:rPr>
      <w:t>&lt;/PathFdR&gt;</w:t>
    </w:r>
  </w:p>
  <w:p w14:paraId="06E7F08B" w14:textId="77777777" w:rsidR="0050602F" w:rsidRPr="00BC1425" w:rsidRDefault="0050602F" w:rsidP="005F3721">
    <w:pPr>
      <w:pStyle w:val="EPFooter2"/>
    </w:pPr>
    <w:r w:rsidRPr="00BC1425">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B1668" w14:textId="77777777" w:rsidR="0050602F" w:rsidRPr="00BC1425" w:rsidRDefault="0050602F" w:rsidP="005F3721">
    <w:pPr>
      <w:pStyle w:val="EPFooter"/>
    </w:pPr>
    <w:r w:rsidRPr="00BC1425">
      <w:rPr>
        <w:rStyle w:val="HideTWBExt"/>
      </w:rPr>
      <w:t>&lt;PathFdR&gt;</w:t>
    </w:r>
    <w:r w:rsidRPr="00BC1425">
      <w:t>RR\1298768SV.docx</w:t>
    </w:r>
    <w:r w:rsidRPr="00BC1425">
      <w:rPr>
        <w:rStyle w:val="HideTWBExt"/>
      </w:rPr>
      <w:t>&lt;/PathFdR&gt;</w:t>
    </w:r>
    <w:r w:rsidRPr="00BC1425">
      <w:tab/>
    </w:r>
    <w:r w:rsidRPr="00BC1425">
      <w:tab/>
      <w:t>PE</w:t>
    </w:r>
    <w:r w:rsidRPr="00BC1425">
      <w:rPr>
        <w:rStyle w:val="HideTWBExt"/>
      </w:rPr>
      <w:t>&lt;NoPE&gt;</w:t>
    </w:r>
    <w:r w:rsidRPr="00BC1425">
      <w:t>753.539</w:t>
    </w:r>
    <w:r w:rsidRPr="00BC1425">
      <w:rPr>
        <w:rStyle w:val="HideTWBExt"/>
      </w:rPr>
      <w:t>&lt;/NoPE&gt;&lt;Version&gt;</w:t>
    </w:r>
    <w:r w:rsidRPr="00BC1425">
      <w:t>v02-00</w:t>
    </w:r>
    <w:r w:rsidRPr="00BC1425">
      <w:rPr>
        <w:rStyle w:val="HideTWBExt"/>
      </w:rPr>
      <w:t>&lt;/Version&gt;</w:t>
    </w:r>
  </w:p>
  <w:p w14:paraId="40A756B1" w14:textId="77777777" w:rsidR="0050602F" w:rsidRPr="00BC1425" w:rsidRDefault="0050602F" w:rsidP="005F3721">
    <w:pPr>
      <w:pStyle w:val="EPFooter2"/>
    </w:pPr>
    <w:r w:rsidRPr="00BC1425">
      <w:t>SV</w:t>
    </w:r>
    <w:r w:rsidRPr="00BC1425">
      <w:tab/>
    </w:r>
    <w:r w:rsidRPr="00BC1425">
      <w:rPr>
        <w:b w:val="0"/>
        <w:i/>
        <w:color w:val="C0C0C0"/>
        <w:sz w:val="22"/>
      </w:rPr>
      <w:t>Förenade i mångfalden</w:t>
    </w:r>
    <w:r w:rsidRPr="00BC1425">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9B1F6" w14:textId="77777777" w:rsidR="00064002" w:rsidRPr="00BC142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2614A" w14:textId="77777777" w:rsidR="00064002" w:rsidRPr="00BC142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16DE4" w14:textId="77777777" w:rsidR="00064002" w:rsidRPr="00BC14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EFD8B7" w14:textId="77777777" w:rsidR="00846602" w:rsidRPr="00BC1425" w:rsidRDefault="00846602">
      <w:r w:rsidRPr="00BC1425">
        <w:separator/>
      </w:r>
    </w:p>
  </w:footnote>
  <w:footnote w:type="continuationSeparator" w:id="0">
    <w:p w14:paraId="5D8797D6" w14:textId="77777777" w:rsidR="00846602" w:rsidRPr="00BC1425" w:rsidRDefault="00846602">
      <w:r w:rsidRPr="00BC1425">
        <w:continuationSeparator/>
      </w:r>
    </w:p>
  </w:footnote>
  <w:footnote w:id="1">
    <w:p w14:paraId="13B2D3A4" w14:textId="77777777" w:rsidR="0050602F" w:rsidRPr="005D2D10" w:rsidRDefault="0050602F" w:rsidP="00BC1425">
      <w:pPr>
        <w:pStyle w:val="FootnoteText"/>
        <w:ind w:left="567" w:hanging="567"/>
        <w:rPr>
          <w:sz w:val="24"/>
          <w:szCs w:val="24"/>
        </w:rPr>
      </w:pPr>
      <w:r w:rsidRPr="005D2D10">
        <w:rPr>
          <w:rStyle w:val="FootnoteReference"/>
          <w:sz w:val="24"/>
          <w:szCs w:val="24"/>
          <w:lang w:val="sv-SE"/>
        </w:rPr>
        <w:footnoteRef/>
      </w:r>
      <w:r w:rsidR="00BC1425" w:rsidRPr="005D2D10">
        <w:rPr>
          <w:sz w:val="24"/>
          <w:szCs w:val="24"/>
        </w:rPr>
        <w:t xml:space="preserve"> </w:t>
      </w:r>
      <w:r w:rsidR="00BC1425" w:rsidRPr="005D2D10">
        <w:rPr>
          <w:sz w:val="24"/>
          <w:szCs w:val="24"/>
        </w:rPr>
        <w:tab/>
      </w:r>
      <w:r w:rsidRPr="005D2D10">
        <w:rPr>
          <w:sz w:val="24"/>
          <w:szCs w:val="24"/>
        </w:rPr>
        <w:t>EUT C, C/2023/594, 27.10.2023.</w:t>
      </w:r>
    </w:p>
  </w:footnote>
  <w:footnote w:id="2">
    <w:p w14:paraId="4E6DEE6E" w14:textId="77777777" w:rsidR="0050602F" w:rsidRPr="005D2D10" w:rsidRDefault="0050602F" w:rsidP="00BC1425">
      <w:pPr>
        <w:pStyle w:val="FootnoteText"/>
        <w:ind w:left="567" w:hanging="567"/>
        <w:rPr>
          <w:sz w:val="24"/>
          <w:szCs w:val="24"/>
        </w:rPr>
      </w:pPr>
      <w:r w:rsidRPr="005D2D10">
        <w:rPr>
          <w:rStyle w:val="FootnoteReference"/>
          <w:sz w:val="24"/>
          <w:szCs w:val="24"/>
          <w:lang w:val="sv-SE"/>
        </w:rPr>
        <w:footnoteRef/>
      </w:r>
      <w:r w:rsidR="00BC1425" w:rsidRPr="005D2D10">
        <w:rPr>
          <w:sz w:val="24"/>
          <w:szCs w:val="24"/>
        </w:rPr>
        <w:t xml:space="preserve"> </w:t>
      </w:r>
      <w:r w:rsidR="00BC1425" w:rsidRPr="005D2D10">
        <w:rPr>
          <w:sz w:val="24"/>
          <w:szCs w:val="24"/>
        </w:rPr>
        <w:tab/>
      </w:r>
      <w:r w:rsidRPr="005D2D10">
        <w:rPr>
          <w:sz w:val="24"/>
          <w:szCs w:val="24"/>
        </w:rPr>
        <w:t>EUT C, C/2023/112, 12.10.2023.</w:t>
      </w:r>
    </w:p>
  </w:footnote>
  <w:footnote w:id="3">
    <w:p w14:paraId="6A60C01C" w14:textId="77777777" w:rsidR="0050602F" w:rsidRPr="005D2D10" w:rsidRDefault="0050602F" w:rsidP="00BC1425">
      <w:pPr>
        <w:pStyle w:val="FootnoteText"/>
        <w:ind w:left="567" w:hanging="567"/>
        <w:rPr>
          <w:sz w:val="24"/>
          <w:szCs w:val="24"/>
        </w:rPr>
      </w:pPr>
      <w:r w:rsidRPr="005D2D10">
        <w:rPr>
          <w:rStyle w:val="FootnoteReference"/>
          <w:sz w:val="24"/>
          <w:szCs w:val="24"/>
          <w:lang w:val="sv-SE"/>
        </w:rPr>
        <w:footnoteRef/>
      </w:r>
      <w:r w:rsidR="00BC1425" w:rsidRPr="005D2D10">
        <w:rPr>
          <w:sz w:val="24"/>
          <w:szCs w:val="24"/>
        </w:rPr>
        <w:t xml:space="preserve"> </w:t>
      </w:r>
      <w:r w:rsidR="00BC1425" w:rsidRPr="005D2D10">
        <w:rPr>
          <w:sz w:val="24"/>
          <w:szCs w:val="24"/>
        </w:rPr>
        <w:tab/>
      </w:r>
      <w:r w:rsidRPr="005D2D10">
        <w:rPr>
          <w:sz w:val="24"/>
          <w:szCs w:val="24"/>
        </w:rPr>
        <w:t>EUT L 193, 30.7.2018, s. 1.</w:t>
      </w:r>
    </w:p>
  </w:footnote>
  <w:footnote w:id="4">
    <w:p w14:paraId="1CB6DD52" w14:textId="77777777" w:rsidR="0050602F" w:rsidRPr="005D2D10" w:rsidRDefault="0050602F" w:rsidP="00BC1425">
      <w:pPr>
        <w:pStyle w:val="FootnoteText"/>
        <w:ind w:left="567" w:hanging="567"/>
        <w:rPr>
          <w:sz w:val="24"/>
          <w:szCs w:val="24"/>
        </w:rPr>
      </w:pPr>
      <w:r w:rsidRPr="005D2D10">
        <w:rPr>
          <w:rStyle w:val="FootnoteReference"/>
          <w:sz w:val="24"/>
          <w:szCs w:val="24"/>
          <w:lang w:val="sv-SE"/>
        </w:rPr>
        <w:footnoteRef/>
      </w:r>
      <w:r w:rsidR="00BC1425" w:rsidRPr="005D2D10">
        <w:rPr>
          <w:sz w:val="24"/>
          <w:szCs w:val="24"/>
        </w:rPr>
        <w:t xml:space="preserve"> </w:t>
      </w:r>
      <w:r w:rsidR="00BC1425" w:rsidRPr="005D2D10">
        <w:rPr>
          <w:sz w:val="24"/>
          <w:szCs w:val="24"/>
        </w:rPr>
        <w:tab/>
      </w:r>
      <w:r w:rsidRPr="005D2D10">
        <w:rPr>
          <w:sz w:val="24"/>
          <w:szCs w:val="24"/>
        </w:rPr>
        <w:t>EUT L 295, 21.11.2018, s. 138.</w:t>
      </w:r>
    </w:p>
  </w:footnote>
  <w:footnote w:id="5">
    <w:p w14:paraId="2E5562E4" w14:textId="77777777" w:rsidR="0050602F" w:rsidRPr="005D2D10" w:rsidRDefault="0050602F" w:rsidP="00BC1425">
      <w:pPr>
        <w:pStyle w:val="FootnoteText"/>
        <w:ind w:left="567" w:hanging="567"/>
        <w:rPr>
          <w:sz w:val="24"/>
          <w:szCs w:val="24"/>
        </w:rPr>
      </w:pPr>
      <w:r w:rsidRPr="005D2D10">
        <w:rPr>
          <w:rStyle w:val="FootnoteReference"/>
          <w:sz w:val="24"/>
          <w:szCs w:val="24"/>
          <w:lang w:val="sv-SE"/>
        </w:rPr>
        <w:footnoteRef/>
      </w:r>
      <w:r w:rsidR="00BC1425" w:rsidRPr="005D2D10">
        <w:rPr>
          <w:sz w:val="24"/>
          <w:szCs w:val="24"/>
        </w:rPr>
        <w:t xml:space="preserve"> </w:t>
      </w:r>
      <w:r w:rsidR="00BC1425" w:rsidRPr="005D2D10">
        <w:rPr>
          <w:sz w:val="24"/>
          <w:szCs w:val="24"/>
        </w:rPr>
        <w:tab/>
      </w:r>
      <w:r w:rsidRPr="005D2D10">
        <w:rPr>
          <w:sz w:val="24"/>
          <w:szCs w:val="24"/>
        </w:rPr>
        <w:t>EUT L 122, 10.5.2019, s. 1.</w:t>
      </w:r>
    </w:p>
  </w:footnote>
  <w:footnote w:id="6">
    <w:p w14:paraId="1CBF7EFA" w14:textId="77777777" w:rsidR="0050602F" w:rsidRPr="005D2D10" w:rsidRDefault="0050602F" w:rsidP="00BC1425">
      <w:pPr>
        <w:pStyle w:val="FootnoteText"/>
        <w:ind w:left="567" w:hanging="567"/>
        <w:rPr>
          <w:sz w:val="24"/>
          <w:szCs w:val="24"/>
        </w:rPr>
      </w:pPr>
      <w:r w:rsidRPr="005D2D10">
        <w:rPr>
          <w:rStyle w:val="FootnoteReference"/>
          <w:sz w:val="24"/>
          <w:szCs w:val="24"/>
          <w:lang w:val="sv-SE"/>
        </w:rPr>
        <w:footnoteRef/>
      </w:r>
      <w:r w:rsidR="00BC1425" w:rsidRPr="005D2D10">
        <w:rPr>
          <w:sz w:val="24"/>
          <w:szCs w:val="24"/>
        </w:rPr>
        <w:t xml:space="preserve"> </w:t>
      </w:r>
      <w:r w:rsidR="00BC1425" w:rsidRPr="005D2D10">
        <w:rPr>
          <w:sz w:val="24"/>
          <w:szCs w:val="24"/>
        </w:rPr>
        <w:tab/>
      </w:r>
      <w:r w:rsidRPr="005D2D10">
        <w:rPr>
          <w:sz w:val="24"/>
          <w:szCs w:val="24"/>
        </w:rPr>
        <w:t>EUT C, C/2023/594, 27.10.2023.</w:t>
      </w:r>
    </w:p>
  </w:footnote>
  <w:footnote w:id="7">
    <w:p w14:paraId="7976EE7F" w14:textId="77777777" w:rsidR="0050602F" w:rsidRPr="005D2D10" w:rsidRDefault="0050602F" w:rsidP="00BC1425">
      <w:pPr>
        <w:pStyle w:val="FootnoteText"/>
        <w:ind w:left="567" w:hanging="567"/>
        <w:rPr>
          <w:sz w:val="24"/>
          <w:szCs w:val="24"/>
        </w:rPr>
      </w:pPr>
      <w:r w:rsidRPr="005D2D10">
        <w:rPr>
          <w:rStyle w:val="FootnoteReference"/>
          <w:sz w:val="24"/>
          <w:szCs w:val="24"/>
          <w:lang w:val="sv-SE"/>
        </w:rPr>
        <w:footnoteRef/>
      </w:r>
      <w:r w:rsidR="00BC1425" w:rsidRPr="005D2D10">
        <w:rPr>
          <w:sz w:val="24"/>
          <w:szCs w:val="24"/>
        </w:rPr>
        <w:t xml:space="preserve"> </w:t>
      </w:r>
      <w:r w:rsidR="00BC1425" w:rsidRPr="005D2D10">
        <w:rPr>
          <w:sz w:val="24"/>
          <w:szCs w:val="24"/>
        </w:rPr>
        <w:tab/>
      </w:r>
      <w:r w:rsidRPr="005D2D10">
        <w:rPr>
          <w:sz w:val="24"/>
          <w:szCs w:val="24"/>
        </w:rPr>
        <w:t>EUT C, C/2023/112, 12.10.2023.</w:t>
      </w:r>
    </w:p>
  </w:footnote>
  <w:footnote w:id="8">
    <w:p w14:paraId="62A86862" w14:textId="77777777" w:rsidR="0050602F" w:rsidRPr="005D2D10" w:rsidRDefault="0050602F" w:rsidP="00BC1425">
      <w:pPr>
        <w:pStyle w:val="FootnoteText"/>
        <w:ind w:left="567" w:hanging="567"/>
        <w:rPr>
          <w:sz w:val="24"/>
          <w:szCs w:val="24"/>
        </w:rPr>
      </w:pPr>
      <w:r w:rsidRPr="005D2D10">
        <w:rPr>
          <w:rStyle w:val="FootnoteReference"/>
          <w:sz w:val="24"/>
          <w:szCs w:val="24"/>
          <w:lang w:val="sv-SE"/>
        </w:rPr>
        <w:footnoteRef/>
      </w:r>
      <w:r w:rsidR="00BC1425" w:rsidRPr="005D2D10">
        <w:rPr>
          <w:sz w:val="24"/>
          <w:szCs w:val="24"/>
        </w:rPr>
        <w:t xml:space="preserve"> </w:t>
      </w:r>
      <w:r w:rsidR="00BC1425" w:rsidRPr="005D2D10">
        <w:rPr>
          <w:sz w:val="24"/>
          <w:szCs w:val="24"/>
        </w:rPr>
        <w:tab/>
      </w:r>
      <w:r w:rsidRPr="005D2D10">
        <w:rPr>
          <w:sz w:val="24"/>
          <w:szCs w:val="24"/>
        </w:rPr>
        <w:t>EUT L 193, 30.7.2018, s. 1.</w:t>
      </w:r>
    </w:p>
  </w:footnote>
  <w:footnote w:id="9">
    <w:p w14:paraId="71B96751" w14:textId="77777777" w:rsidR="0050602F" w:rsidRPr="005D2D10" w:rsidRDefault="0050602F" w:rsidP="00BC1425">
      <w:pPr>
        <w:pStyle w:val="FootnoteText"/>
        <w:ind w:left="567" w:hanging="567"/>
        <w:rPr>
          <w:sz w:val="24"/>
          <w:szCs w:val="24"/>
        </w:rPr>
      </w:pPr>
      <w:r w:rsidRPr="005D2D10">
        <w:rPr>
          <w:rStyle w:val="FootnoteReference"/>
          <w:sz w:val="24"/>
          <w:szCs w:val="24"/>
          <w:lang w:val="sv-SE"/>
        </w:rPr>
        <w:footnoteRef/>
      </w:r>
      <w:r w:rsidR="00BC1425" w:rsidRPr="005D2D10">
        <w:rPr>
          <w:sz w:val="24"/>
          <w:szCs w:val="24"/>
        </w:rPr>
        <w:t xml:space="preserve"> </w:t>
      </w:r>
      <w:r w:rsidR="00BC1425" w:rsidRPr="005D2D10">
        <w:rPr>
          <w:sz w:val="24"/>
          <w:szCs w:val="24"/>
        </w:rPr>
        <w:tab/>
      </w:r>
      <w:r w:rsidRPr="005D2D10">
        <w:rPr>
          <w:sz w:val="24"/>
          <w:szCs w:val="24"/>
        </w:rPr>
        <w:t>EUT L 295, 21.11.2018, s. 138.</w:t>
      </w:r>
    </w:p>
  </w:footnote>
  <w:footnote w:id="10">
    <w:p w14:paraId="70BD87F5" w14:textId="77777777" w:rsidR="0050602F" w:rsidRPr="005D2D10" w:rsidRDefault="0050602F" w:rsidP="00BC1425">
      <w:pPr>
        <w:pStyle w:val="FootnoteText"/>
        <w:ind w:left="567" w:hanging="567"/>
        <w:rPr>
          <w:sz w:val="24"/>
          <w:szCs w:val="24"/>
        </w:rPr>
      </w:pPr>
      <w:r w:rsidRPr="005D2D10">
        <w:rPr>
          <w:rStyle w:val="FootnoteReference"/>
          <w:sz w:val="24"/>
          <w:szCs w:val="24"/>
          <w:lang w:val="sv-SE"/>
        </w:rPr>
        <w:footnoteRef/>
      </w:r>
      <w:r w:rsidR="00BC1425" w:rsidRPr="005D2D10">
        <w:rPr>
          <w:sz w:val="24"/>
          <w:szCs w:val="24"/>
        </w:rPr>
        <w:t xml:space="preserve"> </w:t>
      </w:r>
      <w:r w:rsidR="00BC1425" w:rsidRPr="005D2D10">
        <w:rPr>
          <w:sz w:val="24"/>
          <w:szCs w:val="24"/>
        </w:rPr>
        <w:tab/>
      </w:r>
      <w:r w:rsidRPr="005D2D10">
        <w:rPr>
          <w:sz w:val="24"/>
          <w:szCs w:val="24"/>
        </w:rPr>
        <w:t>EUT L 122, 10.5.2019, s. 1.</w:t>
      </w:r>
    </w:p>
  </w:footnote>
  <w:footnote w:id="11">
    <w:p w14:paraId="3215B3D2" w14:textId="77777777" w:rsidR="0050602F" w:rsidRPr="005D2D10" w:rsidRDefault="0050602F" w:rsidP="00BC1425">
      <w:pPr>
        <w:pStyle w:val="FootnoteText"/>
        <w:ind w:left="567" w:hanging="567"/>
        <w:rPr>
          <w:sz w:val="24"/>
          <w:szCs w:val="24"/>
          <w:lang w:val="sv-SE"/>
        </w:rPr>
      </w:pPr>
      <w:r w:rsidRPr="005D2D10">
        <w:rPr>
          <w:rStyle w:val="FootnoteReference"/>
          <w:sz w:val="24"/>
          <w:szCs w:val="24"/>
          <w:lang w:val="sv-SE"/>
        </w:rPr>
        <w:footnoteRef/>
      </w:r>
      <w:r w:rsidR="00BC1425" w:rsidRPr="005D2D10">
        <w:rPr>
          <w:sz w:val="24"/>
          <w:szCs w:val="24"/>
          <w:lang w:val="sv-SE"/>
        </w:rPr>
        <w:t xml:space="preserve"> </w:t>
      </w:r>
      <w:r w:rsidR="00BC1425" w:rsidRPr="005D2D10">
        <w:rPr>
          <w:sz w:val="24"/>
          <w:szCs w:val="24"/>
          <w:lang w:val="sv-SE"/>
        </w:rPr>
        <w:tab/>
      </w:r>
      <w:r w:rsidRPr="005D2D10">
        <w:rPr>
          <w:sz w:val="24"/>
          <w:szCs w:val="24"/>
          <w:lang w:val="sv-SE"/>
        </w:rPr>
        <w:t>EUT C 38, 31.1.2023, s. 194.</w:t>
      </w:r>
    </w:p>
  </w:footnote>
  <w:footnote w:id="12">
    <w:p w14:paraId="05A055D6" w14:textId="77777777" w:rsidR="00646ABD" w:rsidRPr="005D2D10" w:rsidRDefault="00646ABD" w:rsidP="00D263EC">
      <w:pPr>
        <w:pStyle w:val="FootnoteText"/>
        <w:ind w:left="567" w:hanging="567"/>
        <w:rPr>
          <w:sz w:val="24"/>
          <w:szCs w:val="24"/>
          <w:lang w:val="sv-SE"/>
        </w:rPr>
      </w:pPr>
      <w:r w:rsidRPr="005D2D10">
        <w:rPr>
          <w:rStyle w:val="FootnoteReference"/>
          <w:sz w:val="24"/>
          <w:szCs w:val="24"/>
        </w:rPr>
        <w:footnoteRef/>
      </w:r>
      <w:r w:rsidRPr="005D2D10">
        <w:rPr>
          <w:sz w:val="24"/>
          <w:szCs w:val="24"/>
          <w:lang w:val="sv-SE"/>
        </w:rPr>
        <w:t xml:space="preserve"> </w:t>
      </w:r>
      <w:r w:rsidRPr="005D2D10">
        <w:rPr>
          <w:sz w:val="24"/>
          <w:szCs w:val="24"/>
          <w:lang w:val="sv-SE"/>
        </w:rPr>
        <w:tab/>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footnote>
  <w:footnote w:id="13">
    <w:p w14:paraId="73099E59" w14:textId="28449295" w:rsidR="0050602F" w:rsidRPr="006C1D10" w:rsidRDefault="0050602F" w:rsidP="00BC1425">
      <w:pPr>
        <w:pStyle w:val="FootnoteText"/>
        <w:ind w:left="567" w:hanging="567"/>
        <w:rPr>
          <w:sz w:val="24"/>
          <w:szCs w:val="24"/>
          <w:lang w:val="sv-SE"/>
        </w:rPr>
      </w:pPr>
      <w:r w:rsidRPr="005D2D10">
        <w:rPr>
          <w:rStyle w:val="FootnoteReference"/>
          <w:sz w:val="24"/>
          <w:szCs w:val="24"/>
          <w:lang w:val="sv-SE"/>
        </w:rPr>
        <w:footnoteRef/>
      </w:r>
      <w:r w:rsidR="00BC1425" w:rsidRPr="005D2D10">
        <w:rPr>
          <w:sz w:val="24"/>
          <w:szCs w:val="24"/>
          <w:lang w:val="sv-SE"/>
        </w:rPr>
        <w:t xml:space="preserve"> </w:t>
      </w:r>
      <w:r w:rsidR="00BC1425" w:rsidRPr="005D2D10">
        <w:rPr>
          <w:sz w:val="24"/>
          <w:szCs w:val="24"/>
          <w:lang w:val="sv-SE"/>
        </w:rPr>
        <w:tab/>
      </w:r>
      <w:r w:rsidRPr="005D2D10">
        <w:rPr>
          <w:sz w:val="24"/>
          <w:szCs w:val="24"/>
          <w:lang w:val="sv-SE"/>
        </w:rPr>
        <w:t>Antagna texter, P9_TA(2024)0</w:t>
      </w:r>
      <w:r w:rsidR="005D2D10" w:rsidRPr="005D2D10">
        <w:rPr>
          <w:sz w:val="24"/>
          <w:szCs w:val="24"/>
          <w:lang w:val="sv-SE"/>
        </w:rPr>
        <w:t>280</w:t>
      </w:r>
      <w:r w:rsidRPr="005D2D10">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9BB0B" w14:textId="77777777" w:rsidR="00064002" w:rsidRPr="00BC142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6B96B" w14:textId="77777777" w:rsidR="00064002" w:rsidRPr="00BC142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66042" w14:textId="77777777" w:rsidR="00064002" w:rsidRPr="00BC14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SV"/>
    <w:docVar w:name="dvnumam" w:val="0"/>
    <w:docVar w:name="dvpe" w:val="753.539"/>
    <w:docVar w:name="dvrapporteur" w:val="Föredragande: "/>
    <w:docVar w:name="dvtitre" w:val="Europaparlamentets beslut av den xx xx 2024 om ansvarsfrihet för genomförandet av budgeten för Europeiska unionens byrå för straffrättsligt samarbete (Eurojust) för budgetåret 2022(2023/2168(DEC))"/>
  </w:docVars>
  <w:rsids>
    <w:rsidRoot w:val="0084660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5CB1"/>
    <w:rsid w:val="0041666E"/>
    <w:rsid w:val="00421060"/>
    <w:rsid w:val="00471C19"/>
    <w:rsid w:val="004768E9"/>
    <w:rsid w:val="004867E3"/>
    <w:rsid w:val="00494A28"/>
    <w:rsid w:val="004C0004"/>
    <w:rsid w:val="004C5D52"/>
    <w:rsid w:val="0050519A"/>
    <w:rsid w:val="0050602F"/>
    <w:rsid w:val="005072A1"/>
    <w:rsid w:val="00514517"/>
    <w:rsid w:val="00515CAC"/>
    <w:rsid w:val="00523ED8"/>
    <w:rsid w:val="00545827"/>
    <w:rsid w:val="00560270"/>
    <w:rsid w:val="005C2568"/>
    <w:rsid w:val="005D2D10"/>
    <w:rsid w:val="005E4D4E"/>
    <w:rsid w:val="006037C0"/>
    <w:rsid w:val="00604B70"/>
    <w:rsid w:val="00646ABD"/>
    <w:rsid w:val="006631B6"/>
    <w:rsid w:val="00680577"/>
    <w:rsid w:val="006C1D10"/>
    <w:rsid w:val="006F74FA"/>
    <w:rsid w:val="00731ADD"/>
    <w:rsid w:val="00734777"/>
    <w:rsid w:val="00747932"/>
    <w:rsid w:val="00751A4A"/>
    <w:rsid w:val="00756632"/>
    <w:rsid w:val="00762C74"/>
    <w:rsid w:val="00786EC0"/>
    <w:rsid w:val="007D1690"/>
    <w:rsid w:val="007E22AD"/>
    <w:rsid w:val="00817416"/>
    <w:rsid w:val="00842779"/>
    <w:rsid w:val="00846602"/>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40B5"/>
    <w:rsid w:val="00AB441E"/>
    <w:rsid w:val="00AB6293"/>
    <w:rsid w:val="00AE0928"/>
    <w:rsid w:val="00AF3B82"/>
    <w:rsid w:val="00AF5584"/>
    <w:rsid w:val="00B12E95"/>
    <w:rsid w:val="00B22876"/>
    <w:rsid w:val="00B558F0"/>
    <w:rsid w:val="00BC1425"/>
    <w:rsid w:val="00BD48FE"/>
    <w:rsid w:val="00BD7BD8"/>
    <w:rsid w:val="00BE6ADC"/>
    <w:rsid w:val="00C05BFE"/>
    <w:rsid w:val="00C23CD4"/>
    <w:rsid w:val="00C61C0C"/>
    <w:rsid w:val="00C941CB"/>
    <w:rsid w:val="00CC2357"/>
    <w:rsid w:val="00CF071A"/>
    <w:rsid w:val="00D058B8"/>
    <w:rsid w:val="00D263EC"/>
    <w:rsid w:val="00D4634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950525"/>
  <w15:chartTrackingRefBased/>
  <w15:docId w15:val="{CF50429F-F410-4979-B9D4-4823BB9AB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0602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0602F"/>
    <w:pPr>
      <w:spacing w:before="480" w:after="240"/>
    </w:pPr>
  </w:style>
  <w:style w:type="paragraph" w:customStyle="1" w:styleId="PageHeading">
    <w:name w:val="PageHeading"/>
    <w:basedOn w:val="Normal"/>
    <w:rsid w:val="0050602F"/>
    <w:pPr>
      <w:keepNext/>
      <w:spacing w:after="480"/>
      <w:jc w:val="center"/>
    </w:pPr>
    <w:rPr>
      <w:rFonts w:ascii="Arial" w:hAnsi="Arial" w:cs="Arial"/>
      <w:b/>
    </w:rPr>
  </w:style>
  <w:style w:type="paragraph" w:customStyle="1" w:styleId="NormalBold">
    <w:name w:val="NormalBold"/>
    <w:basedOn w:val="Normal"/>
    <w:rsid w:val="0050602F"/>
    <w:rPr>
      <w:b/>
    </w:rPr>
  </w:style>
  <w:style w:type="paragraph" w:customStyle="1" w:styleId="NormalHanging12a">
    <w:name w:val="NormalHanging12a"/>
    <w:basedOn w:val="Normal"/>
    <w:link w:val="NormalHanging12aChar"/>
    <w:rsid w:val="0050602F"/>
    <w:pPr>
      <w:spacing w:after="240"/>
      <w:ind w:left="567" w:hanging="567"/>
    </w:pPr>
  </w:style>
  <w:style w:type="paragraph" w:customStyle="1" w:styleId="NormalCenter12a">
    <w:name w:val="NormalCenter12a"/>
    <w:basedOn w:val="Normal"/>
    <w:rsid w:val="0050602F"/>
    <w:pPr>
      <w:spacing w:after="240"/>
      <w:jc w:val="center"/>
    </w:pPr>
  </w:style>
  <w:style w:type="paragraph" w:styleId="Header">
    <w:name w:val="header"/>
    <w:basedOn w:val="Normal"/>
    <w:link w:val="HeaderChar"/>
    <w:rsid w:val="0050602F"/>
    <w:pPr>
      <w:tabs>
        <w:tab w:val="center" w:pos="4513"/>
        <w:tab w:val="right" w:pos="9026"/>
      </w:tabs>
    </w:pPr>
  </w:style>
  <w:style w:type="character" w:customStyle="1" w:styleId="HeaderChar">
    <w:name w:val="Header Char"/>
    <w:basedOn w:val="DefaultParagraphFont"/>
    <w:link w:val="Header"/>
    <w:rsid w:val="0050602F"/>
    <w:rPr>
      <w:sz w:val="24"/>
      <w:lang w:val="sv-SE"/>
    </w:rPr>
  </w:style>
  <w:style w:type="paragraph" w:customStyle="1" w:styleId="EPFooter">
    <w:name w:val="EPFooter"/>
    <w:basedOn w:val="Normal"/>
    <w:rsid w:val="0050602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0602F"/>
    <w:rPr>
      <w:sz w:val="24"/>
      <w:lang w:val="sv-SE"/>
    </w:rPr>
  </w:style>
  <w:style w:type="character" w:customStyle="1" w:styleId="Normal12HangingChar">
    <w:name w:val="Normal12Hanging Char"/>
    <w:link w:val="Normal12Hanging"/>
    <w:locked/>
    <w:rsid w:val="0050602F"/>
    <w:rPr>
      <w:sz w:val="24"/>
    </w:rPr>
  </w:style>
  <w:style w:type="paragraph" w:customStyle="1" w:styleId="Normal12Hanging">
    <w:name w:val="Normal12Hanging"/>
    <w:basedOn w:val="Normal"/>
    <w:link w:val="Normal12HangingChar"/>
    <w:rsid w:val="0050602F"/>
    <w:pPr>
      <w:spacing w:after="240"/>
      <w:ind w:left="567" w:hanging="567"/>
    </w:pPr>
    <w:rPr>
      <w:lang w:val="en-GB"/>
    </w:rPr>
  </w:style>
  <w:style w:type="character" w:styleId="CommentReference">
    <w:name w:val="annotation reference"/>
    <w:basedOn w:val="DefaultParagraphFont"/>
    <w:rsid w:val="00D46346"/>
    <w:rPr>
      <w:sz w:val="16"/>
      <w:szCs w:val="16"/>
    </w:rPr>
  </w:style>
  <w:style w:type="paragraph" w:styleId="CommentText">
    <w:name w:val="annotation text"/>
    <w:basedOn w:val="Normal"/>
    <w:link w:val="CommentTextChar"/>
    <w:rsid w:val="00D46346"/>
    <w:rPr>
      <w:sz w:val="20"/>
    </w:rPr>
  </w:style>
  <w:style w:type="character" w:customStyle="1" w:styleId="CommentTextChar">
    <w:name w:val="Comment Text Char"/>
    <w:basedOn w:val="DefaultParagraphFont"/>
    <w:link w:val="CommentText"/>
    <w:rsid w:val="00D46346"/>
    <w:rPr>
      <w:lang w:val="sv-SE"/>
    </w:rPr>
  </w:style>
  <w:style w:type="paragraph" w:styleId="CommentSubject">
    <w:name w:val="annotation subject"/>
    <w:basedOn w:val="CommentText"/>
    <w:next w:val="CommentText"/>
    <w:link w:val="CommentSubjectChar"/>
    <w:rsid w:val="00D46346"/>
    <w:rPr>
      <w:b/>
      <w:bCs/>
    </w:rPr>
  </w:style>
  <w:style w:type="character" w:customStyle="1" w:styleId="CommentSubjectChar">
    <w:name w:val="Comment Subject Char"/>
    <w:basedOn w:val="CommentTextChar"/>
    <w:link w:val="CommentSubject"/>
    <w:rsid w:val="00D46346"/>
    <w:rPr>
      <w:b/>
      <w:bCs/>
      <w:lang w:val="sv-SE"/>
    </w:rPr>
  </w:style>
  <w:style w:type="paragraph" w:styleId="BalloonText">
    <w:name w:val="Balloon Text"/>
    <w:basedOn w:val="Normal"/>
    <w:link w:val="BalloonTextChar"/>
    <w:rsid w:val="00D46346"/>
    <w:rPr>
      <w:rFonts w:ascii="Segoe UI" w:hAnsi="Segoe UI" w:cs="Segoe UI"/>
      <w:sz w:val="18"/>
      <w:szCs w:val="18"/>
    </w:rPr>
  </w:style>
  <w:style w:type="character" w:customStyle="1" w:styleId="BalloonTextChar">
    <w:name w:val="Balloon Text Char"/>
    <w:basedOn w:val="DefaultParagraphFont"/>
    <w:link w:val="BalloonText"/>
    <w:rsid w:val="00D46346"/>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A304C-0165-485D-91FB-FB06B490E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4192</Words>
  <Characters>27415</Characters>
  <Application>Microsoft Office Word</Application>
  <DocSecurity>0</DocSecurity>
  <Lines>559</Lines>
  <Paragraphs>168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2024-04-11T12:34:00Z</dcterms:created>
  <dcterms:modified xsi:type="dcterms:W3CDTF">2024-04-11T12:34:00Z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A9-0099/2024</vt:lpwstr>
  </property>
  <property fmtid="{D5CDD505-2E9C-101B-9397-08002B2CF9AE}" pid="4" name="&lt;Type&gt;">
    <vt:lpwstr>RR</vt:lpwstr>
  </property>
</Properties>
</file>