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9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69C4" w:rsidRDefault="00E413D9" w:rsidP="0010095E">
            <w:pPr>
              <w:pStyle w:val="EPName"/>
            </w:pPr>
            <w:r w:rsidRPr="005069C4">
              <w:t>Европейски</w:t>
            </w:r>
            <w:r w:rsidR="00110F9A" w:rsidRPr="005069C4">
              <w:t xml:space="preserve"> парламент</w:t>
            </w:r>
          </w:p>
          <w:p w:rsidR="00751A4A" w:rsidRPr="005069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9C4">
              <w:t>2019</w:t>
            </w:r>
            <w:r w:rsidR="00E413D9">
              <w:t> – </w:t>
            </w:r>
            <w:r w:rsidRPr="005069C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069C4" w:rsidRDefault="00187494" w:rsidP="0010095E">
            <w:pPr>
              <w:pStyle w:val="EPLogo"/>
            </w:pPr>
            <w:r w:rsidRPr="005069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69C4" w:rsidRDefault="00D058B8" w:rsidP="004C5D52">
      <w:pPr>
        <w:pStyle w:val="LineTop"/>
      </w:pPr>
    </w:p>
    <w:p w:rsidR="00680577" w:rsidRPr="005069C4" w:rsidRDefault="00110F9A" w:rsidP="00680577">
      <w:pPr>
        <w:pStyle w:val="EPBodyTA1"/>
      </w:pPr>
      <w:r w:rsidRPr="005069C4">
        <w:t>ПРИЕТИ ТЕКСТОВЕ</w:t>
      </w:r>
    </w:p>
    <w:p w:rsidR="00D058B8" w:rsidRPr="005069C4" w:rsidRDefault="00D058B8" w:rsidP="00D058B8">
      <w:pPr>
        <w:pStyle w:val="LineBottom"/>
      </w:pPr>
    </w:p>
    <w:p w:rsidR="00110F9A" w:rsidRPr="005069C4" w:rsidRDefault="00110F9A" w:rsidP="00110F9A">
      <w:pPr>
        <w:pStyle w:val="ATHeading1"/>
      </w:pPr>
      <w:bookmarkStart w:id="0" w:name="TANumber"/>
      <w:r w:rsidRPr="005069C4">
        <w:t>P9_TA(2024)0</w:t>
      </w:r>
      <w:r w:rsidR="00F52860">
        <w:rPr>
          <w:lang w:val="en-GB"/>
        </w:rPr>
        <w:t>247</w:t>
      </w:r>
      <w:bookmarkStart w:id="1" w:name="_GoBack"/>
      <w:bookmarkEnd w:id="0"/>
      <w:bookmarkEnd w:id="1"/>
    </w:p>
    <w:p w:rsidR="00110F9A" w:rsidRPr="005069C4" w:rsidRDefault="00110F9A" w:rsidP="00110F9A">
      <w:pPr>
        <w:pStyle w:val="ATHeading2"/>
      </w:pPr>
      <w:bookmarkStart w:id="2" w:name="title"/>
      <w:r w:rsidRPr="005069C4">
        <w:t>Освобождаване от отговорност във връзка с изпълнението на бюджета за 2022 г.: Европейска фондация за обучение</w:t>
      </w:r>
      <w:bookmarkEnd w:id="2"/>
    </w:p>
    <w:p w:rsidR="00110F9A" w:rsidRPr="005069C4" w:rsidRDefault="00110F9A" w:rsidP="00110F9A">
      <w:pPr>
        <w:rPr>
          <w:i/>
          <w:vanish/>
        </w:rPr>
      </w:pPr>
      <w:r w:rsidRPr="005069C4">
        <w:rPr>
          <w:i/>
        </w:rPr>
        <w:fldChar w:fldCharType="begin"/>
      </w:r>
      <w:r w:rsidRPr="005069C4">
        <w:rPr>
          <w:i/>
        </w:rPr>
        <w:instrText xml:space="preserve"> TC"(</w:instrText>
      </w:r>
      <w:bookmarkStart w:id="3" w:name="DocNumber"/>
      <w:r w:rsidRPr="005069C4">
        <w:rPr>
          <w:i/>
        </w:rPr>
        <w:instrText>A9-0114/2024</w:instrText>
      </w:r>
      <w:bookmarkEnd w:id="3"/>
      <w:r w:rsidRPr="005069C4">
        <w:rPr>
          <w:i/>
        </w:rPr>
        <w:instrText xml:space="preserve"> - Докладчик: Петри Сарвама)"\l3 \n&gt; \* MERGEFORMAT </w:instrText>
      </w:r>
      <w:r w:rsidRPr="005069C4">
        <w:rPr>
          <w:i/>
        </w:rPr>
        <w:fldChar w:fldCharType="end"/>
      </w:r>
    </w:p>
    <w:p w:rsidR="00110F9A" w:rsidRPr="005069C4" w:rsidRDefault="00110F9A" w:rsidP="00110F9A">
      <w:pPr>
        <w:rPr>
          <w:vanish/>
        </w:rPr>
      </w:pPr>
      <w:bookmarkStart w:id="4" w:name="Commission"/>
      <w:r w:rsidRPr="005069C4">
        <w:rPr>
          <w:vanish/>
        </w:rPr>
        <w:t>Комисия по бюджетен контрол</w:t>
      </w:r>
      <w:bookmarkEnd w:id="4"/>
    </w:p>
    <w:p w:rsidR="00110F9A" w:rsidRPr="005069C4" w:rsidRDefault="00110F9A" w:rsidP="00110F9A">
      <w:pPr>
        <w:rPr>
          <w:vanish/>
        </w:rPr>
      </w:pPr>
      <w:bookmarkStart w:id="5" w:name="PE"/>
      <w:r w:rsidRPr="005069C4">
        <w:rPr>
          <w:vanish/>
        </w:rPr>
        <w:t>PE753.531</w:t>
      </w:r>
      <w:bookmarkEnd w:id="5"/>
    </w:p>
    <w:p w:rsidR="00110F9A" w:rsidRPr="005069C4" w:rsidRDefault="00E413D9" w:rsidP="00E413D9">
      <w:pPr>
        <w:pStyle w:val="ATHeading3"/>
      </w:pPr>
      <w:bookmarkStart w:id="6" w:name="Sujet"/>
      <w:r>
        <w:t xml:space="preserve">1. </w:t>
      </w:r>
      <w:r w:rsidR="00110F9A" w:rsidRPr="005069C4">
        <w:t xml:space="preserve">Решение на Европейския парламент от </w:t>
      </w:r>
      <w:r>
        <w:t>11 април</w:t>
      </w:r>
      <w:r w:rsidR="00110F9A" w:rsidRPr="005069C4">
        <w:t xml:space="preserve"> 2024 г. относно освобождаването от отговорност във връзка с изпълнението на бюджета на Европейската фондация за обучение за финансовата 2022 година</w:t>
      </w:r>
      <w:bookmarkEnd w:id="6"/>
      <w:r w:rsidR="00110F9A" w:rsidRPr="005069C4">
        <w:t xml:space="preserve"> </w:t>
      </w:r>
      <w:bookmarkStart w:id="7" w:name="References"/>
      <w:r w:rsidR="00110F9A" w:rsidRPr="005069C4">
        <w:t>(2023/2163(DEC))</w:t>
      </w:r>
      <w:bookmarkEnd w:id="7"/>
    </w:p>
    <w:p w:rsidR="00932360" w:rsidRPr="005069C4" w:rsidRDefault="00932360" w:rsidP="00932360">
      <w:pPr>
        <w:pStyle w:val="EPComma"/>
      </w:pPr>
      <w:bookmarkStart w:id="8" w:name="TextBodyBegin"/>
      <w:bookmarkEnd w:id="8"/>
      <w:r w:rsidRPr="005069C4">
        <w:rPr>
          <w:i/>
        </w:rPr>
        <w:t>Европейският парламент</w:t>
      </w:r>
      <w:r w:rsidRPr="005069C4">
        <w:t>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окончателните годишни отчети на Европейската фондация за обучение за финансовата 2022 година,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5069C4">
        <w:rPr>
          <w:rStyle w:val="FootnoteReference"/>
        </w:rPr>
        <w:footnoteReference w:id="1"/>
      </w:r>
      <w:r w:rsidRPr="005069C4">
        <w:t>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декларацията за достоверност</w:t>
      </w:r>
      <w:r w:rsidRPr="005069C4">
        <w:rPr>
          <w:rStyle w:val="FootnoteReference"/>
        </w:rPr>
        <w:footnoteReference w:id="2"/>
      </w:r>
      <w:r w:rsidRPr="005069C4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 287 от Договора за функционирането на Европейския съюз,</w:t>
      </w:r>
    </w:p>
    <w:p w:rsidR="00932360" w:rsidRPr="005069C4" w:rsidRDefault="00932360" w:rsidP="00E413D9">
      <w:pPr>
        <w:pStyle w:val="NormalHanging12a"/>
      </w:pPr>
      <w:r w:rsidRPr="005069C4">
        <w:t>–</w:t>
      </w:r>
      <w:r w:rsidRPr="005069C4">
        <w:tab/>
        <w:t>като взе предвид препоръката на Съвета от 22 февруари 2024 г. относно освобождаването от отговорност на Фондацията във връзка с изпълнението на бюджета за финансовата 2022 година (</w:t>
      </w:r>
      <w:r w:rsidR="00E413D9" w:rsidRPr="00E413D9">
        <w:rPr>
          <w:lang w:val="en-GB"/>
        </w:rPr>
        <w:t>06180</w:t>
      </w:r>
      <w:r w:rsidRPr="005069C4">
        <w:t>/2024 – C9</w:t>
      </w:r>
      <w:r w:rsidRPr="005069C4">
        <w:noBreakHyphen/>
      </w:r>
      <w:r w:rsidR="00E413D9" w:rsidRPr="00E413D9">
        <w:rPr>
          <w:lang w:val="en-GB"/>
        </w:rPr>
        <w:t>0101</w:t>
      </w:r>
      <w:r w:rsidRPr="005069C4">
        <w:t>/2024),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член 319 от Договора за функционирането на Европейския съюз,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5069C4">
        <w:rPr>
          <w:rStyle w:val="FootnoteReference"/>
        </w:rPr>
        <w:footnoteReference w:id="3"/>
      </w:r>
      <w:r w:rsidRPr="005069C4">
        <w:t xml:space="preserve">, и по-специално член 70 от </w:t>
      </w:r>
      <w:r w:rsidRPr="005069C4">
        <w:lastRenderedPageBreak/>
        <w:t>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Регламент (ЕО) № 1339/2008 на Европейския парламент и на Съвета от 16 декември 2008 г. за създаване на Европейска фондация за обучение</w:t>
      </w:r>
      <w:r w:rsidRPr="005069C4">
        <w:rPr>
          <w:rStyle w:val="FootnoteReference"/>
        </w:rPr>
        <w:footnoteReference w:id="4"/>
      </w:r>
      <w:r w:rsidRPr="005069C4">
        <w:t>, и по-специално член 17 от 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Делегиран регламент (ЕС) 2019/715 на Комисията от 18 декември 2018 г. относно рамковия финансов регламент за органите, създадени по силата на ДФЕС и Договора за Евратом и посочени в член 70 от Регламент (ЕС, Евратом) 2018/1046 на Европейския парламент и на Съвета</w:t>
      </w:r>
      <w:r w:rsidRPr="005069C4">
        <w:rPr>
          <w:rStyle w:val="FootnoteReference"/>
        </w:rPr>
        <w:footnoteReference w:id="5"/>
      </w:r>
      <w:r w:rsidRPr="005069C4">
        <w:t>, и по-специално член 105 от 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член 100 и приложение V към своя Правилник за дейността,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становището на комисията по заетост и социални въпроси,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доклада на комисията по бюджетен контрол (A9-0114/2024),</w:t>
      </w:r>
    </w:p>
    <w:p w:rsidR="00932360" w:rsidRPr="005069C4" w:rsidRDefault="00932360" w:rsidP="00932360">
      <w:pPr>
        <w:pStyle w:val="NormalHanging12a"/>
      </w:pPr>
      <w:r w:rsidRPr="005069C4">
        <w:t>1.</w:t>
      </w:r>
      <w:r w:rsidRPr="005069C4">
        <w:tab/>
        <w:t>освобождава от отговорност директора на Европейската фондация за обучение във връзка с изпълнението на бюджета на Фондацията за финансовата 2022 година;</w:t>
      </w:r>
    </w:p>
    <w:p w:rsidR="00932360" w:rsidRPr="005069C4" w:rsidRDefault="00932360" w:rsidP="00932360">
      <w:pPr>
        <w:pStyle w:val="NormalHanging12a"/>
      </w:pPr>
      <w:r w:rsidRPr="005069C4">
        <w:t>2.</w:t>
      </w:r>
      <w:r w:rsidRPr="005069C4">
        <w:tab/>
        <w:t>представя своите забележки в резолюцията по-долу;</w:t>
      </w:r>
    </w:p>
    <w:p w:rsidR="00932360" w:rsidRPr="005069C4" w:rsidRDefault="00932360" w:rsidP="00932360">
      <w:pPr>
        <w:pStyle w:val="NormalHanging12a"/>
      </w:pPr>
      <w:r w:rsidRPr="005069C4">
        <w:t>3.</w:t>
      </w:r>
      <w:r w:rsidRPr="005069C4">
        <w:tab/>
        <w:t xml:space="preserve">възлага на своя председател да предаде настоящото решение, както и резолюцията, която е неразделна част от него, на директора на Европейската фондация за обучение, на Съвета, Комисията и Сметната палата и да осигури публикуването им в </w:t>
      </w:r>
      <w:r w:rsidRPr="005069C4">
        <w:rPr>
          <w:i/>
        </w:rPr>
        <w:t>Официален вестник на Европейския съюз</w:t>
      </w:r>
      <w:r w:rsidRPr="005069C4">
        <w:t xml:space="preserve"> (серия L).</w:t>
      </w:r>
    </w:p>
    <w:p w:rsidR="00932360" w:rsidRPr="005069C4" w:rsidRDefault="00932360" w:rsidP="00932360"/>
    <w:p w:rsidR="00932360" w:rsidRPr="005069C4" w:rsidRDefault="00932360" w:rsidP="00932360">
      <w:pPr>
        <w:widowControl/>
        <w:rPr>
          <w:rFonts w:ascii="Arial" w:hAnsi="Arial" w:cs="Arial"/>
          <w:b/>
        </w:rPr>
        <w:sectPr w:rsidR="00932360" w:rsidRPr="005069C4" w:rsidSect="005069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932360" w:rsidRPr="005069C4" w:rsidRDefault="00932360" w:rsidP="00E413D9">
      <w:pPr>
        <w:pStyle w:val="ATHeading3"/>
      </w:pPr>
      <w:bookmarkStart w:id="9" w:name="_Toc161753642"/>
      <w:r w:rsidRPr="005069C4">
        <w:lastRenderedPageBreak/>
        <w:t xml:space="preserve">2. </w:t>
      </w:r>
      <w:bookmarkEnd w:id="9"/>
      <w:r w:rsidR="00E413D9">
        <w:t xml:space="preserve">Решение на Европейския парламент от 11 април 2024 г. </w:t>
      </w:r>
      <w:r w:rsidRPr="005069C4">
        <w:t>относно приключването на сметките на Европейската фондация за обучение за финансовата 2022 година</w:t>
      </w:r>
      <w:r w:rsidR="00E413D9">
        <w:t xml:space="preserve"> (2023</w:t>
      </w:r>
      <w:r w:rsidRPr="005069C4">
        <w:t>/2163(DEC))</w:t>
      </w:r>
    </w:p>
    <w:p w:rsidR="00932360" w:rsidRPr="005069C4" w:rsidRDefault="00932360" w:rsidP="00932360">
      <w:pPr>
        <w:pStyle w:val="EPComma"/>
      </w:pPr>
      <w:r w:rsidRPr="005069C4">
        <w:rPr>
          <w:i/>
        </w:rPr>
        <w:t>Европейският парламент</w:t>
      </w:r>
      <w:r w:rsidRPr="005069C4">
        <w:t>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окончателните годишни отчети на Европейската фондация за обучение за финансовата 2022 година,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5069C4">
        <w:rPr>
          <w:rStyle w:val="FootnoteReference"/>
        </w:rPr>
        <w:footnoteReference w:id="6"/>
      </w:r>
      <w:r w:rsidRPr="005069C4">
        <w:t>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декларацията за достоверност</w:t>
      </w:r>
      <w:r w:rsidRPr="005069C4">
        <w:rPr>
          <w:rStyle w:val="FootnoteReference"/>
        </w:rPr>
        <w:footnoteReference w:id="7"/>
      </w:r>
      <w:r w:rsidRPr="005069C4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 287 от Договора за функционирането на Европейския съюз,</w:t>
      </w:r>
    </w:p>
    <w:p w:rsidR="00932360" w:rsidRPr="005069C4" w:rsidRDefault="00932360" w:rsidP="00E413D9">
      <w:pPr>
        <w:pStyle w:val="NormalHanging12a"/>
      </w:pPr>
      <w:r w:rsidRPr="005069C4">
        <w:t>–</w:t>
      </w:r>
      <w:r w:rsidRPr="005069C4">
        <w:tab/>
        <w:t>като взе предвид препоръката на Съвета от 22 февруари 2024 г. относно освобождаването от отговорност на Фондацията във връзка с изпълнението на бюджета за финансовата 2022 година (</w:t>
      </w:r>
      <w:r w:rsidR="00E413D9" w:rsidRPr="00E413D9">
        <w:rPr>
          <w:lang w:val="en-GB"/>
        </w:rPr>
        <w:t>06180</w:t>
      </w:r>
      <w:r w:rsidRPr="005069C4">
        <w:t>/2024 – C9</w:t>
      </w:r>
      <w:r w:rsidRPr="005069C4">
        <w:noBreakHyphen/>
      </w:r>
      <w:r w:rsidR="00E413D9">
        <w:t>0101</w:t>
      </w:r>
      <w:r w:rsidRPr="005069C4">
        <w:t>/2024),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член 319 от Договора за функционирането на Европейския съюз,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5069C4">
        <w:rPr>
          <w:rStyle w:val="FootnoteReference"/>
        </w:rPr>
        <w:footnoteReference w:id="8"/>
      </w:r>
      <w:r w:rsidRPr="005069C4">
        <w:t>, и по-специално член 70 от 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Регламент (ЕО) № 1339/2008 на Европейския парламент и на Съвета от 16 декември 2008 г. за създаване на Европейска фондация за обучение</w:t>
      </w:r>
      <w:r w:rsidRPr="005069C4">
        <w:rPr>
          <w:rStyle w:val="FootnoteReference"/>
        </w:rPr>
        <w:footnoteReference w:id="9"/>
      </w:r>
      <w:r w:rsidRPr="005069C4">
        <w:t>, и по-специално член 17 от 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Делегиран регламент (ЕС) 2019/715 на Комисията от 18 декември 2018 г. относно рамковия финансов регламент за органите, създадени по силата на ДФЕС и Договора за Евратом и посочени в член 70 от Регламент (ЕС, Евратом) 2018/1046 на Европейския парламент и на Съвета</w:t>
      </w:r>
      <w:r w:rsidRPr="005069C4">
        <w:rPr>
          <w:rStyle w:val="FootnoteReference"/>
        </w:rPr>
        <w:footnoteReference w:id="10"/>
      </w:r>
      <w:r w:rsidRPr="005069C4">
        <w:t>, и по-специално член 105 от него,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член 100 и приложение V към своя Правилник за дейността,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становището на комисията по заетост и социални въпроси,</w:t>
      </w:r>
    </w:p>
    <w:p w:rsidR="00932360" w:rsidRPr="005069C4" w:rsidRDefault="00932360" w:rsidP="00932360">
      <w:pPr>
        <w:pStyle w:val="NormalHanging12a"/>
      </w:pPr>
      <w:r w:rsidRPr="005069C4">
        <w:lastRenderedPageBreak/>
        <w:t>–</w:t>
      </w:r>
      <w:r w:rsidRPr="005069C4">
        <w:tab/>
        <w:t>като взе предвид доклада на комисията по бюджетен контрол (A9-0114/2024),</w:t>
      </w:r>
    </w:p>
    <w:p w:rsidR="00932360" w:rsidRPr="005069C4" w:rsidRDefault="00932360" w:rsidP="00932360">
      <w:pPr>
        <w:pStyle w:val="NormalHanging12a"/>
      </w:pPr>
      <w:r w:rsidRPr="005069C4">
        <w:t>1.</w:t>
      </w:r>
      <w:r w:rsidRPr="005069C4">
        <w:tab/>
        <w:t>одобрява приключването на сметките на Европейската фондация за обучение за финансовата 2022 година;</w:t>
      </w:r>
    </w:p>
    <w:p w:rsidR="00932360" w:rsidRPr="005069C4" w:rsidRDefault="00932360" w:rsidP="00932360">
      <w:pPr>
        <w:pStyle w:val="NormalHanging12a"/>
      </w:pPr>
      <w:r w:rsidRPr="005069C4">
        <w:t>2.</w:t>
      </w:r>
      <w:r w:rsidRPr="005069C4">
        <w:tab/>
        <w:t xml:space="preserve">възлага на своя председател да предаде настоящото решение на директора на Европейската фондация за обучение, на Съвета, Комисията и Сметната палата и да осигури публикуването му в </w:t>
      </w:r>
      <w:r w:rsidRPr="005069C4">
        <w:rPr>
          <w:i/>
        </w:rPr>
        <w:t>Официален вестник на Европейския съюз</w:t>
      </w:r>
      <w:r w:rsidRPr="005069C4">
        <w:t xml:space="preserve"> (серия L).</w:t>
      </w:r>
    </w:p>
    <w:p w:rsidR="00932360" w:rsidRPr="005069C4" w:rsidRDefault="00932360" w:rsidP="00932360"/>
    <w:p w:rsidR="00932360" w:rsidRPr="005069C4" w:rsidRDefault="00932360" w:rsidP="00932360">
      <w:pPr>
        <w:widowControl/>
        <w:rPr>
          <w:rFonts w:ascii="Arial" w:hAnsi="Arial" w:cs="Arial"/>
          <w:b/>
        </w:rPr>
        <w:sectPr w:rsidR="00932360" w:rsidRPr="005069C4" w:rsidSect="005069C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932360" w:rsidRPr="005069C4" w:rsidRDefault="00932360" w:rsidP="00E413D9">
      <w:pPr>
        <w:pStyle w:val="ATHeading3"/>
      </w:pPr>
      <w:bookmarkStart w:id="10" w:name="_Toc161753643"/>
      <w:r w:rsidRPr="005069C4">
        <w:lastRenderedPageBreak/>
        <w:t xml:space="preserve">3. </w:t>
      </w:r>
      <w:bookmarkEnd w:id="10"/>
      <w:r w:rsidR="00E413D9">
        <w:t>Резолюция на Европейския парламент от 11 април 2024 г., съдържаща</w:t>
      </w:r>
      <w:r w:rsidRPr="005069C4">
        <w:t xml:space="preserve"> забележките, които са неразделна част от решението за освобождаване от отговорност във връзка с изпълнението на бюджета на Европейската фондация за обучение за финансовата 2022 година</w:t>
      </w:r>
      <w:r w:rsidR="00E413D9">
        <w:t xml:space="preserve"> (2023</w:t>
      </w:r>
      <w:r w:rsidRPr="005069C4">
        <w:t>/2163(DEC))</w:t>
      </w:r>
    </w:p>
    <w:p w:rsidR="00932360" w:rsidRPr="005069C4" w:rsidRDefault="00932360" w:rsidP="00932360">
      <w:pPr>
        <w:pStyle w:val="EPComma"/>
      </w:pPr>
      <w:r w:rsidRPr="005069C4">
        <w:rPr>
          <w:i/>
        </w:rPr>
        <w:t>Европейският парламент</w:t>
      </w:r>
      <w:r w:rsidRPr="005069C4">
        <w:t>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своето решение за освобождаване от отговорност във връзка с изпълнението на бюджета на Европейската фондация за обучение за финансовата 2022 година,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член 100 и приложение V към своя Правилник за дейността,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становището на комисията по заетост и социални въпроси,</w:t>
      </w:r>
    </w:p>
    <w:p w:rsidR="00932360" w:rsidRPr="005069C4" w:rsidRDefault="00932360" w:rsidP="00932360">
      <w:pPr>
        <w:pStyle w:val="NormalHanging12a"/>
      </w:pPr>
      <w:r w:rsidRPr="005069C4">
        <w:t>–</w:t>
      </w:r>
      <w:r w:rsidRPr="005069C4">
        <w:tab/>
        <w:t>като взе предвид доклада на комисията по бюджетен контрол (A9-0114/2024),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А.</w:t>
      </w:r>
      <w:r w:rsidRPr="005069C4">
        <w:tab/>
        <w:t>като има предвид, че според отчета за приходите и разходите</w:t>
      </w:r>
      <w:r w:rsidRPr="005069C4">
        <w:rPr>
          <w:rStyle w:val="FootnoteReference"/>
          <w:szCs w:val="24"/>
        </w:rPr>
        <w:footnoteReference w:id="11"/>
      </w:r>
      <w:r w:rsidRPr="005069C4">
        <w:t xml:space="preserve"> на Европейската фондация за обучение („Фондацията“) нейният окончателен бюджет за финансовата 2022 година възлиза на 25 051 848 EUR, което представлява увеличение със 17,05% спрямо 2021 г.; като има предвид, че бюджетът на Фондацията се осигурява изцяло от бюджета на Съюза;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Б.</w:t>
      </w:r>
      <w:r w:rsidRPr="005069C4">
        <w:tab/>
        <w:t>като има предвид, че в своя доклад относно годишните отчети на Фондацията за финансовата 2022 година („доклада на Палатата“) Сметната палата („Палатата“) заявява, че е получила достатъчна увереност, че годишните отчети на Фондацията са надеждни и че свързаните с тях операции са законосъобразни и редовни;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Бюджетно и финансово управление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1.</w:t>
      </w:r>
      <w:r w:rsidRPr="005069C4">
        <w:tab/>
        <w:t>със задоволство отбелязва, че усилията за контрол на бюджета през финансовата 2022 година са довели до висока степен на изпълнение на бюджета от 99,98%, което представлява леко увеличение с 0,07% спрямо 2021 г.; посочва, че степента на изпълнение на бюджетните кредити за плащания е 97,70%, което представлява увеличение с 11,48% спрямо 2021 г.;</w:t>
      </w:r>
    </w:p>
    <w:p w:rsidR="00932360" w:rsidRPr="005069C4" w:rsidRDefault="00932360" w:rsidP="00932360">
      <w:pPr>
        <w:pStyle w:val="NormalHanging12a"/>
      </w:pPr>
      <w:r w:rsidRPr="005069C4">
        <w:t>2.</w:t>
      </w:r>
      <w:r w:rsidRPr="005069C4">
        <w:tab/>
        <w:t>приветства факта, че въпреки бюджетната криза, предизвикана от инфлацията и цените на комуналните услуги през 2022 г., Фондацията е успяла да управлява ефективно своите разходи, да въведе мерки за намаляване на разходите и да преразгледа приоритетите, без да допусне големи смущения в работната си програма;</w:t>
      </w:r>
    </w:p>
    <w:p w:rsidR="00932360" w:rsidRPr="005069C4" w:rsidRDefault="00932360" w:rsidP="00932360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5069C4">
        <w:rPr>
          <w:b/>
          <w:i/>
        </w:rPr>
        <w:t>Резултати от дейността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3.</w:t>
      </w:r>
      <w:r w:rsidRPr="005069C4">
        <w:tab/>
        <w:t>отбелязва със задоволство, че Фондацията използва някои мерки като ключови показатели за резултатите от дейността, за да прави оценка на добавената стойност, предоставяна от нейната дейност, и други мерки, за да подобри управлението на бюджета си;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lastRenderedPageBreak/>
        <w:t>4.</w:t>
      </w:r>
      <w:r w:rsidRPr="005069C4">
        <w:tab/>
        <w:t>отбелязва, че Фондацията е постигнала коефициент на приключване на дейностите от 93%, което представлява лек спад спрямо 2021 г., при своевременно изпълнение от 89%; приветства факта, че Фондацията е постигнала всички ключови показатели за резултатите от дейността над или много над поставените цели;</w:t>
      </w:r>
    </w:p>
    <w:p w:rsidR="00932360" w:rsidRPr="005069C4" w:rsidRDefault="00932360" w:rsidP="00932360">
      <w:pPr>
        <w:pStyle w:val="Normal12Hanging"/>
      </w:pPr>
      <w:r w:rsidRPr="005069C4">
        <w:t>5.</w:t>
      </w:r>
      <w:r w:rsidRPr="005069C4">
        <w:tab/>
        <w:t xml:space="preserve">отбелязва основните постижения на Фондацията за 2022 г., които се основават на три стратегически цели: </w:t>
      </w:r>
      <w:proofErr w:type="spellStart"/>
      <w:r w:rsidRPr="005069C4">
        <w:t>релевантност</w:t>
      </w:r>
      <w:proofErr w:type="spellEnd"/>
      <w:r w:rsidRPr="005069C4">
        <w:t xml:space="preserve"> и предвиждане на уменията, развитие и валидиране на умения и изпълнение и качество на политиките в областта на образованието и обучението; отбелязва, че тези цели се постигат от Фондацията посредством три основни услуги: център за знания, мониторинг и оценка и насоки за политиките;</w:t>
      </w:r>
    </w:p>
    <w:p w:rsidR="00932360" w:rsidRPr="005069C4" w:rsidRDefault="00932360" w:rsidP="00932360">
      <w:pPr>
        <w:pStyle w:val="Normal12Hanging"/>
      </w:pPr>
      <w:r w:rsidRPr="005069C4">
        <w:t>6.</w:t>
      </w:r>
      <w:r w:rsidRPr="005069C4">
        <w:tab/>
        <w:t xml:space="preserve">отбелязва новите инициативи, стартирани от Фондацията през 2022 г., например новата инициатива на „Екип Европа“ в Южното и Източното Средиземноморие и срещата на мрежата </w:t>
      </w:r>
      <w:proofErr w:type="spellStart"/>
      <w:r w:rsidRPr="005069C4">
        <w:rPr>
          <w:i/>
          <w:iCs/>
        </w:rPr>
        <w:t>Governance</w:t>
      </w:r>
      <w:proofErr w:type="spellEnd"/>
      <w:r w:rsidRPr="005069C4">
        <w:rPr>
          <w:i/>
          <w:iCs/>
        </w:rPr>
        <w:t xml:space="preserve">, </w:t>
      </w:r>
      <w:proofErr w:type="spellStart"/>
      <w:r w:rsidRPr="005069C4">
        <w:rPr>
          <w:i/>
          <w:iCs/>
        </w:rPr>
        <w:t>Learning</w:t>
      </w:r>
      <w:proofErr w:type="spellEnd"/>
      <w:r w:rsidRPr="005069C4">
        <w:rPr>
          <w:i/>
          <w:iCs/>
        </w:rPr>
        <w:t xml:space="preserve">, </w:t>
      </w:r>
      <w:proofErr w:type="spellStart"/>
      <w:r w:rsidRPr="005069C4">
        <w:rPr>
          <w:i/>
          <w:iCs/>
        </w:rPr>
        <w:t>Action</w:t>
      </w:r>
      <w:proofErr w:type="spellEnd"/>
      <w:r w:rsidRPr="005069C4">
        <w:rPr>
          <w:i/>
          <w:iCs/>
        </w:rPr>
        <w:t xml:space="preserve">, </w:t>
      </w:r>
      <w:proofErr w:type="spellStart"/>
      <w:r w:rsidRPr="005069C4">
        <w:rPr>
          <w:i/>
          <w:iCs/>
        </w:rPr>
        <w:t>Dialogue</w:t>
      </w:r>
      <w:proofErr w:type="spellEnd"/>
      <w:r w:rsidRPr="005069C4">
        <w:t xml:space="preserve"> (GLAD — Управление, обучение, действие, диалог); отбелязва разрастването на нейната мрежа за високи постижения и онлайн конференцията на мрежата на Фондацията за високи постижения през ноември 2022 г., която даде възможност на участниците да споделят информация относно развитието и резултатите от работата на тематичното партньорство;</w:t>
      </w:r>
    </w:p>
    <w:p w:rsidR="00932360" w:rsidRPr="005069C4" w:rsidRDefault="00932360" w:rsidP="00932360">
      <w:pPr>
        <w:pStyle w:val="NormalHanging12a"/>
      </w:pPr>
      <w:r w:rsidRPr="005069C4">
        <w:t>7.</w:t>
      </w:r>
      <w:r w:rsidRPr="005069C4">
        <w:tab/>
        <w:t>подчертава, че Фондацията подкрепя Молдова, Грузия и Украйна като страни кандидатки в стремежа им да приведат своите политики в областта на образованието и заетостта в съответствие с тези на Съюза, като предоставя на националните органи технически експертен опит и съвети по различни въпроси в тясно сътрудничество с делегациите на Съюза и службите на Комисията;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8.</w:t>
      </w:r>
      <w:r w:rsidRPr="005069C4">
        <w:tab/>
        <w:t>приветства факта, че мерките, предприети от Фондацията в отговор на сътресения, като продължаващото въздействие на пандемията от COVID-19 и руската агресия в Украйна, бяха много ефективни за гарантиране на непрекъснато и много високо равнище на изпълнение на годишната работна програма; приветства инициативата на Фондацията да подкрепи Украйна чрез онлайн ресурсния център за признаване на квалификациите, уменията и периодите на обучение на украинските бежанци и други средства и да реагира, когато е възможно и уместно, в тесен контакт с различни служби на Комисията, като използва нейния тематичен експертен опит и знания за системите за образование и обучение на страната;</w:t>
      </w:r>
    </w:p>
    <w:p w:rsidR="00932360" w:rsidRPr="005069C4" w:rsidRDefault="00932360" w:rsidP="00932360">
      <w:pPr>
        <w:pStyle w:val="NormalHanging12a"/>
      </w:pPr>
      <w:r w:rsidRPr="005069C4">
        <w:t>9.</w:t>
      </w:r>
      <w:r w:rsidRPr="005069C4">
        <w:tab/>
        <w:t>подчертава, че Фондацията преустанови всички дейности и сътрудничество с беларуските органи от началото на 2022 г.;</w:t>
      </w:r>
    </w:p>
    <w:p w:rsidR="00932360" w:rsidRPr="005069C4" w:rsidRDefault="00932360" w:rsidP="00932360">
      <w:pPr>
        <w:pStyle w:val="NormalHanging12a"/>
      </w:pPr>
      <w:r w:rsidRPr="005069C4">
        <w:t>10.</w:t>
      </w:r>
      <w:r w:rsidRPr="005069C4">
        <w:tab/>
        <w:t>приветства дейностите на Фондацията за подпомагане на държавите — партньори на Съюза, да използват потенциала на своя човешки капитал и да подобрят перспективите за заетост на своите граждани чрез реформа на системите за образование, за професионално обучение и за придобиване на умения и на системите на пазара на труда в контекста на политиките на Съюза в областта на външните отношения;</w:t>
      </w:r>
    </w:p>
    <w:p w:rsidR="00932360" w:rsidRPr="005069C4" w:rsidRDefault="00932360" w:rsidP="00932360">
      <w:pPr>
        <w:pStyle w:val="NormalHanging12a"/>
        <w:rPr>
          <w:szCs w:val="24"/>
        </w:rPr>
      </w:pPr>
      <w:r w:rsidRPr="005069C4">
        <w:t>11.</w:t>
      </w:r>
      <w:r w:rsidRPr="005069C4">
        <w:tab/>
        <w:t xml:space="preserve">приветства по-специално новата концепция на Фондацията за предприемачески центрове за високи постижения в областта на професионалното образование, </w:t>
      </w:r>
      <w:r w:rsidRPr="005069C4">
        <w:lastRenderedPageBreak/>
        <w:t>които са разработени, за да допринесат за международния дебат в общността на предлагащите обучение по предприемачество и да вдъхновят центровете за обучение да реагират по-добре на променящите се потребности на гражданите, икономиките и обществата;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Ефикасност и успехи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12.</w:t>
      </w:r>
      <w:r w:rsidRPr="005069C4">
        <w:tab/>
        <w:t xml:space="preserve">отбелязва, че през 2022 г. Фондацията е продължила да набелязва възможности за повишаване на ефективността на своите дейности, като усъвършенстване на цифровите работни процеси и активно участие в мрежата на агенциите на Съюза и различните ѝ работни групи; отбелязва, наред с другото, че Фондацията има обща счетоводна служба с Европейската агенция за безопасност и здраве при работа чрез споразумение за нивото на обслужване, подписано през 2022 г., и че се оценява възможността за споделяне на ресурси в областта на набирането на служители, киберсигурността, схемата за управление на околната среда и одитиране (EMAS), устойчивостта и </w:t>
      </w:r>
      <w:proofErr w:type="spellStart"/>
      <w:r w:rsidRPr="005069C4">
        <w:t>екологизирането</w:t>
      </w:r>
      <w:proofErr w:type="spellEnd"/>
      <w:r w:rsidRPr="005069C4">
        <w:t>, обществените поръчки и информационно-технологичните инструменти и системи с Европейския център за развитие на професионалното обучение;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13.</w:t>
      </w:r>
      <w:r w:rsidRPr="005069C4">
        <w:tab/>
        <w:t>отбелязва, че Фондацията е въвела мерки, включително например в областта на потреблението на енергия и управлението на сградите, затваряне на офисите през август 2022 г., сензори за осветление и вода, таймери за бойлери, отопление и климатизация; отбелязва увеличените усилия за енергийно управление, довели до икономии в размер на 2 000 м</w:t>
      </w:r>
      <w:r w:rsidRPr="005069C4">
        <w:rPr>
          <w:vertAlign w:val="superscript"/>
        </w:rPr>
        <w:t>3</w:t>
      </w:r>
      <w:r w:rsidRPr="005069C4">
        <w:t xml:space="preserve"> газ и 49 107 </w:t>
      </w:r>
      <w:proofErr w:type="spellStart"/>
      <w:r w:rsidRPr="005069C4">
        <w:t>kWh</w:t>
      </w:r>
      <w:proofErr w:type="spellEnd"/>
      <w:r w:rsidRPr="005069C4">
        <w:t xml:space="preserve"> електроенергия през 2022 г. въпреки увеличеното присъствие на служители в офисите през годината поради въведения хибриден модел на работа;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14.</w:t>
      </w:r>
      <w:r w:rsidRPr="005069C4">
        <w:tab/>
        <w:t>приветства ангажимента на Фондацията да започне да ползва всички инструменти на Комисията за електронни обществени поръчки и факта, че процедурите за възлагане на обществени поръчки на Фондацията са напълно цифровизирани;</w:t>
      </w:r>
    </w:p>
    <w:p w:rsidR="00932360" w:rsidRPr="005069C4" w:rsidRDefault="00932360" w:rsidP="00932360">
      <w:pPr>
        <w:pStyle w:val="NormalHanging12a"/>
        <w:rPr>
          <w:szCs w:val="24"/>
        </w:rPr>
      </w:pPr>
      <w:r w:rsidRPr="005069C4">
        <w:t>15.</w:t>
      </w:r>
      <w:r w:rsidRPr="005069C4">
        <w:tab/>
        <w:t>поздравява Фондацията за изготвянето на корпоративен план за повишаване на енергийната ефективност и неутралността по отношение на климата на нейните операции;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Политика относно персонала</w:t>
      </w:r>
    </w:p>
    <w:p w:rsidR="00932360" w:rsidRPr="005069C4" w:rsidRDefault="00932360" w:rsidP="00932360">
      <w:pPr>
        <w:spacing w:after="240"/>
        <w:ind w:left="567" w:hanging="567"/>
      </w:pPr>
      <w:r w:rsidRPr="005069C4">
        <w:t>16.</w:t>
      </w:r>
      <w:r w:rsidRPr="005069C4">
        <w:tab/>
        <w:t>отбелязва, че към 31 декември 2022 г. щатното разписание е изпълнено на 98,8%, като са назначени 85 длъжностни лица и срочно наети служители от общо 86 работни места за тези категории служители, разрешени съгласно бюджета на Съюза (същият брой разрешени длъжности, както през 2021 г.); отбелязва, че освен това през 2022 г. за Фондацията са работили 39 договорно наети служители и един местен служител;</w:t>
      </w:r>
    </w:p>
    <w:p w:rsidR="00932360" w:rsidRPr="005069C4" w:rsidRDefault="00932360" w:rsidP="00932360">
      <w:pPr>
        <w:pStyle w:val="NormalHanging12a"/>
      </w:pPr>
      <w:r w:rsidRPr="005069C4">
        <w:t>17.</w:t>
      </w:r>
      <w:r w:rsidRPr="005069C4">
        <w:tab/>
        <w:t xml:space="preserve">отбелязва, че през 2022 г. сред служителите на Фондацията са представени 21 държави членки; отново отбелязва със загриженост, че географският баланс е предизвикателство; отбелязва, че 42% от служителите на Фондацията са граждани на държавата членка, в която се намира тя; потвърждава, че Фондацията прилага процедури за подбор, основани на заслугите на кандидатите, като при наличието на еднакви заслуги Фондацията отдава предпочитание на по-слабо представените националности; припомня значението на географския баланс и призовава </w:t>
      </w:r>
      <w:r w:rsidRPr="005069C4">
        <w:lastRenderedPageBreak/>
        <w:t>Фондацията да предприеме необходимите мерки за постигане на балансирано и справедливо географско представителство, включително на равнище средни и висши ръководни длъжности, като същевременно зачита компетенциите и заслугите на кандидатите, и да докладва за всяка промяна в това отношение на органа по освобождаване от отговорност;</w:t>
      </w:r>
    </w:p>
    <w:p w:rsidR="00932360" w:rsidRPr="005069C4" w:rsidRDefault="00932360" w:rsidP="00932360">
      <w:pPr>
        <w:pStyle w:val="NormalHanging12a"/>
      </w:pPr>
      <w:r w:rsidRPr="005069C4">
        <w:t>18.</w:t>
      </w:r>
      <w:r w:rsidRPr="005069C4">
        <w:tab/>
        <w:t>отбелязва по отношение на баланса между половете на средно и висше управленско равнище, че през 2022 г. четири от общо девет длъжности са заети от жени; отбелязва, че балансът между половете сред членовете на Управителния съвет е 41% мъже и 59% жени (съответно 11 и 16), а сред служителите като цяло делът на мъжете е 33%, а на жените – 67% (съответно 41 и 84); припомня, че е важно да се осигури баланс между половете, и призовава Фондацията да взема предвид този аспект при бъдещо набиране и назначение на служители в рамките на средното и висшето си ръководство; призовава Комисията и държавите членки, при номинирането на своите членове в управителния съвет на Фондацията, да вземат предвид, че е важно да се осигури баланс между половете;</w:t>
      </w:r>
    </w:p>
    <w:p w:rsidR="00932360" w:rsidRPr="005069C4" w:rsidRDefault="00932360" w:rsidP="00932360">
      <w:pPr>
        <w:pStyle w:val="NormalHanging12a"/>
      </w:pPr>
      <w:r w:rsidRPr="005069C4">
        <w:t>19.</w:t>
      </w:r>
      <w:r w:rsidRPr="005069C4">
        <w:tab/>
        <w:t xml:space="preserve">отбелязва, че според последващите действия във връзка с констатациите от процедурата по освобождаване от отговорност във връзка с изпълнението на бюджета за 2021 г. Фондацията е преразгледала своите обявления за свободни длъжности с цел да увеличи привлекателността на мястото на работа и </w:t>
      </w:r>
      <w:proofErr w:type="spellStart"/>
      <w:r w:rsidRPr="005069C4">
        <w:t>диверсифицира</w:t>
      </w:r>
      <w:proofErr w:type="spellEnd"/>
      <w:r w:rsidRPr="005069C4">
        <w:t xml:space="preserve"> комуникационните канали, като се насочва към държави, които са по-слабо представени, чрез </w:t>
      </w:r>
      <w:proofErr w:type="spellStart"/>
      <w:r w:rsidRPr="005069C4">
        <w:rPr>
          <w:i/>
          <w:iCs/>
        </w:rPr>
        <w:t>LinkedIn</w:t>
      </w:r>
      <w:proofErr w:type="spellEnd"/>
      <w:r w:rsidRPr="005069C4">
        <w:t>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20.</w:t>
      </w:r>
      <w:r w:rsidRPr="005069C4">
        <w:tab/>
        <w:t>отбелязва, че Фондацията прие Хартата за многообразие и приобщаване през декември 2022 г.; отбелязва множеството придобивки на служителите през 2022 г. за подобряване на благосъстоянието на работното място и че освен това са приети нови правила относно работното време и хибридния модел на работа, които продължават да осигуряват на служителите възможности за нови гъвкави форми на организация на работата;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Обществени поръчки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21.</w:t>
      </w:r>
      <w:r w:rsidRPr="005069C4">
        <w:tab/>
        <w:t>отбелязва констатацията на Палатата относно възлагането на рамково споразумение на стойност 1 милион евро за предоставяне на услуги, свързани с управлението на съдържание, след процедура, започната през 2021 г., съгласно която възлагането е нередовно поради отклонение от техническите спецификации; отбелязва, че за да докажат своя финансов капацитет, от оферентите е било изискано да представят приключени и подписани отчети, показващи оборот от най-малко 250 000 EUR за последните две финансови години, а именно 2019 и 2020 г.; отбелязва, че оборотът на спечелилия оферент за 2019 г. не е достигал изисквания праг, но Фондацията вместо да отхвърли оферента, е решила да не го отхвърля поради по-високия оборот, посочен в предварителните отчети за 2021 г.; подчертава факта, че заключението на Палатата е, че процедурата за оценка и произтичащият от нея договор са нередовни, а следователно и всички свързани плащания, които през 2022 г. възлизат на 100 100 EUR; отбелязва, че вследствие на констатацията на Палатата Фондацията ще опрости своята методика за оценка на финансовата надеждност на изпълнителите, като същевременно ще я адаптира в по-голяма степен към настоящата финансова ситуация (след пандемията от COVID-19 и войната в Украйна);</w:t>
      </w:r>
    </w:p>
    <w:p w:rsidR="00932360" w:rsidRPr="005069C4" w:rsidRDefault="00932360" w:rsidP="00932360">
      <w:pPr>
        <w:pStyle w:val="Normal12Hanging"/>
      </w:pPr>
      <w:r w:rsidRPr="005069C4">
        <w:lastRenderedPageBreak/>
        <w:t>22.</w:t>
      </w:r>
      <w:r w:rsidRPr="005069C4">
        <w:tab/>
        <w:t>отбелязва, че в друга открита процедура за поръчка на помощни услуги в държавите на стойност 4 милиона евро финансовият и икономически капацитет на оферентите е трябвало да бъде оценен по два критерия; i) стабилно финансово състояние, демонстрирано чрез набор от параметри, включително положителна нетна печалба; и ii) годишен оборот от най-малко 1 милион евро през последните две финансови години; отбелязва, че Фондацията е възложила поръчката на консорциум от пет нестопански субекта, въпреки че нито един от членовете на консорциума не е докладвал печалби през последните две години и че освен това Фондацията е решила да пренебрегне изискването за оборот, което спечелилият оферент не е изпълнил, като неприложимо за нестопанските субекти; подчертава заключението на Палатата, че Фондацията е приложила неправилно критериите за подбор и че икономическият и финансов капацитет на спечелилия оферент не е бил доказан; отбелязва също така, че поради това процедурата за оценка и произтичащият от нея договор са нередовни, а следователно и всички свързани с него плащания, които през 2022 г. възлизат на 70 500 EUR; отбелязва, че въпросната процедура за възлагане на обществена поръчка е насочена към развитието на човешкия капитал в Централна Азия и че вследствие на констатацията на Палатата Фондацията ще продължи обсъжданията със съответните служби на Комисията относно възможните алтернативни методи за изпълнение на дейностите в държавите партньори, като успоредно с това ще опрости своята методика за финансова оценка, за да се насочва, когато е приложимо, към пазара извън Съюза;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23.</w:t>
      </w:r>
      <w:r w:rsidRPr="005069C4">
        <w:tab/>
        <w:t xml:space="preserve">припомня, че е важно при всички процедури за възлагане на обществена поръчка да се осигури лоялна конкуренция между участниците и да се обезпечи доставката на стоки и услуги на икономически най-изгодната цена, при зачитане на принципите на прозрачност и добро използване на публичните ресурси, пропорционалност, равно третиране и </w:t>
      </w:r>
      <w:proofErr w:type="spellStart"/>
      <w:r w:rsidRPr="005069C4">
        <w:t>недискриминация</w:t>
      </w:r>
      <w:proofErr w:type="spellEnd"/>
      <w:r w:rsidRPr="005069C4">
        <w:t>; призовава Фондацията да предприеме действия, за да гарантира, че в бъдещите процедури за възлагане на обществени поръчки се осигурява пълно съответствие с приложимите правила, гарантиращи прозрачност, справедливост и почтеност на процедурите за възлагане на обществени поръчки;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24.</w:t>
      </w:r>
      <w:r w:rsidRPr="005069C4">
        <w:tab/>
        <w:t>отбелязва, че в края на 2022 г. Фондацията не е приключила действията само по една констатация на Палатата във връзка с процедурата за възлагане на обществена поръчка за временни работници, публикувана през 2018 г. и потвърдена от Парламента в неговия доклад относно освобождаването от отговорност във връзка с изпълнението на бюджета; отбелязва освен това, че Фондацията е разгледала този въпрос при започването на работата по новия рамков договор, който трябва да бъде подписан през 2023 г.;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Предотвратяване и управление на конфликти на интереси и прозрачност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25.</w:t>
      </w:r>
      <w:r w:rsidRPr="005069C4">
        <w:tab/>
        <w:t>отбелязва, че Фондацията е публикувала всички декларации за конфликти на интереси, както и автобиографиите на членовете на Управителния съвет и на висшето и средното ръководство; отбелязва освен това, че Фондацията публикува списък на всички срещи, проведени от нейния директор и от организации и самостоятелно заети лица, на своя уебсайт;</w:t>
      </w:r>
    </w:p>
    <w:p w:rsidR="00932360" w:rsidRPr="005069C4" w:rsidRDefault="00932360" w:rsidP="00932360">
      <w:pPr>
        <w:pStyle w:val="Normal12Hanging"/>
        <w:rPr>
          <w:rStyle w:val="normaltextrun"/>
        </w:rPr>
      </w:pPr>
      <w:r w:rsidRPr="005069C4">
        <w:rPr>
          <w:rStyle w:val="normaltextrun"/>
        </w:rPr>
        <w:t>26.</w:t>
      </w:r>
      <w:r w:rsidRPr="005069C4">
        <w:rPr>
          <w:rStyle w:val="normaltextrun"/>
        </w:rPr>
        <w:tab/>
        <w:t xml:space="preserve">отбелязва, че Фондацията разполага с вътрешна стратегия за борба с измамите, която се актуализира редовно, и може да обмисли допълването на тази стратегия </w:t>
      </w:r>
      <w:r w:rsidRPr="005069C4">
        <w:rPr>
          <w:rStyle w:val="normaltextrun"/>
        </w:rPr>
        <w:lastRenderedPageBreak/>
        <w:t>със звено за борба с корупцията; отбелязва освен това, че тя понастоящем разработва политика по въпросите, свързани с конфликтите на интереси;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Вътрешен контрол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t>27.</w:t>
      </w:r>
      <w:r w:rsidRPr="005069C4">
        <w:tab/>
        <w:t>приветства положителното становище на Службата за вътрешен одит относно механизмите за взаимно допълване и сътрудничество между Фондацията и Комисията в нейния окончателен одитен доклад от декември 2022 г., в което се подчертава експертният опит на служителите на Фондацията и установяването на структуриран диалог, който ще се провежда два пъти годишно и ще осигурява по-добра координация при подготовката на заседанията на Управителния съвет; отбелязва, че въпреки това Службата за вътрешен одит посочва и два много важни въпроса във връзка с мандата на Фондацията и мониторинга на показателите, както и два важни въпроса относно приоритетното привеждане в съответствие и относно усъвършенстването на базата данни на Съюза за исканията и на процедурите; потвърждава, че в отговор Фондацията е разработила, в сътрудничество с ГД „Трудова заетост, социални въпроси и приобщаване“, план за действие за изпълнение на тези препоръки, който да бъде приведен в действие през 2023 г.;</w:t>
      </w:r>
    </w:p>
    <w:p w:rsidR="00932360" w:rsidRPr="005069C4" w:rsidRDefault="00932360" w:rsidP="00932360">
      <w:pPr>
        <w:pStyle w:val="Normal12Hanging"/>
        <w:rPr>
          <w:b/>
          <w:i/>
          <w:szCs w:val="24"/>
        </w:rPr>
      </w:pPr>
      <w:r w:rsidRPr="005069C4">
        <w:rPr>
          <w:b/>
          <w:i/>
        </w:rPr>
        <w:t>Други коментари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28.</w:t>
      </w:r>
      <w:r w:rsidRPr="005069C4">
        <w:tab/>
        <w:t>отбелязва специалното внимание, което Фондацията отделя на киберсигурността, цифровите записи и управлението на данните, както и действията, предприети с цел спазване на съответните насоки на Съюза, като усъвършенстване на резервното копиране и тестове за проникването на основните уебсайтове на Фондацията; отбелязва освен това, че след извършена през 2021 г. оценка на риска за информационната сигурност на Фондацията в нейната цялост през 2022 г. е разработен и одобрен план за третиране на риска;</w:t>
      </w:r>
    </w:p>
    <w:p w:rsidR="00932360" w:rsidRPr="005069C4" w:rsidRDefault="00932360" w:rsidP="00932360">
      <w:pPr>
        <w:pStyle w:val="Normal12Hanging"/>
        <w:rPr>
          <w:szCs w:val="24"/>
        </w:rPr>
      </w:pPr>
      <w:r w:rsidRPr="005069C4">
        <w:t>29.</w:t>
      </w:r>
      <w:r w:rsidRPr="005069C4">
        <w:tab/>
        <w:t>отбелязва, че през 2022 г. Фондацията е запазила както сертифицирането по EMAS, така и сертифицирането по ISO 14001 след екологичен одит, осъществен през март 2022 г. (и 2023 г.);</w:t>
      </w:r>
    </w:p>
    <w:p w:rsidR="00932360" w:rsidRPr="005069C4" w:rsidRDefault="00932360" w:rsidP="00932360">
      <w:pPr>
        <w:pStyle w:val="NormalHanging12a"/>
      </w:pPr>
      <w:r w:rsidRPr="005069C4">
        <w:t>30.</w:t>
      </w:r>
      <w:r w:rsidRPr="005069C4">
        <w:tab/>
        <w:t xml:space="preserve">приветства факта, че Фондацията е продължила да прилага различни мерки за увеличаване на своето публично и онлайн присъствие, включително чрез създаване и популяризиране на десет </w:t>
      </w:r>
      <w:proofErr w:type="spellStart"/>
      <w:r w:rsidRPr="005069C4">
        <w:t>подкаста</w:t>
      </w:r>
      <w:proofErr w:type="spellEnd"/>
      <w:r w:rsidRPr="005069C4">
        <w:t xml:space="preserve">, две международни награди и десет съвместни съобщения, </w:t>
      </w:r>
      <w:proofErr w:type="spellStart"/>
      <w:r w:rsidRPr="005069C4">
        <w:t>стрийминг</w:t>
      </w:r>
      <w:proofErr w:type="spellEnd"/>
      <w:r w:rsidRPr="005069C4">
        <w:t xml:space="preserve"> на седем интервюта </w:t>
      </w:r>
      <w:proofErr w:type="spellStart"/>
      <w:r w:rsidRPr="005069C4">
        <w:rPr>
          <w:i/>
          <w:iCs/>
        </w:rPr>
        <w:t>LearningConnects</w:t>
      </w:r>
      <w:proofErr w:type="spellEnd"/>
      <w:r w:rsidRPr="005069C4">
        <w:t xml:space="preserve"> чрез LIVE и чрез участие в Конференцията на страните по Рамковата конвенция на ООН по изменението на климата, за да представи работата си по зелените умения; отбелязва в този контекст значително увеличение на показателите на Фондацията в социалните медии през 2022 спрямо 2021 г.;</w:t>
      </w:r>
    </w:p>
    <w:p w:rsidR="00932360" w:rsidRPr="005069C4" w:rsidRDefault="00932360" w:rsidP="00932360">
      <w:pPr>
        <w:pStyle w:val="NormalHanging12a"/>
      </w:pPr>
      <w:r w:rsidRPr="005069C4">
        <w:t>31.</w:t>
      </w:r>
      <w:r w:rsidRPr="005069C4">
        <w:tab/>
        <w:t>отново призовава Фондацията да осигури по-голяма прозрачност и публична отчетност чрез по-добро използване на каналите на медиите и социалните медии;</w:t>
      </w:r>
    </w:p>
    <w:p w:rsidR="00932360" w:rsidRPr="005069C4" w:rsidRDefault="00932360" w:rsidP="00932360">
      <w:pPr>
        <w:pStyle w:val="NormalCenter12a"/>
        <w:rPr>
          <w:color w:val="000000" w:themeColor="text1"/>
        </w:rPr>
      </w:pPr>
      <w:r w:rsidRPr="005069C4">
        <w:rPr>
          <w:color w:val="000000" w:themeColor="text1"/>
        </w:rPr>
        <w:t>°</w:t>
      </w:r>
    </w:p>
    <w:p w:rsidR="00932360" w:rsidRPr="005069C4" w:rsidRDefault="00932360" w:rsidP="00932360">
      <w:pPr>
        <w:pStyle w:val="NormalCenter12a"/>
      </w:pPr>
      <w:r w:rsidRPr="005069C4">
        <w:t>°</w:t>
      </w:r>
      <w:r w:rsidRPr="005069C4">
        <w:tab/>
        <w:t>°</w:t>
      </w:r>
    </w:p>
    <w:p w:rsidR="00932360" w:rsidRPr="005069C4" w:rsidRDefault="00932360" w:rsidP="00932360">
      <w:pPr>
        <w:pStyle w:val="NormalHanging12a"/>
        <w:widowControl/>
      </w:pPr>
      <w:r w:rsidRPr="005069C4">
        <w:t>32.</w:t>
      </w:r>
      <w:r w:rsidRPr="005069C4">
        <w:tab/>
        <w:t xml:space="preserve">по отношение на други забележки, придружаващи решението за освобождаване от отговорност, които имат хоризонтален характер, препраща към своята резолюция </w:t>
      </w:r>
      <w:r w:rsidRPr="005069C4">
        <w:lastRenderedPageBreak/>
        <w:t xml:space="preserve">от </w:t>
      </w:r>
      <w:r w:rsidR="00E413D9">
        <w:t>11 април 2024 г.</w:t>
      </w:r>
      <w:r w:rsidRPr="005069C4">
        <w:rPr>
          <w:vertAlign w:val="superscript"/>
        </w:rPr>
        <w:footnoteReference w:id="12"/>
      </w:r>
      <w:r w:rsidRPr="005069C4">
        <w:t xml:space="preserve"> относно резултатите от дейността, финансовото управление и контрола на агенциите.</w:t>
      </w:r>
    </w:p>
    <w:p w:rsidR="00932360" w:rsidRPr="005069C4" w:rsidRDefault="00932360" w:rsidP="00932360"/>
    <w:p w:rsidR="00E365E1" w:rsidRPr="005069C4" w:rsidRDefault="00E365E1" w:rsidP="00932360">
      <w:bookmarkStart w:id="11" w:name="TextBodyEnd"/>
      <w:bookmarkEnd w:id="11"/>
    </w:p>
    <w:sectPr w:rsidR="00E365E1" w:rsidRPr="005069C4" w:rsidSect="005069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F9A" w:rsidRPr="005069C4" w:rsidRDefault="00110F9A">
      <w:r w:rsidRPr="005069C4">
        <w:separator/>
      </w:r>
    </w:p>
  </w:endnote>
  <w:endnote w:type="continuationSeparator" w:id="0">
    <w:p w:rsidR="00110F9A" w:rsidRPr="005069C4" w:rsidRDefault="00110F9A">
      <w:r w:rsidRPr="005069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 w:rsidP="00B511A8">
    <w:pPr>
      <w:pStyle w:val="EPFooter"/>
    </w:pPr>
    <w:r w:rsidRPr="005069C4">
      <w:t>PE</w:t>
    </w:r>
    <w:r w:rsidRPr="005069C4">
      <w:rPr>
        <w:rStyle w:val="HideTWBExt"/>
      </w:rPr>
      <w:t>&lt;NoPE&gt;</w:t>
    </w:r>
    <w:r w:rsidRPr="005069C4">
      <w:t>753.531</w:t>
    </w:r>
    <w:r w:rsidRPr="005069C4">
      <w:rPr>
        <w:rStyle w:val="HideTWBExt"/>
      </w:rPr>
      <w:t>&lt;/NoPE&gt;&lt;Version&gt;</w:t>
    </w:r>
    <w:r w:rsidRPr="005069C4">
      <w:t>v02-00</w:t>
    </w:r>
    <w:r w:rsidRPr="005069C4">
      <w:rPr>
        <w:rStyle w:val="HideTWBExt"/>
      </w:rPr>
      <w:t>&lt;/Version&gt;</w:t>
    </w:r>
    <w:r w:rsidRPr="005069C4">
      <w:tab/>
    </w:r>
    <w:r w:rsidRPr="005069C4">
      <w:fldChar w:fldCharType="begin"/>
    </w:r>
    <w:r w:rsidRPr="005069C4">
      <w:instrText xml:space="preserve"> PAGE  \* MERGEFORMAT </w:instrText>
    </w:r>
    <w:r w:rsidRPr="005069C4">
      <w:fldChar w:fldCharType="separate"/>
    </w:r>
    <w:r w:rsidR="005069C4" w:rsidRPr="005069C4">
      <w:rPr>
        <w:noProof/>
      </w:rPr>
      <w:t>4</w:t>
    </w:r>
    <w:r w:rsidRPr="005069C4">
      <w:fldChar w:fldCharType="end"/>
    </w:r>
    <w:r w:rsidRPr="005069C4">
      <w:t>/</w:t>
    </w:r>
    <w:r w:rsidR="00F52860">
      <w:fldChar w:fldCharType="begin"/>
    </w:r>
    <w:r w:rsidR="00F52860">
      <w:instrText xml:space="preserve"> NUMPAGES  \* MERGEFORMAT </w:instrText>
    </w:r>
    <w:r w:rsidR="00F52860">
      <w:fldChar w:fldCharType="separate"/>
    </w:r>
    <w:r w:rsidR="005069C4" w:rsidRPr="005069C4">
      <w:rPr>
        <w:noProof/>
      </w:rPr>
      <w:t>8</w:t>
    </w:r>
    <w:r w:rsidR="00F52860">
      <w:rPr>
        <w:noProof/>
      </w:rPr>
      <w:fldChar w:fldCharType="end"/>
    </w:r>
    <w:r w:rsidRPr="005069C4">
      <w:tab/>
    </w:r>
    <w:r w:rsidRPr="005069C4">
      <w:rPr>
        <w:rStyle w:val="HideTWBExt"/>
      </w:rPr>
      <w:t>&lt;PathFdR&gt;</w:t>
    </w:r>
    <w:r w:rsidRPr="005069C4">
      <w:t>RR\1298972BG.docx</w:t>
    </w:r>
    <w:r w:rsidRPr="005069C4">
      <w:rPr>
        <w:rStyle w:val="HideTWBExt"/>
      </w:rPr>
      <w:t>&lt;/PathFdR&gt;</w:t>
    </w:r>
  </w:p>
  <w:p w:rsidR="00932360" w:rsidRPr="005069C4" w:rsidRDefault="00932360" w:rsidP="00B511A8">
    <w:pPr>
      <w:pStyle w:val="EPFooter2"/>
    </w:pPr>
    <w:r w:rsidRPr="005069C4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 w:rsidP="00B511A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 w:rsidP="00B511A8">
    <w:pPr>
      <w:pStyle w:val="EPFooter"/>
    </w:pPr>
    <w:r w:rsidRPr="005069C4">
      <w:rPr>
        <w:rStyle w:val="HideTWBExt"/>
      </w:rPr>
      <w:t>&lt;PathFdR&gt;</w:t>
    </w:r>
    <w:r w:rsidRPr="005069C4">
      <w:t>RR\1298972BG.docx</w:t>
    </w:r>
    <w:r w:rsidRPr="005069C4">
      <w:rPr>
        <w:rStyle w:val="HideTWBExt"/>
      </w:rPr>
      <w:t>&lt;/PathFdR&gt;</w:t>
    </w:r>
    <w:r w:rsidRPr="005069C4">
      <w:tab/>
    </w:r>
    <w:r w:rsidRPr="005069C4">
      <w:tab/>
      <w:t>PE</w:t>
    </w:r>
    <w:r w:rsidRPr="005069C4">
      <w:rPr>
        <w:rStyle w:val="HideTWBExt"/>
      </w:rPr>
      <w:t>&lt;NoPE&gt;</w:t>
    </w:r>
    <w:r w:rsidRPr="005069C4">
      <w:t>753.531</w:t>
    </w:r>
    <w:r w:rsidRPr="005069C4">
      <w:rPr>
        <w:rStyle w:val="HideTWBExt"/>
      </w:rPr>
      <w:t>&lt;/NoPE&gt;&lt;Version&gt;</w:t>
    </w:r>
    <w:r w:rsidRPr="005069C4">
      <w:t>v02-00</w:t>
    </w:r>
    <w:r w:rsidRPr="005069C4">
      <w:rPr>
        <w:rStyle w:val="HideTWBExt"/>
      </w:rPr>
      <w:t>&lt;/Version&gt;</w:t>
    </w:r>
  </w:p>
  <w:p w:rsidR="00932360" w:rsidRPr="005069C4" w:rsidRDefault="00932360" w:rsidP="00B511A8">
    <w:pPr>
      <w:pStyle w:val="EPFooter2"/>
    </w:pPr>
    <w:r w:rsidRPr="005069C4">
      <w:t>BG</w:t>
    </w:r>
    <w:r w:rsidRPr="005069C4">
      <w:tab/>
    </w:r>
    <w:r w:rsidRPr="005069C4">
      <w:rPr>
        <w:b w:val="0"/>
        <w:i/>
        <w:color w:val="C0C0C0"/>
        <w:sz w:val="22"/>
      </w:rPr>
      <w:t>Единство в многообразието</w:t>
    </w:r>
    <w:r w:rsidRPr="005069C4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F9A" w:rsidRPr="005069C4" w:rsidRDefault="00110F9A">
      <w:r w:rsidRPr="005069C4">
        <w:separator/>
      </w:r>
    </w:p>
  </w:footnote>
  <w:footnote w:type="continuationSeparator" w:id="0">
    <w:p w:rsidR="00110F9A" w:rsidRPr="005069C4" w:rsidRDefault="00110F9A">
      <w:r w:rsidRPr="005069C4">
        <w:continuationSeparator/>
      </w:r>
    </w:p>
  </w:footnote>
  <w:footnote w:id="1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C, C/2023/594, 27.10.2023 г.</w:t>
      </w:r>
    </w:p>
  </w:footnote>
  <w:footnote w:id="2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C, C/2023/112, 12.10.2023 г.</w:t>
      </w:r>
    </w:p>
  </w:footnote>
  <w:footnote w:id="3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OВ L 193, 30.7.2018 г., стр. 1.</w:t>
      </w:r>
    </w:p>
  </w:footnote>
  <w:footnote w:id="4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OВ L 354, 31.12.2008 г., стр. 82.</w:t>
      </w:r>
    </w:p>
  </w:footnote>
  <w:footnote w:id="5">
    <w:p w:rsidR="00932360" w:rsidRPr="005069C4" w:rsidRDefault="00932360" w:rsidP="005069C4">
      <w:pPr>
        <w:pStyle w:val="FootnoteText"/>
        <w:ind w:left="567" w:hanging="567"/>
        <w:rPr>
          <w:sz w:val="24"/>
          <w:szCs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L 122, 10.5.2019 г., стр. 1.</w:t>
      </w:r>
    </w:p>
  </w:footnote>
  <w:footnote w:id="6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C, C/2023/594, 27.10.2023 г.</w:t>
      </w:r>
    </w:p>
  </w:footnote>
  <w:footnote w:id="7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C, C/2023/112, 12.10.2023 г.</w:t>
      </w:r>
    </w:p>
  </w:footnote>
  <w:footnote w:id="8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OВ L 193, 30.7.2018 г., стр. 1.</w:t>
      </w:r>
    </w:p>
  </w:footnote>
  <w:footnote w:id="9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OВ L 354, 31.12.2008 г., стр. 82.</w:t>
      </w:r>
    </w:p>
  </w:footnote>
  <w:footnote w:id="10">
    <w:p w:rsidR="00932360" w:rsidRPr="005069C4" w:rsidRDefault="00932360" w:rsidP="005069C4">
      <w:pPr>
        <w:pStyle w:val="FootnoteText"/>
        <w:ind w:left="567" w:hanging="567"/>
        <w:rPr>
          <w:sz w:val="24"/>
          <w:szCs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L 122, 10.5.2019 г., стр. 1.</w:t>
      </w:r>
    </w:p>
  </w:footnote>
  <w:footnote w:id="11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ОВ C 38, 31.1.2023 г</w:t>
      </w:r>
      <w:r w:rsidR="00E413D9">
        <w:rPr>
          <w:sz w:val="24"/>
          <w:lang w:val="bg-BG"/>
        </w:rPr>
        <w:t>.</w:t>
      </w:r>
      <w:r w:rsidRPr="005069C4">
        <w:rPr>
          <w:sz w:val="24"/>
          <w:lang w:val="bg-BG"/>
        </w:rPr>
        <w:t>, стр. 13.</w:t>
      </w:r>
    </w:p>
  </w:footnote>
  <w:footnote w:id="12">
    <w:p w:rsidR="00932360" w:rsidRPr="005069C4" w:rsidRDefault="00932360" w:rsidP="005069C4">
      <w:pPr>
        <w:pStyle w:val="FootnoteText"/>
        <w:ind w:left="567" w:hanging="567"/>
        <w:rPr>
          <w:sz w:val="24"/>
          <w:lang w:val="bg-BG"/>
        </w:rPr>
      </w:pPr>
      <w:r w:rsidRPr="005069C4">
        <w:rPr>
          <w:rStyle w:val="FootnoteReference"/>
          <w:sz w:val="24"/>
          <w:lang w:val="bg-BG"/>
        </w:rPr>
        <w:footnoteRef/>
      </w:r>
      <w:r w:rsidR="005069C4" w:rsidRPr="005069C4">
        <w:rPr>
          <w:sz w:val="24"/>
          <w:lang w:val="bg-BG"/>
        </w:rPr>
        <w:t xml:space="preserve"> </w:t>
      </w:r>
      <w:r w:rsidR="005069C4" w:rsidRPr="005069C4">
        <w:rPr>
          <w:sz w:val="24"/>
          <w:lang w:val="bg-BG"/>
        </w:rPr>
        <w:tab/>
      </w:r>
      <w:r w:rsidRPr="005069C4">
        <w:rPr>
          <w:sz w:val="24"/>
          <w:lang w:val="bg-BG"/>
        </w:rPr>
        <w:t>Приети текстове, P9_TA(2024)</w:t>
      </w:r>
      <w:r w:rsidR="008C44E0" w:rsidRPr="00635445">
        <w:rPr>
          <w:sz w:val="24"/>
          <w:lang w:val="bg-BG"/>
        </w:rPr>
        <w:t>0</w:t>
      </w:r>
      <w:r w:rsidR="008C44E0">
        <w:rPr>
          <w:sz w:val="24"/>
          <w:lang w:val="en-GB"/>
        </w:rPr>
        <w:t>28</w:t>
      </w:r>
      <w:r w:rsidR="008C44E0" w:rsidRPr="00635445">
        <w:rPr>
          <w:sz w:val="24"/>
          <w:lang w:val="bg-BG"/>
        </w:rPr>
        <w:t>0</w:t>
      </w:r>
      <w:r w:rsidRPr="005069C4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60" w:rsidRPr="005069C4" w:rsidRDefault="0093236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69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BG"/>
    <w:docVar w:name="dvnumam" w:val="0"/>
    <w:docVar w:name="dvpe" w:val="753.531"/>
    <w:docVar w:name="dvrapporteur" w:val="Докладчик: "/>
    <w:docVar w:name="dvtitre" w:val="Решение на Европейския парламент от ... 2024 г. относно освобождаването от отговорност във връзка с изпълнението на бюджета на Европейската фондация за обучение за финансовата 2022 година(2023/2163(DEC))"/>
  </w:docVars>
  <w:rsids>
    <w:rsidRoot w:val="00110F9A"/>
    <w:rsid w:val="00002272"/>
    <w:rsid w:val="00064002"/>
    <w:rsid w:val="000677B9"/>
    <w:rsid w:val="000831BA"/>
    <w:rsid w:val="000A42CC"/>
    <w:rsid w:val="000E7DD9"/>
    <w:rsid w:val="0010095E"/>
    <w:rsid w:val="00110F9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9C4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4E0"/>
    <w:rsid w:val="00930C23"/>
    <w:rsid w:val="0093193B"/>
    <w:rsid w:val="0093236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3D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86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CFE6A"/>
  <w15:chartTrackingRefBased/>
  <w15:docId w15:val="{AF4DAD17-C1E0-4513-BBA7-23ACEBAD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23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2360"/>
    <w:pPr>
      <w:spacing w:before="480" w:after="240"/>
    </w:pPr>
  </w:style>
  <w:style w:type="paragraph" w:customStyle="1" w:styleId="PageHeading">
    <w:name w:val="PageHeading"/>
    <w:basedOn w:val="Normal"/>
    <w:rsid w:val="009323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2360"/>
    <w:rPr>
      <w:b/>
    </w:rPr>
  </w:style>
  <w:style w:type="paragraph" w:customStyle="1" w:styleId="NormalHanging12a">
    <w:name w:val="NormalHanging12a"/>
    <w:basedOn w:val="Normal"/>
    <w:link w:val="NormalHanging12aChar"/>
    <w:rsid w:val="0093236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32360"/>
    <w:pPr>
      <w:spacing w:after="240"/>
      <w:jc w:val="center"/>
    </w:pPr>
  </w:style>
  <w:style w:type="paragraph" w:styleId="Header">
    <w:name w:val="header"/>
    <w:basedOn w:val="Normal"/>
    <w:link w:val="HeaderChar"/>
    <w:rsid w:val="009323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2360"/>
    <w:rPr>
      <w:sz w:val="24"/>
      <w:lang w:val="bg-BG"/>
    </w:rPr>
  </w:style>
  <w:style w:type="paragraph" w:customStyle="1" w:styleId="EPFooter">
    <w:name w:val="EPFooter"/>
    <w:basedOn w:val="Normal"/>
    <w:rsid w:val="009323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932360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932360"/>
  </w:style>
  <w:style w:type="character" w:customStyle="1" w:styleId="NormalHanging12aChar">
    <w:name w:val="NormalHanging12a Char"/>
    <w:link w:val="NormalHanging12a"/>
    <w:locked/>
    <w:rsid w:val="00932360"/>
    <w:rPr>
      <w:sz w:val="24"/>
      <w:lang w:val="bg-BG"/>
    </w:rPr>
  </w:style>
  <w:style w:type="paragraph" w:styleId="BalloonText">
    <w:name w:val="Balloon Text"/>
    <w:basedOn w:val="Normal"/>
    <w:link w:val="BalloonTextChar"/>
    <w:rsid w:val="00E413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13D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3B845-DE3B-473B-8D8B-349F4655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3402</Words>
  <Characters>19714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2024-04-11T10:54:00Z</dcterms:created>
  <dcterms:modified xsi:type="dcterms:W3CDTF">2024-04-11T10:54:00Z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A9-0114/2024</vt:lpwstr>
  </property>
  <property fmtid="{D5CDD505-2E9C-101B-9397-08002B2CF9AE}" pid="4" name="&lt;Type&gt;">
    <vt:lpwstr>RR</vt:lpwstr>
  </property>
</Properties>
</file>