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50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5012" w:rsidRDefault="00D7455B" w:rsidP="0010095E">
            <w:pPr>
              <w:pStyle w:val="EPName"/>
            </w:pPr>
            <w:r w:rsidRPr="006F5012">
              <w:t>Europski parlament</w:t>
            </w:r>
          </w:p>
          <w:p w:rsidR="00751A4A" w:rsidRPr="006F50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501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F5012" w:rsidRDefault="00187494" w:rsidP="0010095E">
            <w:pPr>
              <w:pStyle w:val="EPLogo"/>
            </w:pPr>
            <w:r w:rsidRPr="006F501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5012" w:rsidRDefault="00D058B8" w:rsidP="004C5D52">
      <w:pPr>
        <w:pStyle w:val="LineTop"/>
      </w:pPr>
    </w:p>
    <w:p w:rsidR="00680577" w:rsidRPr="006F5012" w:rsidRDefault="00D7455B" w:rsidP="00680577">
      <w:pPr>
        <w:pStyle w:val="EPBodyTA1"/>
      </w:pPr>
      <w:r w:rsidRPr="006F5012">
        <w:t>USVOJENI TEKSTOVI</w:t>
      </w:r>
    </w:p>
    <w:p w:rsidR="00D058B8" w:rsidRPr="006F5012" w:rsidRDefault="00D058B8" w:rsidP="00D058B8">
      <w:pPr>
        <w:pStyle w:val="LineBottom"/>
      </w:pPr>
    </w:p>
    <w:p w:rsidR="00D7455B" w:rsidRPr="006F5012" w:rsidRDefault="00D7455B" w:rsidP="00D7455B">
      <w:pPr>
        <w:pStyle w:val="ATHeading1"/>
      </w:pPr>
      <w:bookmarkStart w:id="0" w:name="TANumber"/>
      <w:r w:rsidRPr="006F5012">
        <w:t>P9_TA(2024)0</w:t>
      </w:r>
      <w:bookmarkEnd w:id="0"/>
      <w:r w:rsidR="00317F2B" w:rsidRPr="006F5012">
        <w:t>247</w:t>
      </w:r>
    </w:p>
    <w:p w:rsidR="00D7455B" w:rsidRPr="006F5012" w:rsidRDefault="00D7455B" w:rsidP="00D7455B">
      <w:pPr>
        <w:pStyle w:val="ATHeading2"/>
      </w:pPr>
      <w:bookmarkStart w:id="1" w:name="title"/>
      <w:r w:rsidRPr="006F5012">
        <w:t>Razrješnica za 2022.: Europska zaklada za osposobljavanje</w:t>
      </w:r>
      <w:bookmarkEnd w:id="1"/>
    </w:p>
    <w:p w:rsidR="00D7455B" w:rsidRPr="006F5012" w:rsidRDefault="00D7455B" w:rsidP="00D7455B">
      <w:pPr>
        <w:rPr>
          <w:i/>
          <w:vanish/>
        </w:rPr>
      </w:pPr>
      <w:r w:rsidRPr="006F5012">
        <w:rPr>
          <w:i/>
        </w:rPr>
        <w:fldChar w:fldCharType="begin"/>
      </w:r>
      <w:r w:rsidRPr="006F5012">
        <w:rPr>
          <w:i/>
        </w:rPr>
        <w:instrText xml:space="preserve"> TC"(</w:instrText>
      </w:r>
      <w:bookmarkStart w:id="2" w:name="DocNumber"/>
      <w:r w:rsidRPr="006F5012">
        <w:rPr>
          <w:i/>
        </w:rPr>
        <w:instrText>A9-0114/2024</w:instrText>
      </w:r>
      <w:bookmarkEnd w:id="2"/>
      <w:r w:rsidRPr="006F5012">
        <w:rPr>
          <w:i/>
        </w:rPr>
        <w:instrText xml:space="preserve"> - Izvjestitelj: Petri </w:instrText>
      </w:r>
      <w:proofErr w:type="spellStart"/>
      <w:r w:rsidRPr="006F5012">
        <w:rPr>
          <w:i/>
        </w:rPr>
        <w:instrText>Sarvamaa</w:instrText>
      </w:r>
      <w:proofErr w:type="spellEnd"/>
      <w:r w:rsidRPr="006F5012">
        <w:rPr>
          <w:i/>
        </w:rPr>
        <w:instrText xml:space="preserve">)"\l3 \n&gt; \* MERGEFORMAT </w:instrText>
      </w:r>
      <w:r w:rsidRPr="006F5012">
        <w:rPr>
          <w:i/>
        </w:rPr>
        <w:fldChar w:fldCharType="end"/>
      </w:r>
    </w:p>
    <w:p w:rsidR="00D7455B" w:rsidRPr="006F5012" w:rsidRDefault="00D7455B" w:rsidP="00D7455B">
      <w:pPr>
        <w:rPr>
          <w:vanish/>
        </w:rPr>
      </w:pPr>
      <w:bookmarkStart w:id="3" w:name="Commission"/>
      <w:r w:rsidRPr="006F5012">
        <w:rPr>
          <w:vanish/>
        </w:rPr>
        <w:t>Odbor za proračunski nadzor</w:t>
      </w:r>
      <w:bookmarkEnd w:id="3"/>
    </w:p>
    <w:p w:rsidR="00D7455B" w:rsidRPr="006F5012" w:rsidRDefault="00D7455B" w:rsidP="00D7455B">
      <w:pPr>
        <w:rPr>
          <w:vanish/>
        </w:rPr>
      </w:pPr>
      <w:bookmarkStart w:id="4" w:name="PE"/>
      <w:r w:rsidRPr="006F5012">
        <w:rPr>
          <w:vanish/>
        </w:rPr>
        <w:t>PE753.531</w:t>
      </w:r>
      <w:bookmarkEnd w:id="4"/>
    </w:p>
    <w:p w:rsidR="00D7455B" w:rsidRPr="006F5012" w:rsidRDefault="007C5785" w:rsidP="00D7455B">
      <w:pPr>
        <w:pStyle w:val="ATHeading3"/>
      </w:pPr>
      <w:bookmarkStart w:id="5" w:name="Sujet"/>
      <w:r w:rsidRPr="006F5012">
        <w:t xml:space="preserve">1. </w:t>
      </w:r>
      <w:r w:rsidR="00D7455B" w:rsidRPr="006F5012">
        <w:t xml:space="preserve">Odluka Europskog parlamenta od </w:t>
      </w:r>
      <w:r w:rsidRPr="006F5012">
        <w:t>11. travnja</w:t>
      </w:r>
      <w:r w:rsidR="00D7455B" w:rsidRPr="006F5012">
        <w:t xml:space="preserve"> 2024. o razrješnici za izvršenje proračuna Europske zaklade za osposobljavanje za financijsku godinu 2022.</w:t>
      </w:r>
      <w:bookmarkEnd w:id="5"/>
      <w:r w:rsidR="00D7455B" w:rsidRPr="006F5012">
        <w:t xml:space="preserve"> </w:t>
      </w:r>
      <w:bookmarkStart w:id="6" w:name="References"/>
      <w:r w:rsidR="00D7455B" w:rsidRPr="006F5012">
        <w:t>(2023/2163(DEC))</w:t>
      </w:r>
      <w:bookmarkEnd w:id="6"/>
    </w:p>
    <w:p w:rsidR="00C37524" w:rsidRPr="006F5012" w:rsidRDefault="00C37524" w:rsidP="00C37524">
      <w:pPr>
        <w:pStyle w:val="EPComma"/>
      </w:pPr>
      <w:bookmarkStart w:id="7" w:name="TextBodyBegin"/>
      <w:bookmarkEnd w:id="7"/>
      <w:r w:rsidRPr="006F5012">
        <w:rPr>
          <w:i/>
        </w:rPr>
        <w:t>Europski parlament</w:t>
      </w:r>
      <w:r w:rsidRPr="006F5012">
        <w:t>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završnu godišnju računovodstvenu dokumentaciju Europske zaklade za osposobljavanje za financijsku godinu 2022.,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godišnje izvješće Revizorskog suda o agencijama EU-a za financijsku godinu 2022., kojemu su priloženi odgovori agencija</w:t>
      </w:r>
      <w:r w:rsidRPr="006F5012">
        <w:rPr>
          <w:rStyle w:val="FootnoteReference"/>
        </w:rPr>
        <w:footnoteReference w:id="1"/>
      </w:r>
      <w:r w:rsidRPr="006F5012">
        <w:t>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izjavu o jamstvu</w:t>
      </w:r>
      <w:r w:rsidRPr="006F5012">
        <w:rPr>
          <w:rStyle w:val="FootnoteReference"/>
        </w:rPr>
        <w:footnoteReference w:id="2"/>
      </w:r>
      <w:r w:rsidRPr="006F5012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preporuku Vijeća od 22. veljače 2024. o razrješnici koju Zaklada treba dobiti za izvršenje proračuna za financijsku godinu 2022. (0</w:t>
      </w:r>
      <w:r w:rsidR="007C5785" w:rsidRPr="006F5012">
        <w:t>6180</w:t>
      </w:r>
      <w:r w:rsidRPr="006F5012">
        <w:t>/2024 – C9</w:t>
      </w:r>
      <w:r w:rsidRPr="006F5012">
        <w:noBreakHyphen/>
        <w:t>0</w:t>
      </w:r>
      <w:r w:rsidR="007C5785" w:rsidRPr="006F5012">
        <w:t>1</w:t>
      </w:r>
      <w:r w:rsidRPr="006F5012">
        <w:t>0</w:t>
      </w:r>
      <w:r w:rsidR="007C5785" w:rsidRPr="006F5012">
        <w:t>1</w:t>
      </w:r>
      <w:r w:rsidRPr="006F5012">
        <w:t>/2024),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članak 319. Ugovora o funkcioniranju Europske unije,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6F5012">
        <w:rPr>
          <w:rStyle w:val="FootnoteReference"/>
        </w:rPr>
        <w:footnoteReference w:id="3"/>
      </w:r>
      <w:r w:rsidRPr="006F5012">
        <w:t>, a posebno njezin članak 70.,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 xml:space="preserve">uzimajući u obzir Uredbu (EZ) br. 1339/2008 Europskog parlamenta i Vijeća od </w:t>
      </w:r>
      <w:r w:rsidRPr="006F5012">
        <w:lastRenderedPageBreak/>
        <w:t>16. prosinca 2008. o osnivanju Europske zaklade za osposobljavanje</w:t>
      </w:r>
      <w:r w:rsidRPr="006F5012">
        <w:rPr>
          <w:rStyle w:val="FootnoteReference"/>
        </w:rPr>
        <w:footnoteReference w:id="4"/>
      </w:r>
      <w:r w:rsidRPr="006F5012">
        <w:t>, a posebno njezin članak 17.,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6F5012">
        <w:t>Euratomu</w:t>
      </w:r>
      <w:proofErr w:type="spellEnd"/>
      <w:r w:rsidRPr="006F5012">
        <w:t xml:space="preserve"> na koja se upućuje u članku 70. Uredbe (EU, Euratom) 2018/1046 Europskog parlamenta i Vijeća</w:t>
      </w:r>
      <w:r w:rsidRPr="006F5012">
        <w:rPr>
          <w:rStyle w:val="FootnoteReference"/>
        </w:rPr>
        <w:footnoteReference w:id="5"/>
      </w:r>
      <w:r w:rsidRPr="006F5012">
        <w:t>, a posebno njezin članak 105.,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članak 100. Poslovnika i Prilog V. Poslovniku,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mišljenje Odbora za zapošljavanje i socijalna pitanja,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izvješće Odbora za proračunski nadzor (A9</w:t>
      </w:r>
      <w:r w:rsidRPr="006F5012">
        <w:noBreakHyphen/>
        <w:t>0114/2024),</w:t>
      </w:r>
    </w:p>
    <w:p w:rsidR="00C37524" w:rsidRPr="006F5012" w:rsidRDefault="00C37524" w:rsidP="00C37524">
      <w:pPr>
        <w:pStyle w:val="NormalHanging12a"/>
      </w:pPr>
      <w:r w:rsidRPr="006F5012">
        <w:t>1.</w:t>
      </w:r>
      <w:r w:rsidRPr="006F5012">
        <w:tab/>
        <w:t>daje razrješnicu direktorici Europske zaklade za osposobljavanje za izvršenje proračuna Zaklade za financijsku godinu 2022.;</w:t>
      </w:r>
    </w:p>
    <w:p w:rsidR="00C37524" w:rsidRPr="006F5012" w:rsidRDefault="00C37524" w:rsidP="00C37524">
      <w:pPr>
        <w:pStyle w:val="NormalHanging12a"/>
      </w:pPr>
      <w:r w:rsidRPr="006F5012">
        <w:t>2.</w:t>
      </w:r>
      <w:r w:rsidRPr="006F5012">
        <w:tab/>
        <w:t>iznosi svoje primjedbe u Rezoluciji u nastavku;</w:t>
      </w:r>
    </w:p>
    <w:p w:rsidR="00C37524" w:rsidRPr="006F5012" w:rsidRDefault="00C37524" w:rsidP="00C37524">
      <w:pPr>
        <w:pStyle w:val="NormalHanging12a"/>
      </w:pPr>
      <w:r w:rsidRPr="006F5012">
        <w:t>3.</w:t>
      </w:r>
      <w:r w:rsidRPr="006F5012">
        <w:tab/>
        <w:t xml:space="preserve">nalaže svojoj predsjednici da ovu Odluku i Rezoluciju, koja je njezin sastavni dio, proslijedi direktorici Europske zaklade za osposobljavanje, Vijeću, Komisiji i Revizorskom sudu te da ih da na objavu u </w:t>
      </w:r>
      <w:r w:rsidRPr="006F5012">
        <w:rPr>
          <w:i/>
        </w:rPr>
        <w:t>Službenom listu Europske unije</w:t>
      </w:r>
      <w:r w:rsidRPr="006F5012">
        <w:t xml:space="preserve"> (serija L).</w:t>
      </w:r>
    </w:p>
    <w:p w:rsidR="00C37524" w:rsidRPr="006F5012" w:rsidRDefault="00C37524" w:rsidP="00C37524"/>
    <w:p w:rsidR="00C37524" w:rsidRPr="006F5012" w:rsidRDefault="00C37524" w:rsidP="00C37524">
      <w:pPr>
        <w:pStyle w:val="PageHeading"/>
        <w:sectPr w:rsidR="00C37524" w:rsidRPr="006F5012" w:rsidSect="0051521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37524" w:rsidRPr="006F5012" w:rsidRDefault="007C5785" w:rsidP="007C5785">
      <w:pPr>
        <w:pStyle w:val="PageHeading"/>
        <w:jc w:val="left"/>
        <w:rPr>
          <w:rFonts w:ascii="Times New Roman" w:hAnsi="Times New Roman" w:cs="Times New Roman"/>
        </w:rPr>
      </w:pPr>
      <w:bookmarkStart w:id="8" w:name="_Toc161915285"/>
      <w:r w:rsidRPr="006F5012">
        <w:rPr>
          <w:rFonts w:ascii="Times New Roman" w:hAnsi="Times New Roman" w:cs="Times New Roman"/>
        </w:rPr>
        <w:lastRenderedPageBreak/>
        <w:t>2. Odluka Europskog parlamenta</w:t>
      </w:r>
      <w:bookmarkEnd w:id="8"/>
      <w:r w:rsidRPr="006F5012">
        <w:rPr>
          <w:rFonts w:ascii="Times New Roman" w:hAnsi="Times New Roman" w:cs="Times New Roman"/>
        </w:rPr>
        <w:t xml:space="preserve"> od 11. travnja 2024. </w:t>
      </w:r>
      <w:r w:rsidR="00C37524" w:rsidRPr="006F5012">
        <w:rPr>
          <w:rFonts w:ascii="Times New Roman" w:hAnsi="Times New Roman" w:cs="Times New Roman"/>
        </w:rPr>
        <w:t>o zaključenju poslovnih knjiga Europske zaklade za osposobljavanje za financijsku godinu 2022.</w:t>
      </w:r>
      <w:r w:rsidRPr="006F5012">
        <w:rPr>
          <w:rFonts w:ascii="Times New Roman" w:hAnsi="Times New Roman" w:cs="Times New Roman"/>
        </w:rPr>
        <w:t xml:space="preserve"> </w:t>
      </w:r>
      <w:r w:rsidR="00C37524" w:rsidRPr="006F5012">
        <w:rPr>
          <w:rFonts w:ascii="Times New Roman" w:hAnsi="Times New Roman" w:cs="Times New Roman"/>
        </w:rPr>
        <w:t>(2023/2163(DEC))</w:t>
      </w:r>
    </w:p>
    <w:p w:rsidR="00C37524" w:rsidRPr="006F5012" w:rsidRDefault="00C37524" w:rsidP="00C37524">
      <w:pPr>
        <w:pStyle w:val="EPComma"/>
      </w:pPr>
      <w:r w:rsidRPr="006F5012">
        <w:rPr>
          <w:i/>
        </w:rPr>
        <w:t>Europski parlament</w:t>
      </w:r>
      <w:r w:rsidRPr="006F5012">
        <w:t>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završnu godišnju računovodstvenu dokumentaciju Europske zaklade za osposobljavanje za financijsku godinu 2022.,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godišnje izvješće Revizorskog suda o agencijama EU-a za financijsku godinu 2022., kojemu su priloženi odgovori agencija</w:t>
      </w:r>
      <w:r w:rsidRPr="006F5012">
        <w:rPr>
          <w:rStyle w:val="FootnoteReference"/>
        </w:rPr>
        <w:footnoteReference w:id="6"/>
      </w:r>
      <w:r w:rsidRPr="006F5012">
        <w:t>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izjavu o jamstvu</w:t>
      </w:r>
      <w:r w:rsidRPr="006F5012">
        <w:rPr>
          <w:rStyle w:val="FootnoteReference"/>
        </w:rPr>
        <w:footnoteReference w:id="7"/>
      </w:r>
      <w:r w:rsidRPr="006F5012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preporuku Vijeća od 22. veljače 2024. o razrješnici koju Zaklada treba dobiti za izvršenje proračuna za financijsku godinu 2022. (0</w:t>
      </w:r>
      <w:r w:rsidR="007C5785" w:rsidRPr="006F5012">
        <w:t>6180</w:t>
      </w:r>
      <w:r w:rsidRPr="006F5012">
        <w:t>/2024 – C9</w:t>
      </w:r>
      <w:r w:rsidRPr="006F5012">
        <w:noBreakHyphen/>
        <w:t>0</w:t>
      </w:r>
      <w:r w:rsidR="007C5785" w:rsidRPr="006F5012">
        <w:t>1</w:t>
      </w:r>
      <w:r w:rsidRPr="006F5012">
        <w:t>0</w:t>
      </w:r>
      <w:r w:rsidR="007C5785" w:rsidRPr="006F5012">
        <w:t>1</w:t>
      </w:r>
      <w:r w:rsidRPr="006F5012">
        <w:t>/2024),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članak 319. Ugovora o funkcioniranju Europske unije,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6F5012">
        <w:rPr>
          <w:rStyle w:val="FootnoteReference"/>
        </w:rPr>
        <w:footnoteReference w:id="8"/>
      </w:r>
      <w:r w:rsidRPr="006F5012">
        <w:t>, a posebno njezin članak 70.,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Uredbu (EZ) br. 1339/2008 Europskog parlamenta i Vijeća od 16. prosinca 2008. o osnivanju Europske zaklade za osposobljavanje</w:t>
      </w:r>
      <w:r w:rsidRPr="006F5012">
        <w:rPr>
          <w:rStyle w:val="FootnoteReference"/>
        </w:rPr>
        <w:footnoteReference w:id="9"/>
      </w:r>
      <w:r w:rsidRPr="006F5012">
        <w:t>, a posebno njezin članak 17.,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6F5012">
        <w:t>Euratomu</w:t>
      </w:r>
      <w:proofErr w:type="spellEnd"/>
      <w:r w:rsidRPr="006F5012">
        <w:t xml:space="preserve"> na koja se upućuje u članku 70. Uredbe (EU, Euratom) 2018/1046 Europskog parlamenta i Vijeća</w:t>
      </w:r>
      <w:r w:rsidRPr="006F5012">
        <w:rPr>
          <w:rStyle w:val="FootnoteReference"/>
        </w:rPr>
        <w:footnoteReference w:id="10"/>
      </w:r>
      <w:r w:rsidRPr="006F5012">
        <w:t>, a posebno njezin članak 105.,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članak 100. Poslovnika i Prilog V. Poslovniku,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mišljenje Odbora za zapošljavanje i socijalna pitanja,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izvješće Odbora za proračunski nadzor (A9</w:t>
      </w:r>
      <w:r w:rsidRPr="006F5012">
        <w:noBreakHyphen/>
        <w:t>0114/2024),</w:t>
      </w:r>
    </w:p>
    <w:p w:rsidR="00C37524" w:rsidRPr="006F5012" w:rsidRDefault="00C37524" w:rsidP="00C37524">
      <w:pPr>
        <w:pStyle w:val="NormalHanging12a"/>
      </w:pPr>
      <w:r w:rsidRPr="006F5012">
        <w:t>1.</w:t>
      </w:r>
      <w:r w:rsidRPr="006F5012">
        <w:tab/>
        <w:t>odobrava zaključenje poslovnih knjiga Europske zaklade za osposobljavanje za financijsku godinu 2022.;</w:t>
      </w:r>
    </w:p>
    <w:p w:rsidR="00C37524" w:rsidRPr="006F5012" w:rsidRDefault="00C37524" w:rsidP="00C37524">
      <w:pPr>
        <w:pStyle w:val="NormalHanging12a"/>
      </w:pPr>
      <w:r w:rsidRPr="006F5012">
        <w:lastRenderedPageBreak/>
        <w:t>2.</w:t>
      </w:r>
      <w:r w:rsidRPr="006F5012">
        <w:tab/>
        <w:t xml:space="preserve">nalaže svojoj predsjednici da ovu Odluku proslijedi direktorici Europske zaklade za osposobljavanje, Vijeću, Komisiji i Revizorskom sudu te da je da na objavu u </w:t>
      </w:r>
      <w:r w:rsidRPr="006F5012">
        <w:rPr>
          <w:i/>
        </w:rPr>
        <w:t>Službenom listu Europske unije</w:t>
      </w:r>
      <w:r w:rsidRPr="006F5012">
        <w:t xml:space="preserve"> (serija L).</w:t>
      </w:r>
    </w:p>
    <w:p w:rsidR="00C37524" w:rsidRPr="006F5012" w:rsidRDefault="00C37524" w:rsidP="00C37524"/>
    <w:p w:rsidR="00C37524" w:rsidRPr="006F5012" w:rsidRDefault="00C37524" w:rsidP="00C37524">
      <w:pPr>
        <w:pStyle w:val="PageHeading"/>
        <w:sectPr w:rsidR="00C37524" w:rsidRPr="006F5012" w:rsidSect="0051521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C37524" w:rsidRPr="006F5012" w:rsidRDefault="007C5785" w:rsidP="007C5785">
      <w:pPr>
        <w:pStyle w:val="PageHeading"/>
        <w:jc w:val="left"/>
        <w:rPr>
          <w:rFonts w:ascii="Times New Roman" w:hAnsi="Times New Roman" w:cs="Times New Roman"/>
        </w:rPr>
      </w:pPr>
      <w:bookmarkStart w:id="9" w:name="_Toc161915286"/>
      <w:r w:rsidRPr="006F5012">
        <w:rPr>
          <w:rFonts w:ascii="Times New Roman" w:hAnsi="Times New Roman" w:cs="Times New Roman"/>
        </w:rPr>
        <w:lastRenderedPageBreak/>
        <w:t>3. Rezolucija Europskog parlamenta</w:t>
      </w:r>
      <w:bookmarkEnd w:id="9"/>
      <w:r w:rsidRPr="006F5012">
        <w:rPr>
          <w:rFonts w:ascii="Times New Roman" w:hAnsi="Times New Roman" w:cs="Times New Roman"/>
        </w:rPr>
        <w:t xml:space="preserve"> od 11. travnja 2024. </w:t>
      </w:r>
      <w:r w:rsidR="00C37524" w:rsidRPr="006F5012">
        <w:rPr>
          <w:rFonts w:ascii="Times New Roman" w:hAnsi="Times New Roman" w:cs="Times New Roman"/>
        </w:rPr>
        <w:t>s primjedbama koje su sastavni dio Odluke o razrješnici za izvršenje proračuna Europske zaklade za osposobljavanje za financijsku godinu 2022.</w:t>
      </w:r>
      <w:r w:rsidRPr="006F5012">
        <w:rPr>
          <w:rFonts w:ascii="Times New Roman" w:hAnsi="Times New Roman" w:cs="Times New Roman"/>
        </w:rPr>
        <w:t xml:space="preserve"> </w:t>
      </w:r>
      <w:r w:rsidR="00C37524" w:rsidRPr="006F5012">
        <w:rPr>
          <w:rFonts w:ascii="Times New Roman" w:hAnsi="Times New Roman" w:cs="Times New Roman"/>
        </w:rPr>
        <w:t>(2023/2163(DEC))</w:t>
      </w:r>
    </w:p>
    <w:p w:rsidR="00C37524" w:rsidRPr="006F5012" w:rsidRDefault="00C37524" w:rsidP="00C37524">
      <w:pPr>
        <w:pStyle w:val="EPComma"/>
      </w:pPr>
      <w:r w:rsidRPr="006F5012">
        <w:rPr>
          <w:i/>
        </w:rPr>
        <w:t>Europski parlament</w:t>
      </w:r>
      <w:r w:rsidRPr="006F5012">
        <w:t>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svoju Odluku o razrješnici za izvršenje proračuna Europske zaklade za osposobljavanje za financijsku godinu 2022.,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članak 100. Poslovnika i Prilog V. Poslovniku,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mišljenje Odbora za zapošljavanje i socijalna pitanja,</w:t>
      </w:r>
    </w:p>
    <w:p w:rsidR="00C37524" w:rsidRPr="006F5012" w:rsidRDefault="00C37524" w:rsidP="00C37524">
      <w:pPr>
        <w:pStyle w:val="NormalHanging12a"/>
      </w:pPr>
      <w:r w:rsidRPr="006F5012">
        <w:t>–</w:t>
      </w:r>
      <w:r w:rsidRPr="006F5012">
        <w:tab/>
        <w:t>uzimajući u obzir izvješće Odbora za proračunski nadzor (A9</w:t>
      </w:r>
      <w:r w:rsidRPr="006F5012">
        <w:noBreakHyphen/>
        <w:t>0114/2024),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A.</w:t>
      </w:r>
      <w:r w:rsidRPr="006F5012">
        <w:tab/>
        <w:t>budući da je prema izvještaju o prihodima i rashodima</w:t>
      </w:r>
      <w:r w:rsidRPr="006F5012">
        <w:rPr>
          <w:rStyle w:val="FootnoteReference"/>
          <w:szCs w:val="24"/>
        </w:rPr>
        <w:footnoteReference w:id="11"/>
      </w:r>
      <w:r w:rsidRPr="006F5012">
        <w:t xml:space="preserve"> Europske zaklade za osposobljavanje („Zaklada”) za financijsku godinu 2022. njezin konačni proračun iznosio 25 051 848 EUR, što je povećanje od 17,05 % u odnosu na 2021. godinu; budući da se proračun Zaklade u potpunosti financira iz proračuna Unije;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B.</w:t>
      </w:r>
      <w:r w:rsidRPr="006F5012">
        <w:tab/>
        <w:t>budući da je Revizorski sud u svojem izvješću o godišnjoj računovodstvenoj dokumentaciji Zaklade za financijsku godinu 2022. („izvješće Revizorskog suda”) izjavio da je dobio razumno jamstvo da je godišnja računovodstvena dokumentacija Zaklade pouzdana te da su temeljne transakcije zakonite i pravilne;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t>Upravljanje proračunom i financijama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1.</w:t>
      </w:r>
      <w:r w:rsidRPr="006F5012">
        <w:tab/>
        <w:t>sa zadovoljstvom napominje da je praćenje proračuna tijekom financijske godine 2022. rezultiralo visokom stopom izvršenja proračuna od 99,98 %, što je neznatno povećanje od 0,07 % u odnosu na 2021.; ukazuje na činjenicu da je stopa izvršenja odobrenih sredstava za plaćanje iznosila 97,70 %, što je povećanje od 11,48 % u odnosu na 2021.;</w:t>
      </w:r>
    </w:p>
    <w:p w:rsidR="00C37524" w:rsidRPr="006F5012" w:rsidRDefault="00C37524" w:rsidP="00C37524">
      <w:pPr>
        <w:pStyle w:val="NormalHanging12a"/>
      </w:pPr>
      <w:r w:rsidRPr="006F5012">
        <w:t>2.</w:t>
      </w:r>
      <w:r w:rsidRPr="006F5012">
        <w:tab/>
        <w:t>pozdravlja činjenicu da je Zaklada unatoč proračunskoj krizi uzrokovanoj inflacijom i cijenama komunalnih usluga 2022. uspjela učinkovito upravljati svojim troškovima, uvesti mjere za uštedu troškova i ponovno odrediti prioritete bez većih poremećaja u svom programu rada;</w:t>
      </w:r>
    </w:p>
    <w:p w:rsidR="00C37524" w:rsidRPr="006F5012" w:rsidRDefault="00C37524" w:rsidP="00C37524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6F5012">
        <w:rPr>
          <w:b/>
          <w:i/>
        </w:rPr>
        <w:t>Uspješnost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3.</w:t>
      </w:r>
      <w:r w:rsidRPr="006F5012">
        <w:tab/>
        <w:t>sa zadovoljstvom primjećuje da Zaklada primjenjuje određene mjere kao ključne pokazatelje uspješnosti kako bi procijenila dodane vrijednosti svojih aktivnosti i druge mjere za poboljšanje upravljanja proračunom;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4.</w:t>
      </w:r>
      <w:r w:rsidRPr="006F5012">
        <w:tab/>
        <w:t>konstatira da je Zaklada ostvarila stopu izvršenja aktivnosti od 93 %, što predstavlja neznatno smanjenje u odnosu na 2021., uz stopu pravodobnog dovršenja od 89 %; pohvaljuje činjenicu da je Zaklada ispunila sve ključne pokazatelje uspješnosti i premašila postavljene ciljeve;</w:t>
      </w:r>
    </w:p>
    <w:p w:rsidR="00C37524" w:rsidRPr="006F5012" w:rsidRDefault="00C37524" w:rsidP="00C37524">
      <w:pPr>
        <w:pStyle w:val="Normal12Hanging"/>
      </w:pPr>
      <w:r w:rsidRPr="006F5012">
        <w:t>5.</w:t>
      </w:r>
      <w:r w:rsidRPr="006F5012">
        <w:tab/>
        <w:t xml:space="preserve">prima na znanje ključna postignuća Zaklade iz 2022., koja se temelje na trima </w:t>
      </w:r>
      <w:r w:rsidRPr="006F5012">
        <w:lastRenderedPageBreak/>
        <w:t>strateškim ciljevima: relevantnost i predviđanje vještina, razvoj i vrednovanje vještina te uspješnost i kvaliteta politika obrazovanja i osposobljavanja; napominje da Zaklada ostvaruje te ciljeve u okviru triju osnovnih usluga: centar znanja, praćenje i procjena te savjetovanje o politikama;</w:t>
      </w:r>
    </w:p>
    <w:p w:rsidR="00C37524" w:rsidRPr="006F5012" w:rsidRDefault="00C37524" w:rsidP="00C37524">
      <w:pPr>
        <w:pStyle w:val="Normal12Hanging"/>
      </w:pPr>
      <w:r w:rsidRPr="006F5012">
        <w:t>6.</w:t>
      </w:r>
      <w:r w:rsidRPr="006F5012">
        <w:tab/>
        <w:t>prima na znanje nove inicijative koje je Zaklada pokrenula 2022., kao što su nova inicijativa skupine Team Europe u južnom i istočnom Sredozemlju i mreža koja okuplja „</w:t>
      </w:r>
      <w:proofErr w:type="spellStart"/>
      <w:r w:rsidRPr="006F5012">
        <w:t>Governance</w:t>
      </w:r>
      <w:proofErr w:type="spellEnd"/>
      <w:r w:rsidRPr="006F5012">
        <w:t xml:space="preserve"> </w:t>
      </w:r>
      <w:proofErr w:type="spellStart"/>
      <w:r w:rsidRPr="006F5012">
        <w:t>Learning</w:t>
      </w:r>
      <w:proofErr w:type="spellEnd"/>
      <w:r w:rsidRPr="006F5012">
        <w:t xml:space="preserve"> </w:t>
      </w:r>
      <w:proofErr w:type="spellStart"/>
      <w:r w:rsidRPr="006F5012">
        <w:t>Action</w:t>
      </w:r>
      <w:proofErr w:type="spellEnd"/>
      <w:r w:rsidRPr="006F5012">
        <w:t xml:space="preserve"> </w:t>
      </w:r>
      <w:proofErr w:type="spellStart"/>
      <w:r w:rsidRPr="006F5012">
        <w:t>and</w:t>
      </w:r>
      <w:proofErr w:type="spellEnd"/>
      <w:r w:rsidRPr="006F5012">
        <w:t xml:space="preserve"> </w:t>
      </w:r>
      <w:proofErr w:type="spellStart"/>
      <w:r w:rsidRPr="006F5012">
        <w:t>Dialogue</w:t>
      </w:r>
      <w:proofErr w:type="spellEnd"/>
      <w:r w:rsidRPr="006F5012">
        <w:t>” (GLAD) (Upravljanje, učenje, djelovanje i dijalog); prima na znanje njezinu mrežu izvrsnosti i internetsku konferenciju u organizaciji ENE-a održanu u studenome 2022., koja je sudionicima pružila priliku za razmjenu informacija o razvoju i rezultatima rada tematskog partnerstva;</w:t>
      </w:r>
    </w:p>
    <w:p w:rsidR="00C37524" w:rsidRPr="006F5012" w:rsidRDefault="00C37524" w:rsidP="00C37524">
      <w:pPr>
        <w:pStyle w:val="NormalHanging12a"/>
      </w:pPr>
      <w:r w:rsidRPr="006F5012">
        <w:t>7.</w:t>
      </w:r>
      <w:r w:rsidRPr="006F5012">
        <w:tab/>
        <w:t xml:space="preserve">ističe da Zaklada podupire </w:t>
      </w:r>
      <w:proofErr w:type="spellStart"/>
      <w:r w:rsidRPr="006F5012">
        <w:t>Moldovu</w:t>
      </w:r>
      <w:proofErr w:type="spellEnd"/>
      <w:r w:rsidRPr="006F5012">
        <w:t>, Gruziju i Ukrajinu, kao države kandidatkinje, u njihovim težnjama da svoje politike obrazovanja i zapošljavanja usklade s politikama Unije na način da njihovim nacionalnim tijelima u bliskoj suradnji s delegacijama Unije i službama Komisije pruža tehničko stručno znanje i savjete o različitim pitanjima;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8.</w:t>
      </w:r>
      <w:r w:rsidRPr="006F5012">
        <w:tab/>
        <w:t xml:space="preserve">pozdravlja činjenicu da su mjere koje je Zaklada poduzela kao odgovor na šokove kao što su kontinuirani učinci </w:t>
      </w:r>
      <w:proofErr w:type="spellStart"/>
      <w:r w:rsidRPr="006F5012">
        <w:t>pandemije</w:t>
      </w:r>
      <w:proofErr w:type="spellEnd"/>
      <w:r w:rsidRPr="006F5012">
        <w:t xml:space="preserve"> bolesti COVID-19 i ruska agresija na Ukrajinu bile vrlo učinkovite u osiguravanju kontinuirane i vrlo visoke razine provedbe godišnjeg programa rada; pohvaljuje inicijativu Zaklade u pogledu potpore koju pruža Ukrajini putem internetskog resursnog centra za priznavanje kvalifikacija, vještina i razdoblja studiranja ukrajinskih izbjeglica i druga sredstva kojima se koristi te za pružanje odgovora, ako je to moguće i relevantno, u bliskom kontaktu s različitim službama Europske komisije, iskorištavanjem njezine tematske stručnosti i znanja o sustavima obrazovanja i osposobljavanja u zemlji;</w:t>
      </w:r>
    </w:p>
    <w:p w:rsidR="00C37524" w:rsidRPr="006F5012" w:rsidRDefault="00C37524" w:rsidP="00C37524">
      <w:pPr>
        <w:pStyle w:val="NormalHanging12a"/>
      </w:pPr>
      <w:r w:rsidRPr="006F5012">
        <w:t>9.</w:t>
      </w:r>
      <w:r w:rsidRPr="006F5012">
        <w:tab/>
        <w:t>ističe da je Zaklada početkom 2022. obustavila sve aktivnosti i svu suradnju s bjeloruskim vlastima;</w:t>
      </w:r>
    </w:p>
    <w:p w:rsidR="00C37524" w:rsidRPr="006F5012" w:rsidRDefault="00C37524" w:rsidP="00C37524">
      <w:pPr>
        <w:pStyle w:val="NormalHanging12a"/>
      </w:pPr>
      <w:r w:rsidRPr="006F5012">
        <w:t>10.</w:t>
      </w:r>
      <w:r w:rsidRPr="006F5012">
        <w:tab/>
        <w:t>pozdravlja aktivnosti Zaklade kojima se pomaže partnerskim zemljama Unije da iskoriste potencijal svojeg ljudskog kapitala i poboljšaju mogućnosti zapošljavanja svojih građana putem reforme sustava obrazovanja, stručnog osposobljavanja, vještina i tržišta rada, u kontekstu politika vanjskih odnosa Unije;</w:t>
      </w:r>
    </w:p>
    <w:p w:rsidR="00C37524" w:rsidRPr="006F5012" w:rsidRDefault="00C37524" w:rsidP="00C37524">
      <w:pPr>
        <w:pStyle w:val="NormalHanging12a"/>
        <w:rPr>
          <w:szCs w:val="24"/>
        </w:rPr>
      </w:pPr>
      <w:r w:rsidRPr="006F5012">
        <w:t>11.</w:t>
      </w:r>
      <w:r w:rsidRPr="006F5012">
        <w:tab/>
        <w:t>posebno pozdravlja novi koncept poduzetničkih centara strukovne izvrsnosti koje je Zaklada razvila kako bi doprinijeli međunarodnoj raspravi u poduzetničkoj obrazovnoj zajednici i kako bi inspirirali centre za osposobljavanje da bolje odgovore na potrebe građana, gospodarstava i društava koje se mijenjaju;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t>Učinkovitost i rezultati u tom području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12.</w:t>
      </w:r>
      <w:r w:rsidRPr="006F5012">
        <w:tab/>
        <w:t xml:space="preserve">napominje da je Zaklada 2022. nastavila utvrđivati mogućnosti za povećanje učinkovitosti u svom djelovanju, kao što su poboljšanje digitalnih radnih postupaka i </w:t>
      </w:r>
      <w:proofErr w:type="spellStart"/>
      <w:r w:rsidRPr="006F5012">
        <w:t>proaktivno</w:t>
      </w:r>
      <w:proofErr w:type="spellEnd"/>
      <w:r w:rsidRPr="006F5012">
        <w:t xml:space="preserve"> sudjelovanje u mreži agencija Unije i njezinim različitim radnim skupinama; prima na znanje, među ostalim, dijeljenje računovodstvenih usluga Zaklade s Europskom agencijom za sigurnost i zdravlje na radu putem sporazuma o razini usluga potpisanog 2022. i procjenu mogućnosti dijeljenja resursa u područjima zapošljavanja, </w:t>
      </w:r>
      <w:proofErr w:type="spellStart"/>
      <w:r w:rsidRPr="006F5012">
        <w:t>kibernetičke</w:t>
      </w:r>
      <w:proofErr w:type="spellEnd"/>
      <w:r w:rsidRPr="006F5012">
        <w:t xml:space="preserve"> sigurnosti, EMAS-a, održivosti i ozelenjivanja, javne nabave te informatičkih alata i sustava s Europskim centrom za razvoj strukovnog osposobljavanja;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lastRenderedPageBreak/>
        <w:t>13.</w:t>
      </w:r>
      <w:r w:rsidRPr="006F5012">
        <w:tab/>
        <w:t xml:space="preserve">prima na znanje da je Zaklada provela mjere, uključujući u područjima potrošnje energije i upravljanja zgradama, primjerice zatvaranje ureda u kolovozu 2022., postavljanje senzora za rasvjetu i vodu, tajmera za bojlere, grijanje i klimatizaciju; prima na znanje povećane napore u upravljanju energijom koji su 2022. doveli do ušteda od 2000 m3 plina i 49 107 </w:t>
      </w:r>
      <w:proofErr w:type="spellStart"/>
      <w:r w:rsidRPr="006F5012">
        <w:t>KwH</w:t>
      </w:r>
      <w:proofErr w:type="spellEnd"/>
      <w:r w:rsidRPr="006F5012">
        <w:t xml:space="preserve"> električne energije unatoč povećanoj prisutnosti osoblja u uredima tijekom cijele godine zbog uspostavljenih hibridnih načina rada;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14.</w:t>
      </w:r>
      <w:r w:rsidRPr="006F5012">
        <w:tab/>
        <w:t>pozdravlja predanost Zaklade usvajanju svih alata Europske komisije za e-nabavu i činjenicu da je postupak javne nabave Zaklade u potpunosti digitaliziran;</w:t>
      </w:r>
    </w:p>
    <w:p w:rsidR="00C37524" w:rsidRPr="006F5012" w:rsidRDefault="00C37524" w:rsidP="00C37524">
      <w:pPr>
        <w:pStyle w:val="NormalHanging12a"/>
        <w:rPr>
          <w:szCs w:val="24"/>
        </w:rPr>
      </w:pPr>
      <w:r w:rsidRPr="006F5012">
        <w:t>15.</w:t>
      </w:r>
      <w:r w:rsidRPr="006F5012">
        <w:tab/>
        <w:t>pohvaljuje Zakladu zbog izrade poslovnog plana za povećanje energetske učinkovitosti i klimatske neutralnosti svojeg rada;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t>Kadrovska politika</w:t>
      </w:r>
    </w:p>
    <w:p w:rsidR="00C37524" w:rsidRPr="006F5012" w:rsidRDefault="00C37524" w:rsidP="00C37524">
      <w:pPr>
        <w:spacing w:after="240"/>
        <w:ind w:left="567" w:hanging="567"/>
      </w:pPr>
      <w:r w:rsidRPr="006F5012">
        <w:t>16.</w:t>
      </w:r>
      <w:r w:rsidRPr="006F5012">
        <w:tab/>
        <w:t>konstatira da je na dan 31. prosinca 2022. izvršeno 98,8 % plana radnih mjesta, tj. zaposleno je 85 privremenih djelatnika od njih ukupno 86 koji su odobreni u okviru proračuna Unije (isti broj odobrenih radnih mjesta kao i 2021.); također konstatira da je 2022. za Zakladu radilo 39 ugovornih djelatnika i jedan lokalni predstavnik;</w:t>
      </w:r>
    </w:p>
    <w:p w:rsidR="00C37524" w:rsidRPr="006F5012" w:rsidRDefault="00C37524" w:rsidP="00C37524">
      <w:pPr>
        <w:pStyle w:val="NormalHanging12a"/>
      </w:pPr>
      <w:r w:rsidRPr="006F5012">
        <w:t>17.</w:t>
      </w:r>
      <w:r w:rsidRPr="006F5012">
        <w:tab/>
        <w:t>prima na znanje da je 2022. u Zakladi bilo zastupljeno osoblje iz 21 države članice; sa zabrinutošću ponavlja da je zemljopisna ravnoteža izazov; napominje da 42 % članova osoblja Zaklade čine državljani države članice u kojoj se ona nalazi; potvrđuje da Zaklada primjenjuje postupke odabira koji se temelje na zaslugama, pri čemu bi u slučaju jednakih zasluga Zaklada dala prednost nedovoljno zastupljenim državljanstvima; podsjeća na važnost geografske ravnoteže i poziva Zakladu da poduzme potrebne mjere za uravnoteženu i pravednu geografsku zastupljenost, među ostalim na srednjim i višim rukovodećim položajima, uz istodobno poštovanje kompetencija i zasluga kandidata te da o razvoju događaja u tom pogledu izvijesti tijelo nadležno za davanje razrješnice;</w:t>
      </w:r>
    </w:p>
    <w:p w:rsidR="00C37524" w:rsidRPr="006F5012" w:rsidRDefault="00C37524" w:rsidP="00C37524">
      <w:pPr>
        <w:pStyle w:val="NormalHanging12a"/>
      </w:pPr>
      <w:r w:rsidRPr="006F5012">
        <w:t>18.</w:t>
      </w:r>
      <w:r w:rsidRPr="006F5012">
        <w:tab/>
        <w:t>konstatira da je, kada je riječ o rodnoj ravnoteži, 2022. u srednjem i višem rukovodstvu udio žena bio četiri od devet radnih mjesta; napominje da rodna ravnoteža među članovima upravnog odbora iznosi 41 % muškaraca i 59 % žena (11 odnosno 16), a među osobljem 33 % muškaraca i 67 % žena (41 odnosno 84); podsjeća na važnost rodne ravnoteže i poziva Zakladu da taj aspekt uzme u obzir kad je riječ o budućem zapošljavanju novog osoblja i imenovanjima na položaje srednjeg i višeg rukovodstva; traži od Komisije i država članica da pri imenovanju svojih članova u upravni odbor Zaklade vode računa o važnosti ostvarivanja rodne ravnoteže;</w:t>
      </w:r>
    </w:p>
    <w:p w:rsidR="00C37524" w:rsidRPr="006F5012" w:rsidRDefault="00C37524" w:rsidP="00C37524">
      <w:pPr>
        <w:pStyle w:val="NormalHanging12a"/>
      </w:pPr>
      <w:r w:rsidRPr="006F5012">
        <w:t>19.</w:t>
      </w:r>
      <w:r w:rsidRPr="006F5012">
        <w:tab/>
        <w:t>konstatira da je prema primjedbama na temelju razrješnice za 2021. Zaklada revidirala svoje oglase za slobodna radna mjesta kako bi povećala privlačnost mjesta rada i da diversificira komunikacijske kanale kako bi se usmjerila na zemlje koje su manje zastupljene preko mreže LinkedIn;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20.</w:t>
      </w:r>
      <w:r w:rsidRPr="006F5012">
        <w:tab/>
        <w:t xml:space="preserve">napominje da je Zaklada u prosincu 2022. donijela Povelju o raznolikosti i </w:t>
      </w:r>
      <w:proofErr w:type="spellStart"/>
      <w:r w:rsidRPr="006F5012">
        <w:t>uključivosti</w:t>
      </w:r>
      <w:proofErr w:type="spellEnd"/>
      <w:r w:rsidRPr="006F5012">
        <w:t>; napominje da je 2022. osoblje imalo brojne mogućnosti za poboljšanje dobrobiti na radnom mjestu i da su, osim toga, donesena nova pravila o radnom vremenu i hibridnom radu kojima se osoblju i dalje pružaju mogućnosti za nove fleksibilne načine rada;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lastRenderedPageBreak/>
        <w:t>Javna nabava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21.</w:t>
      </w:r>
      <w:r w:rsidRPr="006F5012">
        <w:tab/>
        <w:t xml:space="preserve">prima na znanje opažanje Revizorskog suda o dodjeli okvirnog ugovora u iznosu od milijun EUR za pružanje usluga potpore upravljanju sadržajem, uspostavljenog 2021. prema kojemu je taj ugovor nepravilan zbog odstupanja od tehničkih specifikacija; napominje da su ponuditelji kako bi dokazali svoju financijsku sposobnost morali dostaviti zaključenu i potpisanu računovodstvenu dokumentaciju u kojoj je prikazan promet od najmanje 250 000 eura za posljednje dvije financijske godine odnosno 2019. i 2020.; primjećuje da promet odabranog ponuditelja za 2019. nije dosegnuo traženi prag, ali je Zaklada odlučila da ponuditelja neće odbiti na temelju većeg prometa prikazanog u privremenim financijskim izvještajima za 2021.; ističe da je Revizorski sud zaključio da su postupak evaluacije i ugovor koji iz njega proizlazi nepravilni, kao i sva povezana plaćanja, koja su 2022. iznosila 100 100 eura; prima na znanje da će, u skladu s opažanjem Revizorskog suda, Zaklada pojednostavniti svoju metodologiju, odnosno da će njome i dalje služiti pri procjeni financijske pouzdanosti ugovaratelja, ali će ona biti u većoj mjeri prilagođena trenutačnoj financijskoj situaciji (nakon </w:t>
      </w:r>
      <w:proofErr w:type="spellStart"/>
      <w:r w:rsidRPr="006F5012">
        <w:t>pandemije</w:t>
      </w:r>
      <w:proofErr w:type="spellEnd"/>
      <w:r w:rsidRPr="006F5012">
        <w:t xml:space="preserve"> bolesti COVID-19 i rata u Ukrajini);</w:t>
      </w:r>
    </w:p>
    <w:p w:rsidR="00C37524" w:rsidRPr="006F5012" w:rsidRDefault="00C37524" w:rsidP="00C37524">
      <w:pPr>
        <w:pStyle w:val="Normal12Hanging"/>
      </w:pPr>
      <w:r w:rsidRPr="006F5012">
        <w:t>22.</w:t>
      </w:r>
      <w:r w:rsidRPr="006F5012">
        <w:tab/>
        <w:t>prima na znanje da je u jednom drugom otvorenom postupku javne nabave za usluge potpore na nacionalnoj razini u iznosu od četiri milijuna eura, financijske i gospodarske sposobnosti ponuditelja trebalo procijeni</w:t>
      </w:r>
      <w:r w:rsidR="008D5104">
        <w:t>ti na temelju dvaju kriterija: i.</w:t>
      </w:r>
      <w:r w:rsidRPr="006F5012">
        <w:t xml:space="preserve"> stabilnog financijskog položaja, dokazanog skupom parametara, uklju</w:t>
      </w:r>
      <w:r w:rsidR="008D5104">
        <w:t>čujući pozitivnu neto dobit; i ii.</w:t>
      </w:r>
      <w:bookmarkStart w:id="10" w:name="_GoBack"/>
      <w:bookmarkEnd w:id="10"/>
      <w:r w:rsidRPr="006F5012">
        <w:t xml:space="preserve"> godišnjeg prometa od najmanje jednog milijuna eura u posljednje dvije financijske godine; primjećuje da je Zaklada dodijelila ugovor konzorciju od pet nekomercijalnih subjekata iako nijedan član konzorcija nije prijavio nikakvu dobit u posljednje dvije godine te je, osim toga, odlučila zanemariti zahtjev u pogledu prometa, koji uspješni ponuditelj nije ispunio, kao neprimjenjiv na nekomercijalne subjekte; ističe da je Revizorski sud zaključio da je Zaklada pogrešno primijenila kriterije za odabir te da gospodarska i financijska sposobnost odabranog ponuditelja nije dokazana; nadalje napominje da su stoga postupak evaluacije i ugovor koji iz njega proizlazi nepravilni, kao i sva povezana plaćanja, koja su 2022. iznosila 70 500 eura; primjećuje da je predmetni postupak javne nabave bio usmjeren na razvoj ljudskog kapitala u srednjoj Aziji i da će, nakon opažanja Revizorskog suda, Zaklada nastaviti rasprave s relevantnim službama Komisije o mogućim alternativnim metodama za provedbu aktivnosti u partnerskim zemljama te će istodobno pojednostavniti svoju metodologiju za financijsku procjenu kako bi se, prema potrebi, usmjerila na tržište izvan Unije;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23.</w:t>
      </w:r>
      <w:r w:rsidRPr="006F5012">
        <w:tab/>
        <w:t>podsjeća na to da je u svim postupcima javne nabave važno osigurati pošteno tržišno natjecanje među ponuditeljima te nabavu robe i usluga po najboljoj mogućoj cijeni uz poštovanje načela transparentnosti i razboritog korištenja javnih sredstava, proporcionalnosti, jednakog postupanja i nediskriminacije; poziva Zakladu da poduzme mjere kako bi se zajamčilo da se u budućim postupcima javne nabave u potpunosti poštuju mjerodavna pravila kojima se jamči transparentnost, pravednost i integritet u postupku javne nabave;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24.</w:t>
      </w:r>
      <w:r w:rsidRPr="006F5012">
        <w:tab/>
        <w:t>napominje da je krajem 2022. Zaklada imala samo jedno otvoreno opažanje Revizorskog suda o postupku javne nabave za vanjske djelatnike, objavljeno 2018., koje je Parlament prethodno potvrdio u svojem izvješću o razrješnici; osim toga, prima na znanje da je Zaklada riješila to pitanje pri pokretanju novog okvirnog ugovora, koji bi trebao biti potpisan 2023.;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lastRenderedPageBreak/>
        <w:t>Postupanje u slučaju sukoba interesa i njihovo sprečavanje te transparentnost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25.</w:t>
      </w:r>
      <w:r w:rsidRPr="006F5012">
        <w:tab/>
        <w:t>primjećuje da je Zaklada objavila sve izjave o sukobima interesa i životopise članova upravnog odbora te višeg i srednjeg rukovodstva; nadalje napominje da Zaklada na svojim internetskim stranicama navodi sve sastanke direktora i organizacija te samozaposlenih osoba;</w:t>
      </w:r>
    </w:p>
    <w:p w:rsidR="00C37524" w:rsidRPr="006F5012" w:rsidRDefault="00C37524" w:rsidP="00C37524">
      <w:pPr>
        <w:pStyle w:val="Normal12Hanging"/>
        <w:rPr>
          <w:rStyle w:val="normaltextrun"/>
        </w:rPr>
      </w:pPr>
      <w:r w:rsidRPr="006F5012">
        <w:rPr>
          <w:rStyle w:val="normaltextrun"/>
        </w:rPr>
        <w:t>26.</w:t>
      </w:r>
      <w:r w:rsidRPr="006F5012">
        <w:rPr>
          <w:rStyle w:val="normaltextrun"/>
        </w:rPr>
        <w:tab/>
        <w:t>napominje da Zaklada ima internu strategiju za borbu protiv prijevara, koja je redovito ažurirana, te da bi mogla razmotriti nadopunu te strategije odjeljkom na temu borbe protiv korupcije; nadalje napominje da trenutačno razvija politiku o pitanjima sukoba interesa;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t>Unutarnja kontrola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t>27.</w:t>
      </w:r>
      <w:r w:rsidRPr="006F5012">
        <w:tab/>
        <w:t>pozdravlja pozitivno mišljenje službe za unutarnju reviziju o mehanizmima komplementarnosti i suradnje između Zaklade i Komisije u njezinu završnom izvješću o reviziji iz prosinca 2022. u kojem se ističe stručno znanje osoblja Zaklade i uspostavu strukturiranog dijaloga koji se održava svake dvije godine kako bi se osigurala bolja koordinacija za pripremu sastanaka upravnog odbora; primjećuje, međutim, da te službe također ističu dva vrlo važna pitanja u vezi s mandatom Zaklade i praćenjem pokazatelja, kao i dva važna pitanja o usklađivanju prioriteta i poboljšanju baze podataka u pogledu zahtjeva i postupaka za podnošenje zahtjeva Unije; potvrđuje da je Zaklada, kao odgovor na to, u suradnji s Glavnom upravom za zapošljavanje, socijalna pitanja i uključivanje osmislila akcijski plan za provedbu tih preporuka, koji će se početi primjenjivati 2023.;</w:t>
      </w:r>
    </w:p>
    <w:p w:rsidR="00C37524" w:rsidRPr="006F5012" w:rsidRDefault="00C37524" w:rsidP="00C37524">
      <w:pPr>
        <w:pStyle w:val="Normal12Hanging"/>
        <w:rPr>
          <w:b/>
          <w:i/>
          <w:szCs w:val="24"/>
        </w:rPr>
      </w:pPr>
      <w:r w:rsidRPr="006F5012">
        <w:rPr>
          <w:b/>
          <w:i/>
        </w:rPr>
        <w:t>Ostale primjedbe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28.</w:t>
      </w:r>
      <w:r w:rsidRPr="006F5012">
        <w:tab/>
        <w:t xml:space="preserve">prima na znanje posebnu pozornost koju Zaklada daje </w:t>
      </w:r>
      <w:proofErr w:type="spellStart"/>
      <w:r w:rsidRPr="006F5012">
        <w:t>kibernetičkoj</w:t>
      </w:r>
      <w:proofErr w:type="spellEnd"/>
      <w:r w:rsidRPr="006F5012">
        <w:t xml:space="preserve"> sigurnosti i digitalnoj evidenciji i upravljanju podacima te mjere poduzete kako bi se uvažile relevantne smjernice Unije, kao što su poboljšanje sigurnosnih kopija i tzv. penetracijsko testiranje glavnih internetskih stranica Zaklade; osim toga, prima na znanje da je 2022. nakon procjene rizika za informacijsku sigurnost na razini Zaklade provedenog 2021. izrađen i dogovoren plan postupanja s rizikom;</w:t>
      </w:r>
    </w:p>
    <w:p w:rsidR="00C37524" w:rsidRPr="006F5012" w:rsidRDefault="00C37524" w:rsidP="00C37524">
      <w:pPr>
        <w:pStyle w:val="Normal12Hanging"/>
        <w:rPr>
          <w:szCs w:val="24"/>
        </w:rPr>
      </w:pPr>
      <w:r w:rsidRPr="006F5012">
        <w:t>29.</w:t>
      </w:r>
      <w:r w:rsidRPr="006F5012">
        <w:tab/>
        <w:t>napominje da je Zaklada 2022. zadržala certifikat EMAS i certifikat ISO 14001 nakon ekološke revizije provedene u ožujku 2022. (i 2023.);</w:t>
      </w:r>
    </w:p>
    <w:p w:rsidR="00C37524" w:rsidRPr="006F5012" w:rsidRDefault="00C37524" w:rsidP="00C37524">
      <w:pPr>
        <w:pStyle w:val="NormalHanging12a"/>
      </w:pPr>
      <w:r w:rsidRPr="006F5012">
        <w:t>30.</w:t>
      </w:r>
      <w:r w:rsidRPr="006F5012">
        <w:tab/>
        <w:t xml:space="preserve">pozdravlja činjenicu da je Zaklada nastavila provoditi različite mjere za povećanje svoje prisutnosti u javnosti i na internetu, među ostalim produkcijom i promocijom 10 podcasta, dviju međunarodnih nagrada i 10 zajedničkih komunikacija, prijenosom 7 intervjua u okviru LIVE </w:t>
      </w:r>
      <w:proofErr w:type="spellStart"/>
      <w:r w:rsidRPr="006F5012">
        <w:t>LearningConnects</w:t>
      </w:r>
      <w:proofErr w:type="spellEnd"/>
      <w:r w:rsidRPr="006F5012">
        <w:t xml:space="preserve"> i sudjelovanjem na UN-ovoj konferenciji COP kako bi predstavila svoj rad u području zelenih vještina; u tom kontekstu konstatira znatno povećanje parametara Zaklade u pogledu društvenih mreža 2022. u odnosu na 2021.;</w:t>
      </w:r>
    </w:p>
    <w:p w:rsidR="00C37524" w:rsidRPr="006F5012" w:rsidRDefault="00C37524" w:rsidP="00C37524">
      <w:pPr>
        <w:pStyle w:val="NormalHanging12a"/>
      </w:pPr>
      <w:r w:rsidRPr="006F5012">
        <w:t>31.</w:t>
      </w:r>
      <w:r w:rsidRPr="006F5012">
        <w:tab/>
        <w:t>ponovno poziva Zakladu da boljim korištenjem kanala društvenih i ostalih medija osigura veću transparentnost i javnu odgovornost;</w:t>
      </w:r>
    </w:p>
    <w:p w:rsidR="00C37524" w:rsidRPr="006F5012" w:rsidRDefault="00C37524" w:rsidP="00C37524">
      <w:pPr>
        <w:pStyle w:val="NormalCenter12a"/>
        <w:rPr>
          <w:color w:val="000000" w:themeColor="text1"/>
        </w:rPr>
      </w:pPr>
      <w:r w:rsidRPr="006F5012">
        <w:rPr>
          <w:color w:val="000000" w:themeColor="text1"/>
        </w:rPr>
        <w:t>°</w:t>
      </w:r>
    </w:p>
    <w:p w:rsidR="00C37524" w:rsidRPr="006F5012" w:rsidRDefault="00C37524" w:rsidP="00C37524">
      <w:pPr>
        <w:pStyle w:val="NormalCenter12a"/>
      </w:pPr>
      <w:r w:rsidRPr="006F5012">
        <w:t>°</w:t>
      </w:r>
      <w:r w:rsidRPr="006F5012">
        <w:tab/>
        <w:t>°</w:t>
      </w:r>
    </w:p>
    <w:p w:rsidR="00C37524" w:rsidRPr="006F5012" w:rsidRDefault="00C37524" w:rsidP="007C5785">
      <w:pPr>
        <w:ind w:left="567" w:hanging="567"/>
      </w:pPr>
      <w:r w:rsidRPr="006F5012">
        <w:lastRenderedPageBreak/>
        <w:t>32.</w:t>
      </w:r>
      <w:r w:rsidRPr="006F5012">
        <w:tab/>
        <w:t xml:space="preserve">u vezi s drugim primjedbama priloženima Odluci o razrješnici i horizontalne naravi upućuje na svoju Rezoluciju od </w:t>
      </w:r>
      <w:r w:rsidR="007C5785" w:rsidRPr="006F5012">
        <w:t>11. travnja 2024.</w:t>
      </w:r>
      <w:r w:rsidRPr="006F5012">
        <w:rPr>
          <w:vertAlign w:val="superscript"/>
        </w:rPr>
        <w:footnoteReference w:id="12"/>
      </w:r>
      <w:r w:rsidRPr="006F5012">
        <w:t xml:space="preserve"> o uspješnosti, financijskom upravljanju i nadzoru agencija.</w:t>
      </w:r>
    </w:p>
    <w:p w:rsidR="00C37524" w:rsidRPr="006F5012" w:rsidRDefault="00C37524" w:rsidP="00C37524"/>
    <w:p w:rsidR="00C37524" w:rsidRPr="006F5012" w:rsidRDefault="00C37524" w:rsidP="00C37524"/>
    <w:sectPr w:rsidR="00C37524" w:rsidRPr="006F5012" w:rsidSect="005152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5B" w:rsidRPr="0051521C" w:rsidRDefault="00D7455B">
      <w:r w:rsidRPr="0051521C">
        <w:separator/>
      </w:r>
    </w:p>
  </w:endnote>
  <w:endnote w:type="continuationSeparator" w:id="0">
    <w:p w:rsidR="00D7455B" w:rsidRPr="0051521C" w:rsidRDefault="00D7455B">
      <w:r w:rsidRPr="005152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24" w:rsidRPr="0051521C" w:rsidRDefault="00C37524" w:rsidP="00C27BEE">
    <w:pPr>
      <w:pStyle w:val="EPFooter"/>
    </w:pPr>
    <w:r w:rsidRPr="0051521C">
      <w:t>PE</w:t>
    </w:r>
    <w:r w:rsidRPr="0051521C">
      <w:rPr>
        <w:rStyle w:val="HideTWBExt"/>
      </w:rPr>
      <w:t>&lt;</w:t>
    </w:r>
    <w:proofErr w:type="spellStart"/>
    <w:r w:rsidRPr="0051521C">
      <w:rPr>
        <w:rStyle w:val="HideTWBExt"/>
      </w:rPr>
      <w:t>NoPE</w:t>
    </w:r>
    <w:proofErr w:type="spellEnd"/>
    <w:r w:rsidRPr="0051521C">
      <w:rPr>
        <w:rStyle w:val="HideTWBExt"/>
      </w:rPr>
      <w:t>&gt;</w:t>
    </w:r>
    <w:r w:rsidRPr="0051521C">
      <w:t>753.531</w:t>
    </w:r>
    <w:r w:rsidRPr="0051521C">
      <w:rPr>
        <w:rStyle w:val="HideTWBExt"/>
      </w:rPr>
      <w:t>&lt;/</w:t>
    </w:r>
    <w:proofErr w:type="spellStart"/>
    <w:r w:rsidRPr="0051521C">
      <w:rPr>
        <w:rStyle w:val="HideTWBExt"/>
      </w:rPr>
      <w:t>NoPE</w:t>
    </w:r>
    <w:proofErr w:type="spellEnd"/>
    <w:r w:rsidRPr="0051521C">
      <w:rPr>
        <w:rStyle w:val="HideTWBExt"/>
      </w:rPr>
      <w:t>&gt;&lt;Version&gt;</w:t>
    </w:r>
    <w:r w:rsidRPr="0051521C">
      <w:t>v02-00</w:t>
    </w:r>
    <w:r w:rsidRPr="0051521C">
      <w:rPr>
        <w:rStyle w:val="HideTWBExt"/>
      </w:rPr>
      <w:t>&lt;/</w:t>
    </w:r>
    <w:proofErr w:type="spellStart"/>
    <w:r w:rsidRPr="0051521C">
      <w:rPr>
        <w:rStyle w:val="HideTWBExt"/>
      </w:rPr>
      <w:t>Version</w:t>
    </w:r>
    <w:proofErr w:type="spellEnd"/>
    <w:r w:rsidRPr="0051521C">
      <w:rPr>
        <w:rStyle w:val="HideTWBExt"/>
      </w:rPr>
      <w:t>&gt;</w:t>
    </w:r>
    <w:r w:rsidRPr="0051521C">
      <w:tab/>
    </w:r>
    <w:r w:rsidRPr="0051521C">
      <w:fldChar w:fldCharType="begin"/>
    </w:r>
    <w:r w:rsidRPr="0051521C">
      <w:instrText xml:space="preserve"> PAGE  \* MERGEFORMAT </w:instrText>
    </w:r>
    <w:r w:rsidRPr="0051521C">
      <w:fldChar w:fldCharType="separate"/>
    </w:r>
    <w:r w:rsidRPr="0051521C">
      <w:rPr>
        <w:noProof/>
      </w:rPr>
      <w:t>10</w:t>
    </w:r>
    <w:r w:rsidRPr="0051521C">
      <w:fldChar w:fldCharType="end"/>
    </w:r>
    <w:r w:rsidRPr="0051521C">
      <w:t>/</w:t>
    </w:r>
    <w:r w:rsidR="008D5104">
      <w:fldChar w:fldCharType="begin"/>
    </w:r>
    <w:r w:rsidR="008D5104">
      <w:instrText xml:space="preserve"> NUMPAGES  \* MERGEFORMAT </w:instrText>
    </w:r>
    <w:r w:rsidR="008D5104">
      <w:fldChar w:fldCharType="separate"/>
    </w:r>
    <w:r w:rsidRPr="0051521C">
      <w:rPr>
        <w:noProof/>
      </w:rPr>
      <w:t>10</w:t>
    </w:r>
    <w:r w:rsidR="008D5104">
      <w:rPr>
        <w:noProof/>
      </w:rPr>
      <w:fldChar w:fldCharType="end"/>
    </w:r>
    <w:r w:rsidRPr="0051521C">
      <w:tab/>
    </w:r>
    <w:r w:rsidRPr="0051521C">
      <w:rPr>
        <w:rStyle w:val="HideTWBExt"/>
      </w:rPr>
      <w:t>&lt;PathFdR&gt;</w:t>
    </w:r>
    <w:r w:rsidRPr="0051521C">
      <w:t>RR\1298972HR.docx</w:t>
    </w:r>
    <w:r w:rsidRPr="0051521C">
      <w:rPr>
        <w:rStyle w:val="HideTWBExt"/>
      </w:rPr>
      <w:t>&lt;/</w:t>
    </w:r>
    <w:proofErr w:type="spellStart"/>
    <w:r w:rsidRPr="0051521C">
      <w:rPr>
        <w:rStyle w:val="HideTWBExt"/>
      </w:rPr>
      <w:t>PathFdR</w:t>
    </w:r>
    <w:proofErr w:type="spellEnd"/>
    <w:r w:rsidRPr="0051521C">
      <w:rPr>
        <w:rStyle w:val="HideTWBExt"/>
      </w:rPr>
      <w:t>&gt;</w:t>
    </w:r>
  </w:p>
  <w:p w:rsidR="00C37524" w:rsidRPr="0051521C" w:rsidRDefault="00C37524" w:rsidP="00C27BEE">
    <w:pPr>
      <w:pStyle w:val="EPFooter2"/>
    </w:pPr>
    <w:r w:rsidRPr="0051521C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524" w:rsidRPr="0051521C" w:rsidRDefault="00C37524" w:rsidP="00C27BEE">
    <w:pPr>
      <w:pStyle w:val="EPFooter"/>
    </w:pPr>
    <w:r w:rsidRPr="0051521C">
      <w:rPr>
        <w:rStyle w:val="HideTWBExt"/>
      </w:rPr>
      <w:t>&lt;PathFdR&gt;</w:t>
    </w:r>
    <w:r w:rsidRPr="0051521C">
      <w:t>RR\1298972HR.docx</w:t>
    </w:r>
    <w:r w:rsidRPr="0051521C">
      <w:rPr>
        <w:rStyle w:val="HideTWBExt"/>
      </w:rPr>
      <w:t>&lt;/</w:t>
    </w:r>
    <w:proofErr w:type="spellStart"/>
    <w:r w:rsidRPr="0051521C">
      <w:rPr>
        <w:rStyle w:val="HideTWBExt"/>
      </w:rPr>
      <w:t>PathFdR</w:t>
    </w:r>
    <w:proofErr w:type="spellEnd"/>
    <w:r w:rsidRPr="0051521C">
      <w:rPr>
        <w:rStyle w:val="HideTWBExt"/>
      </w:rPr>
      <w:t>&gt;</w:t>
    </w:r>
    <w:r w:rsidRPr="0051521C">
      <w:tab/>
    </w:r>
    <w:r w:rsidRPr="0051521C">
      <w:tab/>
      <w:t>PE</w:t>
    </w:r>
    <w:r w:rsidRPr="0051521C">
      <w:rPr>
        <w:rStyle w:val="HideTWBExt"/>
      </w:rPr>
      <w:t>&lt;</w:t>
    </w:r>
    <w:proofErr w:type="spellStart"/>
    <w:r w:rsidRPr="0051521C">
      <w:rPr>
        <w:rStyle w:val="HideTWBExt"/>
      </w:rPr>
      <w:t>NoPE</w:t>
    </w:r>
    <w:proofErr w:type="spellEnd"/>
    <w:r w:rsidRPr="0051521C">
      <w:rPr>
        <w:rStyle w:val="HideTWBExt"/>
      </w:rPr>
      <w:t>&gt;</w:t>
    </w:r>
    <w:r w:rsidRPr="0051521C">
      <w:t>753.531</w:t>
    </w:r>
    <w:r w:rsidRPr="0051521C">
      <w:rPr>
        <w:rStyle w:val="HideTWBExt"/>
      </w:rPr>
      <w:t>&lt;/</w:t>
    </w:r>
    <w:proofErr w:type="spellStart"/>
    <w:r w:rsidRPr="0051521C">
      <w:rPr>
        <w:rStyle w:val="HideTWBExt"/>
      </w:rPr>
      <w:t>NoPE</w:t>
    </w:r>
    <w:proofErr w:type="spellEnd"/>
    <w:r w:rsidRPr="0051521C">
      <w:rPr>
        <w:rStyle w:val="HideTWBExt"/>
      </w:rPr>
      <w:t>&gt;&lt;Version&gt;</w:t>
    </w:r>
    <w:r w:rsidRPr="0051521C">
      <w:t>v02-00</w:t>
    </w:r>
    <w:r w:rsidRPr="0051521C">
      <w:rPr>
        <w:rStyle w:val="HideTWBExt"/>
      </w:rPr>
      <w:t>&lt;/</w:t>
    </w:r>
    <w:proofErr w:type="spellStart"/>
    <w:r w:rsidRPr="0051521C">
      <w:rPr>
        <w:rStyle w:val="HideTWBExt"/>
      </w:rPr>
      <w:t>Version</w:t>
    </w:r>
    <w:proofErr w:type="spellEnd"/>
    <w:r w:rsidRPr="0051521C">
      <w:rPr>
        <w:rStyle w:val="HideTWBExt"/>
      </w:rPr>
      <w:t>&gt;</w:t>
    </w:r>
  </w:p>
  <w:p w:rsidR="00C37524" w:rsidRPr="0051521C" w:rsidRDefault="00C37524" w:rsidP="00C27BEE">
    <w:pPr>
      <w:pStyle w:val="EPFooter2"/>
    </w:pPr>
    <w:r w:rsidRPr="0051521C">
      <w:t>HR</w:t>
    </w:r>
    <w:r w:rsidRPr="0051521C">
      <w:tab/>
    </w:r>
    <w:r w:rsidRPr="0051521C">
      <w:rPr>
        <w:b w:val="0"/>
        <w:i/>
        <w:color w:val="C0C0C0"/>
        <w:sz w:val="22"/>
      </w:rPr>
      <w:t>Ujedinjena u raznolikosti</w:t>
    </w:r>
    <w:r w:rsidRPr="0051521C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521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521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52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5B" w:rsidRPr="0051521C" w:rsidRDefault="00D7455B">
      <w:r w:rsidRPr="0051521C">
        <w:separator/>
      </w:r>
    </w:p>
  </w:footnote>
  <w:footnote w:type="continuationSeparator" w:id="0">
    <w:p w:rsidR="00D7455B" w:rsidRPr="0051521C" w:rsidRDefault="00D7455B">
      <w:r w:rsidRPr="0051521C">
        <w:continuationSeparator/>
      </w:r>
    </w:p>
  </w:footnote>
  <w:footnote w:id="1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C, C/2023/594, 27.10.2023.</w:t>
      </w:r>
    </w:p>
  </w:footnote>
  <w:footnote w:id="2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C, C/2023/112, 12.10.2023.</w:t>
      </w:r>
    </w:p>
  </w:footnote>
  <w:footnote w:id="3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L 193, 30.7.2018., str. 1.</w:t>
      </w:r>
    </w:p>
  </w:footnote>
  <w:footnote w:id="4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L 354, 31.12.2008., str. 82.</w:t>
      </w:r>
    </w:p>
  </w:footnote>
  <w:footnote w:id="5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L 122, 10.5.2019., str. 1.</w:t>
      </w:r>
    </w:p>
  </w:footnote>
  <w:footnote w:id="6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C, C/2023/594, 27.10.2023..</w:t>
      </w:r>
    </w:p>
  </w:footnote>
  <w:footnote w:id="7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C, C/2023/112, 12.10.2023.</w:t>
      </w:r>
    </w:p>
  </w:footnote>
  <w:footnote w:id="8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L 193, 30.7.2018., str. 1.</w:t>
      </w:r>
    </w:p>
  </w:footnote>
  <w:footnote w:id="9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L 354, 31.12.2008., str. 82.</w:t>
      </w:r>
    </w:p>
  </w:footnote>
  <w:footnote w:id="10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L 122, 10.5.2019., str. 1.</w:t>
      </w:r>
    </w:p>
  </w:footnote>
  <w:footnote w:id="11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>SL C 38, 31.1.2023.</w:t>
      </w:r>
      <w:r w:rsidRPr="0051521C">
        <w:rPr>
          <w:color w:val="000000"/>
          <w:sz w:val="24"/>
          <w:lang w:val="hr-HR"/>
        </w:rPr>
        <w:t>, str. 13.</w:t>
      </w:r>
    </w:p>
  </w:footnote>
  <w:footnote w:id="12">
    <w:p w:rsidR="00C37524" w:rsidRPr="0051521C" w:rsidRDefault="00C37524" w:rsidP="0051521C">
      <w:pPr>
        <w:pStyle w:val="FootnoteText"/>
        <w:ind w:left="567" w:hanging="567"/>
        <w:rPr>
          <w:sz w:val="24"/>
          <w:lang w:val="hr-HR"/>
        </w:rPr>
      </w:pPr>
      <w:r w:rsidRPr="0051521C">
        <w:rPr>
          <w:rStyle w:val="FootnoteReference"/>
          <w:sz w:val="24"/>
          <w:lang w:val="hr-HR"/>
        </w:rPr>
        <w:footnoteRef/>
      </w:r>
      <w:r w:rsidR="0051521C" w:rsidRPr="0051521C">
        <w:rPr>
          <w:sz w:val="24"/>
          <w:lang w:val="hr-HR"/>
        </w:rPr>
        <w:t xml:space="preserve"> </w:t>
      </w:r>
      <w:r w:rsidR="0051521C" w:rsidRPr="0051521C">
        <w:rPr>
          <w:sz w:val="24"/>
          <w:lang w:val="hr-HR"/>
        </w:rPr>
        <w:tab/>
      </w:r>
      <w:r w:rsidRPr="0051521C">
        <w:rPr>
          <w:sz w:val="24"/>
          <w:lang w:val="hr-HR"/>
        </w:rPr>
        <w:t xml:space="preserve">Usvojeni tekstovi, </w:t>
      </w:r>
      <w:r w:rsidR="00317F2B">
        <w:rPr>
          <w:sz w:val="24"/>
          <w:lang w:val="hr-HR"/>
        </w:rPr>
        <w:t>P9_TA(2024)0280</w:t>
      </w:r>
      <w:r w:rsidRPr="0051521C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52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52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52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4/2024"/>
    <w:docVar w:name="dvlangue" w:val="HR"/>
    <w:docVar w:name="dvnumam" w:val="0"/>
    <w:docVar w:name="dvpe" w:val="753.531"/>
    <w:docVar w:name="dvrapporteur" w:val="Izvjestitelj: "/>
    <w:docVar w:name="dvtitre" w:val="Odluka Europskog parlamenta od .... 2024. o razrješnici za izvršenje proračuna Europske zaklade za osposobljavanje za financijsku godinu 2022.(2023/2163(DEC))"/>
  </w:docVars>
  <w:rsids>
    <w:rsidRoot w:val="00D745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F2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21C"/>
    <w:rsid w:val="00545827"/>
    <w:rsid w:val="00560270"/>
    <w:rsid w:val="005C2568"/>
    <w:rsid w:val="006037C0"/>
    <w:rsid w:val="006631B6"/>
    <w:rsid w:val="00680577"/>
    <w:rsid w:val="006F5012"/>
    <w:rsid w:val="006F74FA"/>
    <w:rsid w:val="00731ADD"/>
    <w:rsid w:val="00734777"/>
    <w:rsid w:val="00747932"/>
    <w:rsid w:val="00751A4A"/>
    <w:rsid w:val="00756632"/>
    <w:rsid w:val="00762C74"/>
    <w:rsid w:val="00786EC0"/>
    <w:rsid w:val="007C578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10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524"/>
    <w:rsid w:val="00C61C0C"/>
    <w:rsid w:val="00C941CB"/>
    <w:rsid w:val="00CC2357"/>
    <w:rsid w:val="00CF071A"/>
    <w:rsid w:val="00D058B8"/>
    <w:rsid w:val="00D56C11"/>
    <w:rsid w:val="00D7455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2704F"/>
  <w15:chartTrackingRefBased/>
  <w15:docId w15:val="{2C8A633C-F8C9-4E18-B504-BC7E77FF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375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37524"/>
    <w:pPr>
      <w:spacing w:before="480" w:after="240"/>
    </w:pPr>
  </w:style>
  <w:style w:type="paragraph" w:customStyle="1" w:styleId="PageHeading">
    <w:name w:val="PageHeading"/>
    <w:basedOn w:val="Normal"/>
    <w:rsid w:val="00C375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37524"/>
    <w:rPr>
      <w:b/>
    </w:rPr>
  </w:style>
  <w:style w:type="paragraph" w:customStyle="1" w:styleId="NormalHanging12a">
    <w:name w:val="NormalHanging12a"/>
    <w:basedOn w:val="Normal"/>
    <w:link w:val="NormalHanging12aChar"/>
    <w:rsid w:val="00C3752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37524"/>
    <w:pPr>
      <w:spacing w:after="240"/>
      <w:jc w:val="center"/>
    </w:pPr>
  </w:style>
  <w:style w:type="paragraph" w:styleId="Header">
    <w:name w:val="header"/>
    <w:basedOn w:val="Normal"/>
    <w:link w:val="HeaderChar"/>
    <w:rsid w:val="00C37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7524"/>
    <w:rPr>
      <w:sz w:val="24"/>
      <w:lang w:val="hr-HR"/>
    </w:rPr>
  </w:style>
  <w:style w:type="paragraph" w:customStyle="1" w:styleId="EPFooter">
    <w:name w:val="EPFooter"/>
    <w:basedOn w:val="Normal"/>
    <w:rsid w:val="00C375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C37524"/>
    <w:pPr>
      <w:spacing w:after="240"/>
      <w:ind w:left="567" w:hanging="567"/>
    </w:pPr>
  </w:style>
  <w:style w:type="character" w:customStyle="1" w:styleId="normaltextrun">
    <w:name w:val="normaltextrun"/>
    <w:basedOn w:val="DefaultParagraphFont"/>
    <w:rsid w:val="00C37524"/>
  </w:style>
  <w:style w:type="character" w:customStyle="1" w:styleId="NormalHanging12aChar">
    <w:name w:val="NormalHanging12a Char"/>
    <w:link w:val="NormalHanging12a"/>
    <w:locked/>
    <w:rsid w:val="00C37524"/>
    <w:rPr>
      <w:sz w:val="24"/>
      <w:lang w:val="hr-HR"/>
    </w:rPr>
  </w:style>
  <w:style w:type="paragraph" w:customStyle="1" w:styleId="Normal24a">
    <w:name w:val="Normal24a"/>
    <w:basedOn w:val="Normal"/>
    <w:rsid w:val="00C37524"/>
    <w:pPr>
      <w:spacing w:after="480"/>
    </w:pPr>
  </w:style>
  <w:style w:type="paragraph" w:customStyle="1" w:styleId="Normal12a">
    <w:name w:val="Normal12a"/>
    <w:basedOn w:val="Normal"/>
    <w:rsid w:val="00C37524"/>
    <w:pPr>
      <w:spacing w:after="240"/>
    </w:pPr>
  </w:style>
  <w:style w:type="paragraph" w:customStyle="1" w:styleId="PageHeadingNotTOC">
    <w:name w:val="PageHeadingNotTOC"/>
    <w:basedOn w:val="Normal"/>
    <w:rsid w:val="00C37524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8D51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D510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7DB53-B29E-428D-AD16-D17F2520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2958</Words>
  <Characters>17896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2024-05-23T09:18:00Z</dcterms:created>
  <dcterms:modified xsi:type="dcterms:W3CDTF">2024-05-23T09:18:00Z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P9_TA(2024)0247_</vt:lpwstr>
  </property>
  <property fmtid="{D5CDD505-2E9C-101B-9397-08002B2CF9AE}" pid="4" name="&lt;Type&gt;">
    <vt:lpwstr>RR</vt:lpwstr>
  </property>
</Properties>
</file>