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7FB3" w:rsidTr="0010095E">
        <w:trPr>
          <w:trHeight w:hRule="exact" w:val="1418"/>
        </w:trPr>
        <w:tc>
          <w:tcPr>
            <w:tcW w:w="6804" w:type="dxa"/>
            <w:shd w:val="clear" w:color="auto" w:fill="auto"/>
            <w:vAlign w:val="center"/>
          </w:tcPr>
          <w:p w:rsidR="00751A4A" w:rsidRPr="00E97FB3" w:rsidRDefault="00312D69" w:rsidP="0010095E">
            <w:pPr>
              <w:pStyle w:val="EPName"/>
            </w:pPr>
            <w:r w:rsidRPr="00E97FB3">
              <w:t>Europos Parlamentas</w:t>
            </w:r>
          </w:p>
          <w:p w:rsidR="00751A4A" w:rsidRPr="00E97FB3" w:rsidRDefault="00817416" w:rsidP="00756632">
            <w:pPr>
              <w:pStyle w:val="EPTerm"/>
              <w:rPr>
                <w:rStyle w:val="HideTWBExt"/>
                <w:noProof w:val="0"/>
                <w:vanish w:val="0"/>
                <w:color w:val="auto"/>
              </w:rPr>
            </w:pPr>
            <w:r w:rsidRPr="00E97FB3">
              <w:t>2019-2024</w:t>
            </w:r>
          </w:p>
        </w:tc>
        <w:tc>
          <w:tcPr>
            <w:tcW w:w="2268" w:type="dxa"/>
            <w:shd w:val="clear" w:color="auto" w:fill="auto"/>
          </w:tcPr>
          <w:p w:rsidR="00751A4A" w:rsidRPr="00E97FB3" w:rsidRDefault="00187494" w:rsidP="0010095E">
            <w:pPr>
              <w:pStyle w:val="EPLogo"/>
            </w:pPr>
            <w:r w:rsidRPr="00E97F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7FB3" w:rsidRDefault="00D058B8" w:rsidP="004C5D52">
      <w:pPr>
        <w:pStyle w:val="LineTop"/>
      </w:pPr>
    </w:p>
    <w:p w:rsidR="00680577" w:rsidRPr="00E97FB3" w:rsidRDefault="00312D69" w:rsidP="00680577">
      <w:pPr>
        <w:pStyle w:val="EPBodyTA1"/>
      </w:pPr>
      <w:r w:rsidRPr="00E97FB3">
        <w:t>PRIIMTI TEKSTAI</w:t>
      </w:r>
    </w:p>
    <w:p w:rsidR="00D058B8" w:rsidRPr="00E97FB3" w:rsidRDefault="00D058B8" w:rsidP="00D058B8">
      <w:pPr>
        <w:pStyle w:val="LineBottom"/>
      </w:pPr>
    </w:p>
    <w:p w:rsidR="00312D69" w:rsidRPr="00E97FB3" w:rsidRDefault="00312D69" w:rsidP="00312D69">
      <w:pPr>
        <w:pStyle w:val="ATHeading1"/>
      </w:pPr>
      <w:bookmarkStart w:id="0" w:name="TANumber"/>
      <w:r w:rsidRPr="00E97FB3">
        <w:t>P9_TA(2024)0</w:t>
      </w:r>
      <w:r w:rsidR="007C2B73" w:rsidRPr="00E97FB3">
        <w:t>247</w:t>
      </w:r>
      <w:bookmarkEnd w:id="0"/>
    </w:p>
    <w:p w:rsidR="00312D69" w:rsidRPr="00E97FB3" w:rsidRDefault="00312D69" w:rsidP="00312D69">
      <w:pPr>
        <w:pStyle w:val="ATHeading2"/>
      </w:pPr>
      <w:bookmarkStart w:id="1" w:name="title"/>
      <w:r w:rsidRPr="00E97FB3">
        <w:t>2022 m. biudžeto įvykdymo patvirtinimas: Europos mokymo fondas</w:t>
      </w:r>
      <w:bookmarkEnd w:id="1"/>
    </w:p>
    <w:p w:rsidR="00312D69" w:rsidRPr="00E97FB3" w:rsidRDefault="00312D69" w:rsidP="00312D69">
      <w:pPr>
        <w:rPr>
          <w:i/>
          <w:vanish/>
        </w:rPr>
      </w:pPr>
      <w:r w:rsidRPr="00E97FB3">
        <w:rPr>
          <w:i/>
        </w:rPr>
        <w:fldChar w:fldCharType="begin"/>
      </w:r>
      <w:r w:rsidRPr="00E97FB3">
        <w:rPr>
          <w:i/>
        </w:rPr>
        <w:instrText xml:space="preserve"> TC"(</w:instrText>
      </w:r>
      <w:bookmarkStart w:id="2" w:name="DocNumber"/>
      <w:r w:rsidRPr="00E97FB3">
        <w:rPr>
          <w:i/>
        </w:rPr>
        <w:instrText>A9-0114/2024</w:instrText>
      </w:r>
      <w:bookmarkEnd w:id="2"/>
      <w:r w:rsidRPr="00E97FB3">
        <w:rPr>
          <w:i/>
        </w:rPr>
        <w:instrText xml:space="preserve"> - Pranešėjas: Petri Sarvamaa)"\l3 \n&gt; \* MERGEFORMAT </w:instrText>
      </w:r>
      <w:r w:rsidRPr="00E97FB3">
        <w:rPr>
          <w:i/>
        </w:rPr>
        <w:fldChar w:fldCharType="end"/>
      </w:r>
    </w:p>
    <w:p w:rsidR="00312D69" w:rsidRPr="00E97FB3" w:rsidRDefault="00312D69" w:rsidP="00312D69">
      <w:pPr>
        <w:rPr>
          <w:vanish/>
        </w:rPr>
      </w:pPr>
      <w:bookmarkStart w:id="3" w:name="Commission"/>
      <w:r w:rsidRPr="00E97FB3">
        <w:rPr>
          <w:vanish/>
        </w:rPr>
        <w:t>Biudžeto kontrolės komitetas</w:t>
      </w:r>
      <w:bookmarkEnd w:id="3"/>
    </w:p>
    <w:p w:rsidR="00312D69" w:rsidRPr="00E97FB3" w:rsidRDefault="00312D69" w:rsidP="00312D69">
      <w:pPr>
        <w:rPr>
          <w:vanish/>
        </w:rPr>
      </w:pPr>
      <w:bookmarkStart w:id="4" w:name="PE"/>
      <w:r w:rsidRPr="00E97FB3">
        <w:rPr>
          <w:vanish/>
        </w:rPr>
        <w:t>PE753.531</w:t>
      </w:r>
      <w:bookmarkEnd w:id="4"/>
    </w:p>
    <w:p w:rsidR="00312D69" w:rsidRPr="00E97FB3" w:rsidRDefault="00645D49" w:rsidP="00E97FB3">
      <w:pPr>
        <w:pStyle w:val="ATHeading3"/>
      </w:pPr>
      <w:bookmarkStart w:id="5" w:name="Sujet"/>
      <w:r w:rsidRPr="00E97FB3">
        <w:t>1. 2</w:t>
      </w:r>
      <w:r w:rsidR="00312D69" w:rsidRPr="00E97FB3">
        <w:t xml:space="preserve">024 m. </w:t>
      </w:r>
      <w:r w:rsidRPr="00E97FB3">
        <w:t>balandžio</w:t>
      </w:r>
      <w:r w:rsidR="00312D69" w:rsidRPr="00E97FB3">
        <w:t xml:space="preserve"> 11 d. Europos Parlamento sprendimas dėl Europos mokymo fondo 2022 finansinių metų biudžeto įvykdymo patvirtinimo</w:t>
      </w:r>
      <w:bookmarkEnd w:id="5"/>
      <w:r w:rsidR="00312D69" w:rsidRPr="00E97FB3">
        <w:t xml:space="preserve"> </w:t>
      </w:r>
      <w:bookmarkStart w:id="6" w:name="References"/>
      <w:r w:rsidR="00312D69" w:rsidRPr="00E97FB3">
        <w:t>(2023/2163(DEC))</w:t>
      </w:r>
      <w:bookmarkEnd w:id="6"/>
    </w:p>
    <w:p w:rsidR="005F405B" w:rsidRPr="00E97FB3" w:rsidRDefault="005F405B" w:rsidP="005F405B">
      <w:pPr>
        <w:pStyle w:val="EPComma"/>
      </w:pPr>
      <w:bookmarkStart w:id="7" w:name="TextBodyBegin"/>
      <w:bookmarkEnd w:id="7"/>
      <w:r w:rsidRPr="00E97FB3">
        <w:rPr>
          <w:i/>
        </w:rPr>
        <w:t>Europos Parlamentas</w:t>
      </w:r>
      <w:r w:rsidRPr="00E97FB3">
        <w:t>,</w:t>
      </w:r>
    </w:p>
    <w:p w:rsidR="005F405B" w:rsidRPr="00E97FB3" w:rsidRDefault="005F405B" w:rsidP="005F405B">
      <w:pPr>
        <w:pStyle w:val="NormalHanging12a"/>
      </w:pPr>
      <w:r w:rsidRPr="00E97FB3">
        <w:t>–</w:t>
      </w:r>
      <w:r w:rsidRPr="00E97FB3">
        <w:tab/>
        <w:t>atsižvelgdamas į Europos mokymo fondo 2022 finansinių metų galutines metines ataskaitas,</w:t>
      </w:r>
    </w:p>
    <w:p w:rsidR="005F405B" w:rsidRPr="00E97FB3" w:rsidRDefault="005F405B" w:rsidP="005F405B">
      <w:pPr>
        <w:pStyle w:val="NormalHanging12a"/>
      </w:pPr>
      <w:r w:rsidRPr="00E97FB3">
        <w:t>–</w:t>
      </w:r>
      <w:r w:rsidRPr="00E97FB3">
        <w:tab/>
        <w:t>atsižvelgdamas į Audito Rūmų 2022 finansinių metų metinę ataskaitą dėl ES agentūrų kartu su agentūrų atsakymais</w:t>
      </w:r>
      <w:r w:rsidRPr="00E97FB3">
        <w:rPr>
          <w:rStyle w:val="FootnoteReference"/>
        </w:rPr>
        <w:footnoteReference w:id="1"/>
      </w:r>
      <w:r w:rsidRPr="00E97FB3">
        <w:t>,</w:t>
      </w:r>
    </w:p>
    <w:p w:rsidR="005F405B" w:rsidRPr="00E97FB3" w:rsidRDefault="005F405B" w:rsidP="005F405B">
      <w:pPr>
        <w:pStyle w:val="NormalHanging12a"/>
      </w:pPr>
      <w:r w:rsidRPr="00E97FB3">
        <w:t>–</w:t>
      </w:r>
      <w:r w:rsidRPr="00E97FB3">
        <w:tab/>
        <w:t>atsižvelgdamas į Audito Rūmų pagal Sutarties dėl Europos Sąjungos veikimo 287 straipsnį pateiktą 2022 finansinių metų sąskaitų patikimumo ir pagal jas atliktų operacijų teisėtumo ir tvarkingumo patikinimo pareiškimą</w:t>
      </w:r>
      <w:r w:rsidRPr="00E97FB3">
        <w:rPr>
          <w:rStyle w:val="FootnoteReference"/>
        </w:rPr>
        <w:footnoteReference w:id="2"/>
      </w:r>
      <w:r w:rsidRPr="00E97FB3">
        <w:t>,</w:t>
      </w:r>
    </w:p>
    <w:p w:rsidR="005F405B" w:rsidRPr="00E97FB3" w:rsidRDefault="005F405B" w:rsidP="005F405B">
      <w:pPr>
        <w:pStyle w:val="NormalHanging12a"/>
      </w:pPr>
      <w:r w:rsidRPr="00E97FB3">
        <w:t>–</w:t>
      </w:r>
      <w:r w:rsidRPr="00E97FB3">
        <w:tab/>
        <w:t xml:space="preserve">atsižvelgdamas į </w:t>
      </w:r>
      <w:r w:rsidR="00FD7290" w:rsidRPr="00E97FB3">
        <w:t xml:space="preserve">2024 m. vasario 22 d. </w:t>
      </w:r>
      <w:r w:rsidRPr="00E97FB3">
        <w:t>Tarybos rekomendaciją dėl patvirtinimo, kad Fondas įvykdė 2022 finansinių metų biudžetą (</w:t>
      </w:r>
      <w:r w:rsidR="00B20EF6" w:rsidRPr="00E97FB3">
        <w:t>06180</w:t>
      </w:r>
      <w:r w:rsidRPr="00E97FB3">
        <w:t>/2024 – C9</w:t>
      </w:r>
      <w:r w:rsidR="00B20EF6" w:rsidRPr="00E97FB3">
        <w:noBreakHyphen/>
        <w:t>0101</w:t>
      </w:r>
      <w:r w:rsidRPr="00E97FB3">
        <w:t>/2024),</w:t>
      </w:r>
    </w:p>
    <w:p w:rsidR="005F405B" w:rsidRPr="00E97FB3" w:rsidRDefault="005F405B" w:rsidP="005F405B">
      <w:pPr>
        <w:pStyle w:val="NormalHanging12a"/>
      </w:pPr>
      <w:r w:rsidRPr="00E97FB3">
        <w:t>–</w:t>
      </w:r>
      <w:r w:rsidRPr="00E97FB3">
        <w:tab/>
        <w:t>atsižvelgdamas į Sutarties dėl Europos Sąjungos veikimo 319 straipsnį,</w:t>
      </w:r>
    </w:p>
    <w:p w:rsidR="005F405B" w:rsidRPr="00E97FB3" w:rsidRDefault="005F405B" w:rsidP="005F405B">
      <w:pPr>
        <w:pStyle w:val="NormalHanging12a"/>
      </w:pPr>
      <w:r w:rsidRPr="00E97FB3">
        <w:t>–</w:t>
      </w:r>
      <w:r w:rsidRPr="00E97FB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97FB3">
        <w:rPr>
          <w:rStyle w:val="FootnoteReference"/>
        </w:rPr>
        <w:footnoteReference w:id="3"/>
      </w:r>
      <w:r w:rsidRPr="00E97FB3">
        <w:t>, ypač į jo 70 straipsnį,</w:t>
      </w:r>
    </w:p>
    <w:p w:rsidR="005F405B" w:rsidRPr="00E97FB3" w:rsidRDefault="005F405B" w:rsidP="005F405B">
      <w:pPr>
        <w:pStyle w:val="NormalHanging12a"/>
      </w:pPr>
      <w:r w:rsidRPr="00E97FB3">
        <w:t>–</w:t>
      </w:r>
      <w:r w:rsidRPr="00E97FB3">
        <w:tab/>
        <w:t>atsižvelgdamas į 2008 m. gruodžio 16 d. Europos Parlamento ir Tarybos reglamentą (EB) Nr. 1339/2008 dėl Europos mokymo fondo įsteigimo</w:t>
      </w:r>
      <w:r w:rsidRPr="00E97FB3">
        <w:rPr>
          <w:rStyle w:val="FootnoteReference"/>
        </w:rPr>
        <w:footnoteReference w:id="4"/>
      </w:r>
      <w:r w:rsidRPr="00E97FB3">
        <w:t>, ypač į jo 17 straipsnį,</w:t>
      </w:r>
    </w:p>
    <w:p w:rsidR="005F405B" w:rsidRPr="00E97FB3" w:rsidRDefault="005F405B" w:rsidP="005F405B">
      <w:pPr>
        <w:pStyle w:val="NormalHanging12a"/>
      </w:pPr>
      <w:r w:rsidRPr="00E97FB3">
        <w:t>–</w:t>
      </w:r>
      <w:r w:rsidRPr="00E97FB3">
        <w:tab/>
        <w:t xml:space="preserve">atsižvelgdamas į 2018 m. gruodžio 18 d. Komisijos deleguotąjį reglamentą </w:t>
      </w:r>
      <w:r w:rsidRPr="00E97FB3">
        <w:lastRenderedPageBreak/>
        <w:t>(ES) 2019/715 dėl finansinio pagrindų reglamento, taikomo organams, įsteigtiems pagal SESV ir Euratomo sutartį ir nurodytiems Europos Parlamento ir Tarybos reglamento (ES, Euratomas) 2018/1046 70 straipsnyje</w:t>
      </w:r>
      <w:r w:rsidRPr="00E97FB3">
        <w:rPr>
          <w:rStyle w:val="FootnoteReference"/>
        </w:rPr>
        <w:footnoteReference w:id="5"/>
      </w:r>
      <w:r w:rsidRPr="00E97FB3">
        <w:t>, ypač į jo 105 straipsnį,</w:t>
      </w:r>
    </w:p>
    <w:p w:rsidR="005F405B" w:rsidRPr="00E97FB3" w:rsidRDefault="005F405B" w:rsidP="005F405B">
      <w:pPr>
        <w:pStyle w:val="NormalHanging12a"/>
      </w:pPr>
      <w:r w:rsidRPr="00E97FB3">
        <w:t>–</w:t>
      </w:r>
      <w:r w:rsidRPr="00E97FB3">
        <w:tab/>
        <w:t>atsižvelgdamas į Darbo tvarkos taisyklių 100 straipsnį ir V priedą,</w:t>
      </w:r>
    </w:p>
    <w:p w:rsidR="005F405B" w:rsidRPr="00E97FB3" w:rsidRDefault="005F405B" w:rsidP="005F405B">
      <w:pPr>
        <w:pStyle w:val="NormalHanging12a"/>
      </w:pPr>
      <w:r w:rsidRPr="00E97FB3">
        <w:t>–</w:t>
      </w:r>
      <w:r w:rsidRPr="00E97FB3">
        <w:tab/>
        <w:t>atsižvelgdamas į Užimtumo ir socialinių reikalų komiteto nuomonę,</w:t>
      </w:r>
    </w:p>
    <w:p w:rsidR="005F405B" w:rsidRPr="00E97FB3" w:rsidRDefault="005F405B" w:rsidP="005F405B">
      <w:pPr>
        <w:pStyle w:val="NormalHanging12a"/>
      </w:pPr>
      <w:r w:rsidRPr="00E97FB3">
        <w:t>–</w:t>
      </w:r>
      <w:r w:rsidRPr="00E97FB3">
        <w:tab/>
        <w:t>atsižvelgdamas į Biudžeto kontrolės komiteto pranešimą (A9-0114/2024),</w:t>
      </w:r>
    </w:p>
    <w:p w:rsidR="005F405B" w:rsidRPr="00E97FB3" w:rsidRDefault="005F405B" w:rsidP="005F405B">
      <w:pPr>
        <w:pStyle w:val="NormalHanging12a"/>
      </w:pPr>
      <w:r w:rsidRPr="00E97FB3">
        <w:t>1.</w:t>
      </w:r>
      <w:r w:rsidRPr="00E97FB3">
        <w:tab/>
        <w:t>patvirtina Europos mokymo fondo direktorei, kad Fondo 2022 finansinių metų biudžetas įvykdytas;</w:t>
      </w:r>
    </w:p>
    <w:p w:rsidR="005F405B" w:rsidRPr="00E97FB3" w:rsidRDefault="005F405B" w:rsidP="005F405B">
      <w:pPr>
        <w:pStyle w:val="NormalHanging12a"/>
      </w:pPr>
      <w:r w:rsidRPr="00E97FB3">
        <w:t>2.</w:t>
      </w:r>
      <w:r w:rsidRPr="00E97FB3">
        <w:tab/>
        <w:t>išdėsto savo pastabas toliau pateikiamoje rezoliucijoje;</w:t>
      </w:r>
    </w:p>
    <w:p w:rsidR="005F405B" w:rsidRPr="00E97FB3" w:rsidRDefault="005F405B" w:rsidP="005F405B">
      <w:pPr>
        <w:pStyle w:val="NormalHanging12a"/>
      </w:pPr>
      <w:r w:rsidRPr="00E97FB3">
        <w:t>3.</w:t>
      </w:r>
      <w:r w:rsidRPr="00E97FB3">
        <w:tab/>
        <w:t xml:space="preserve">paveda Pirmininkei perduoti šį sprendimą ir rezoliuciją, kuri yra neatskiriama jo dalis, Europos mokymo fondo direktorei, Tarybai, Komisijai ir Audito Rūmams ir pasirūpinti, kad jie būtų paskelbti </w:t>
      </w:r>
      <w:r w:rsidRPr="00E97FB3">
        <w:rPr>
          <w:i/>
          <w:iCs/>
        </w:rPr>
        <w:t>Europos Sąjungos oficialiajame leidinyje</w:t>
      </w:r>
      <w:r w:rsidRPr="00E97FB3">
        <w:t xml:space="preserve"> (L serijoje).</w:t>
      </w:r>
    </w:p>
    <w:p w:rsidR="005F405B" w:rsidRPr="00E97FB3" w:rsidRDefault="005F405B" w:rsidP="005F405B"/>
    <w:p w:rsidR="005F405B" w:rsidRPr="00E97FB3" w:rsidRDefault="005F405B" w:rsidP="005F405B">
      <w:pPr>
        <w:pStyle w:val="PageHeading"/>
        <w:sectPr w:rsidR="005F405B" w:rsidRPr="00E97FB3" w:rsidSect="00EC5AF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F405B" w:rsidRPr="00E97FB3" w:rsidRDefault="005F405B" w:rsidP="00E97FB3">
      <w:pPr>
        <w:pStyle w:val="ATHeading3"/>
      </w:pPr>
      <w:bookmarkStart w:id="8" w:name="_Toc162000801"/>
      <w:r w:rsidRPr="00E97FB3">
        <w:lastRenderedPageBreak/>
        <w:t xml:space="preserve">2. </w:t>
      </w:r>
      <w:r w:rsidR="00C90618" w:rsidRPr="00E97FB3">
        <w:t xml:space="preserve">2024 m. balandžio 11 d. Europos Parlamento sprendimas </w:t>
      </w:r>
      <w:bookmarkEnd w:id="8"/>
      <w:r w:rsidRPr="00E97FB3">
        <w:t>dėl Europos mokymo fondo 2022 finansinių metų sąskaitų uždarymo</w:t>
      </w:r>
      <w:r w:rsidR="00C90618" w:rsidRPr="00E97FB3">
        <w:t xml:space="preserve"> </w:t>
      </w:r>
      <w:r w:rsidRPr="00E97FB3">
        <w:t>(2023/2163(DEC))</w:t>
      </w:r>
    </w:p>
    <w:p w:rsidR="005F405B" w:rsidRPr="00E97FB3" w:rsidRDefault="005F405B" w:rsidP="005F405B">
      <w:pPr>
        <w:pStyle w:val="EPComma"/>
      </w:pPr>
      <w:r w:rsidRPr="00E97FB3">
        <w:rPr>
          <w:i/>
        </w:rPr>
        <w:t>Europos Parlamentas</w:t>
      </w:r>
      <w:r w:rsidRPr="00E97FB3">
        <w:t>,</w:t>
      </w:r>
    </w:p>
    <w:p w:rsidR="005F405B" w:rsidRPr="00E97FB3" w:rsidRDefault="005F405B" w:rsidP="005F405B">
      <w:pPr>
        <w:pStyle w:val="NormalHanging12a"/>
      </w:pPr>
      <w:r w:rsidRPr="00E97FB3">
        <w:t>–</w:t>
      </w:r>
      <w:r w:rsidRPr="00E97FB3">
        <w:tab/>
        <w:t>atsižvelgdamas į Europos mokymo fondo 2022 finansinių metų galutines metines ataskaitas,</w:t>
      </w:r>
    </w:p>
    <w:p w:rsidR="005F405B" w:rsidRPr="00E97FB3" w:rsidRDefault="005F405B" w:rsidP="005F405B">
      <w:pPr>
        <w:pStyle w:val="NormalHanging12a"/>
      </w:pPr>
      <w:r w:rsidRPr="00E97FB3">
        <w:t>–</w:t>
      </w:r>
      <w:r w:rsidRPr="00E97FB3">
        <w:tab/>
        <w:t>atsižvelgdamas į Audito Rūmų 2022 finansinių metų metinę ataskaitą dėl ES agentūrų kartu su agentūrų atsakymais</w:t>
      </w:r>
      <w:r w:rsidRPr="00E97FB3">
        <w:rPr>
          <w:rStyle w:val="FootnoteReference"/>
        </w:rPr>
        <w:footnoteReference w:id="6"/>
      </w:r>
      <w:r w:rsidRPr="00E97FB3">
        <w:t>,</w:t>
      </w:r>
    </w:p>
    <w:p w:rsidR="005F405B" w:rsidRPr="00E97FB3" w:rsidRDefault="005F405B" w:rsidP="005F405B">
      <w:pPr>
        <w:pStyle w:val="NormalHanging12a"/>
      </w:pPr>
      <w:r w:rsidRPr="00E97FB3">
        <w:t>–</w:t>
      </w:r>
      <w:r w:rsidRPr="00E97FB3">
        <w:tab/>
        <w:t>atsižvelgdamas į Audito Rūmų pagal Sutarties dėl Europos Sąjungos veikimo 287 straipsnį pateiktą 2022 finansinių metų sąskaitų patikimumo ir pagal jas atliktų operacijų teisėtumo ir tvarkingumo patikinimo pareiškimą</w:t>
      </w:r>
      <w:r w:rsidRPr="00E97FB3">
        <w:rPr>
          <w:rStyle w:val="FootnoteReference"/>
        </w:rPr>
        <w:footnoteReference w:id="7"/>
      </w:r>
      <w:r w:rsidRPr="00E97FB3">
        <w:t>,</w:t>
      </w:r>
    </w:p>
    <w:p w:rsidR="005F405B" w:rsidRPr="00E97FB3" w:rsidRDefault="005F405B" w:rsidP="005F405B">
      <w:pPr>
        <w:pStyle w:val="NormalHanging12a"/>
      </w:pPr>
      <w:r w:rsidRPr="00E97FB3">
        <w:t>–</w:t>
      </w:r>
      <w:r w:rsidRPr="00E97FB3">
        <w:tab/>
        <w:t xml:space="preserve">atsižvelgdamas į </w:t>
      </w:r>
      <w:r w:rsidR="00FD7290" w:rsidRPr="00E97FB3">
        <w:t xml:space="preserve">2024 m. vasario 22 d. </w:t>
      </w:r>
      <w:r w:rsidRPr="00E97FB3">
        <w:t>Tarybos rekomendaciją dėl patvirtinimo, kad Fondas įvykdė 2022 finansinių metų biudžetą (</w:t>
      </w:r>
      <w:r w:rsidR="007A7511" w:rsidRPr="00E97FB3">
        <w:t>06180</w:t>
      </w:r>
      <w:r w:rsidRPr="00E97FB3">
        <w:t>/2024 – C9</w:t>
      </w:r>
      <w:r w:rsidRPr="00E97FB3">
        <w:noBreakHyphen/>
      </w:r>
      <w:r w:rsidR="007A7511" w:rsidRPr="00E97FB3">
        <w:t>0101</w:t>
      </w:r>
      <w:r w:rsidRPr="00E97FB3">
        <w:t>/2024),</w:t>
      </w:r>
    </w:p>
    <w:p w:rsidR="005F405B" w:rsidRPr="00E97FB3" w:rsidRDefault="005F405B" w:rsidP="005F405B">
      <w:pPr>
        <w:pStyle w:val="NormalHanging12a"/>
      </w:pPr>
      <w:r w:rsidRPr="00E97FB3">
        <w:t>–</w:t>
      </w:r>
      <w:r w:rsidRPr="00E97FB3">
        <w:tab/>
        <w:t>atsižvelgdamas į Sutarties dėl Europos Sąjungos veikimo 319 straipsnį,</w:t>
      </w:r>
    </w:p>
    <w:p w:rsidR="005F405B" w:rsidRPr="00E97FB3" w:rsidRDefault="005F405B" w:rsidP="005F405B">
      <w:pPr>
        <w:pStyle w:val="NormalHanging12a"/>
      </w:pPr>
      <w:r w:rsidRPr="00E97FB3">
        <w:t>–</w:t>
      </w:r>
      <w:r w:rsidRPr="00E97FB3">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97FB3">
        <w:rPr>
          <w:rStyle w:val="FootnoteReference"/>
        </w:rPr>
        <w:footnoteReference w:id="8"/>
      </w:r>
      <w:r w:rsidRPr="00E97FB3">
        <w:t>, ypač į jo 70 straipsnį,</w:t>
      </w:r>
    </w:p>
    <w:p w:rsidR="005F405B" w:rsidRPr="00E97FB3" w:rsidRDefault="005F405B" w:rsidP="005F405B">
      <w:pPr>
        <w:pStyle w:val="NormalHanging12a"/>
      </w:pPr>
      <w:r w:rsidRPr="00E97FB3">
        <w:t>–</w:t>
      </w:r>
      <w:r w:rsidRPr="00E97FB3">
        <w:tab/>
        <w:t>atsižvelgdamas į 2008 m. gruodžio 16 d. Europos Parlamento ir Tarybos reglamentą (EB) Nr. 1339/2008 dėl Europos mokymo fondo įsteigimo</w:t>
      </w:r>
      <w:r w:rsidRPr="00E97FB3">
        <w:rPr>
          <w:rStyle w:val="FootnoteReference"/>
        </w:rPr>
        <w:footnoteReference w:id="9"/>
      </w:r>
      <w:r w:rsidRPr="00E97FB3">
        <w:t>, ypač į jo 17 straipsnį,</w:t>
      </w:r>
    </w:p>
    <w:p w:rsidR="005F405B" w:rsidRPr="00E97FB3" w:rsidRDefault="005F405B" w:rsidP="005F405B">
      <w:pPr>
        <w:pStyle w:val="NormalHanging12a"/>
      </w:pPr>
      <w:r w:rsidRPr="00E97FB3">
        <w:t>–</w:t>
      </w:r>
      <w:r w:rsidRPr="00E97FB3">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E97FB3">
        <w:rPr>
          <w:rStyle w:val="FootnoteReference"/>
        </w:rPr>
        <w:footnoteReference w:id="10"/>
      </w:r>
      <w:r w:rsidRPr="00E97FB3">
        <w:t>, ypač į jo 105 straipsnį,</w:t>
      </w:r>
    </w:p>
    <w:p w:rsidR="005F405B" w:rsidRPr="00E97FB3" w:rsidRDefault="005F405B" w:rsidP="005F405B">
      <w:pPr>
        <w:pStyle w:val="NormalHanging12a"/>
      </w:pPr>
      <w:r w:rsidRPr="00E97FB3">
        <w:t>–</w:t>
      </w:r>
      <w:r w:rsidRPr="00E97FB3">
        <w:tab/>
        <w:t>atsižvelgdamas į Darbo tvarkos taisyklių 100 straipsnį ir V priedą,</w:t>
      </w:r>
    </w:p>
    <w:p w:rsidR="005F405B" w:rsidRPr="00E97FB3" w:rsidRDefault="005F405B" w:rsidP="005F405B">
      <w:pPr>
        <w:pStyle w:val="NormalHanging12a"/>
      </w:pPr>
      <w:r w:rsidRPr="00E97FB3">
        <w:t>–</w:t>
      </w:r>
      <w:r w:rsidRPr="00E97FB3">
        <w:tab/>
        <w:t>atsižvelgdamas į Užimtumo ir socialinių reikalų komiteto nuomonę,</w:t>
      </w:r>
    </w:p>
    <w:p w:rsidR="005F405B" w:rsidRPr="00E97FB3" w:rsidRDefault="005F405B" w:rsidP="005F405B">
      <w:pPr>
        <w:pStyle w:val="NormalHanging12a"/>
      </w:pPr>
      <w:r w:rsidRPr="00E97FB3">
        <w:t>–</w:t>
      </w:r>
      <w:r w:rsidRPr="00E97FB3">
        <w:tab/>
        <w:t>atsižvelgdamas į Biudžeto kontrolės komiteto pranešimą (A9-0114/2024),</w:t>
      </w:r>
    </w:p>
    <w:p w:rsidR="005F405B" w:rsidRPr="00E97FB3" w:rsidRDefault="005F405B" w:rsidP="005F405B">
      <w:pPr>
        <w:pStyle w:val="NormalHanging12a"/>
      </w:pPr>
      <w:r w:rsidRPr="00E97FB3">
        <w:t>1.</w:t>
      </w:r>
      <w:r w:rsidRPr="00E97FB3">
        <w:tab/>
        <w:t>pritaria Europos mokymo fondo 2022 finansinių metų sąskaitų uždarymui;</w:t>
      </w:r>
    </w:p>
    <w:p w:rsidR="005F405B" w:rsidRPr="00E97FB3" w:rsidRDefault="005F405B" w:rsidP="00E97FB3">
      <w:pPr>
        <w:ind w:left="567" w:hanging="567"/>
      </w:pPr>
      <w:r w:rsidRPr="00E97FB3">
        <w:t>2.</w:t>
      </w:r>
      <w:r w:rsidRPr="00E97FB3">
        <w:tab/>
        <w:t xml:space="preserve">paveda Pirmininkei perduoti šį sprendimą Europos mokymo fondo direktorei, Tarybai, Komisijai ir Audito Rūmams ir pasirūpinti, kad jis būtų paskelbtas </w:t>
      </w:r>
      <w:r w:rsidRPr="00E97FB3">
        <w:rPr>
          <w:i/>
          <w:iCs/>
        </w:rPr>
        <w:t>Europos Sąjungos oficialiajame leidinyje</w:t>
      </w:r>
      <w:r w:rsidRPr="00E97FB3">
        <w:t xml:space="preserve"> (L serijoje).</w:t>
      </w:r>
    </w:p>
    <w:p w:rsidR="005F405B" w:rsidRPr="00E97FB3" w:rsidRDefault="005F405B" w:rsidP="005F405B">
      <w:pPr>
        <w:pStyle w:val="PageHeading"/>
        <w:sectPr w:rsidR="005F405B" w:rsidRPr="00E97FB3" w:rsidSect="00EC5AFB">
          <w:footnotePr>
            <w:numRestart w:val="eachPage"/>
          </w:footnotePr>
          <w:endnotePr>
            <w:numFmt w:val="decimal"/>
          </w:endnotePr>
          <w:pgSz w:w="11906" w:h="16838" w:code="9"/>
          <w:pgMar w:top="1134" w:right="1418" w:bottom="1418" w:left="1418" w:header="567" w:footer="567" w:gutter="0"/>
          <w:cols w:space="720"/>
          <w:noEndnote/>
          <w:docGrid w:linePitch="326"/>
        </w:sectPr>
      </w:pPr>
    </w:p>
    <w:p w:rsidR="005F405B" w:rsidRPr="00E97FB3" w:rsidRDefault="005F405B" w:rsidP="00E97FB3">
      <w:pPr>
        <w:pStyle w:val="ATHeading3"/>
      </w:pPr>
      <w:bookmarkStart w:id="9" w:name="_Toc162000802"/>
      <w:r w:rsidRPr="00E97FB3">
        <w:lastRenderedPageBreak/>
        <w:t xml:space="preserve">3. </w:t>
      </w:r>
      <w:r w:rsidR="008E7684" w:rsidRPr="00E97FB3">
        <w:t xml:space="preserve">2024 m. balandžio 11 d. Europos Parlamento rezoliucija </w:t>
      </w:r>
      <w:bookmarkEnd w:id="9"/>
      <w:r w:rsidRPr="00E97FB3">
        <w:t>su pastabomis, sudarančiomis neatskiriamą sprendimo dėl Europos mokymo fondo 2022 finansinių metų biudžeto įvykdymo patvirtinimo dalį</w:t>
      </w:r>
      <w:r w:rsidR="008E7684" w:rsidRPr="00E97FB3">
        <w:t xml:space="preserve"> </w:t>
      </w:r>
      <w:r w:rsidRPr="00E97FB3">
        <w:t>(2023/2163(DEC))</w:t>
      </w:r>
    </w:p>
    <w:p w:rsidR="005F405B" w:rsidRPr="00E97FB3" w:rsidRDefault="005F405B" w:rsidP="005F405B">
      <w:pPr>
        <w:pStyle w:val="EPComma"/>
      </w:pPr>
      <w:r w:rsidRPr="00E97FB3">
        <w:rPr>
          <w:i/>
        </w:rPr>
        <w:t>Europos Parlamentas</w:t>
      </w:r>
      <w:r w:rsidRPr="00E97FB3">
        <w:t>,</w:t>
      </w:r>
    </w:p>
    <w:p w:rsidR="005F405B" w:rsidRPr="00E97FB3" w:rsidRDefault="005F405B" w:rsidP="005F405B">
      <w:pPr>
        <w:pStyle w:val="NormalHanging12a"/>
      </w:pPr>
      <w:r w:rsidRPr="00E97FB3">
        <w:t>–</w:t>
      </w:r>
      <w:r w:rsidRPr="00E97FB3">
        <w:tab/>
        <w:t>atsižvelgdamas į savo sprendimą dėl Europos mokymo fondo 2022 finansinių metų biudžeto įvykdymo patvirtinimo,</w:t>
      </w:r>
    </w:p>
    <w:p w:rsidR="005F405B" w:rsidRPr="00E97FB3" w:rsidRDefault="005F405B" w:rsidP="005F405B">
      <w:pPr>
        <w:pStyle w:val="NormalHanging12a"/>
      </w:pPr>
      <w:r w:rsidRPr="00E97FB3">
        <w:t>–</w:t>
      </w:r>
      <w:r w:rsidRPr="00E97FB3">
        <w:tab/>
        <w:t>atsižvelgdamas į Darbo tvarkos taisyklių 100 straipsnį ir V priedą,</w:t>
      </w:r>
    </w:p>
    <w:p w:rsidR="005F405B" w:rsidRPr="00E97FB3" w:rsidRDefault="005F405B" w:rsidP="005F405B">
      <w:pPr>
        <w:pStyle w:val="NormalHanging12a"/>
      </w:pPr>
      <w:r w:rsidRPr="00E97FB3">
        <w:t>–</w:t>
      </w:r>
      <w:r w:rsidRPr="00E97FB3">
        <w:tab/>
        <w:t>atsižvelgdamas į Užimtumo ir socialinių reikalų komiteto nuomonę,</w:t>
      </w:r>
    </w:p>
    <w:p w:rsidR="005F405B" w:rsidRPr="00E97FB3" w:rsidRDefault="005F405B" w:rsidP="005F405B">
      <w:pPr>
        <w:pStyle w:val="NormalHanging12a"/>
      </w:pPr>
      <w:r w:rsidRPr="00E97FB3">
        <w:t>–</w:t>
      </w:r>
      <w:r w:rsidRPr="00E97FB3">
        <w:tab/>
        <w:t>atsižvelgdamas į Biudžeto kontrolės komiteto pranešimą (A9-0114/2024),</w:t>
      </w:r>
    </w:p>
    <w:p w:rsidR="005F405B" w:rsidRPr="00E97FB3" w:rsidRDefault="005F405B" w:rsidP="005F405B">
      <w:pPr>
        <w:pStyle w:val="Normal12Hanging"/>
        <w:rPr>
          <w:szCs w:val="24"/>
        </w:rPr>
      </w:pPr>
      <w:r w:rsidRPr="00E97FB3">
        <w:t>A.</w:t>
      </w:r>
      <w:r w:rsidRPr="00E97FB3">
        <w:tab/>
        <w:t>kadangi, remiantis Europos mokymo fondo (toliau – Fondas) pajamų ir išlaidų ataskaita</w:t>
      </w:r>
      <w:r w:rsidRPr="00E97FB3">
        <w:rPr>
          <w:rStyle w:val="FootnoteReference"/>
          <w:szCs w:val="24"/>
        </w:rPr>
        <w:footnoteReference w:id="11"/>
      </w:r>
      <w:r w:rsidRPr="00E97FB3">
        <w:t>, galutinis jo 2022 finansinių metų biudžetas sudarė 25 051 848 EUR, t. y. buvo 17,05 proc. didesnis negu 2021 m.; kadangi visą Fondo biudžetą sudaro lėšos iš Sąjungos biudžeto;</w:t>
      </w:r>
    </w:p>
    <w:p w:rsidR="005F405B" w:rsidRPr="00E97FB3" w:rsidRDefault="005F405B" w:rsidP="005F405B">
      <w:pPr>
        <w:pStyle w:val="Normal12Hanging"/>
        <w:rPr>
          <w:szCs w:val="24"/>
        </w:rPr>
      </w:pPr>
      <w:r w:rsidRPr="00E97FB3">
        <w:t>B.</w:t>
      </w:r>
      <w:r w:rsidRPr="00E97FB3">
        <w:tab/>
        <w:t>kadangi Audito Rūmai savo ataskaitoje dėl Agentūros 2022 finansinių metų metinių finansinių ataskaitų (toliau – Audito Rūmų ataskaita) pažymėjo, kad gavo pagrįstą patikinimą, jog Fondo metinės finansinės ataskaitos yra patikimos ir jose nurodytos operacijos yra teisėtos ir tvarkingos;</w:t>
      </w:r>
    </w:p>
    <w:p w:rsidR="005F405B" w:rsidRPr="00E97FB3" w:rsidRDefault="005F405B" w:rsidP="005F405B">
      <w:pPr>
        <w:pStyle w:val="Normal12Hanging"/>
        <w:rPr>
          <w:b/>
          <w:i/>
          <w:szCs w:val="24"/>
        </w:rPr>
      </w:pPr>
      <w:r w:rsidRPr="00E97FB3">
        <w:rPr>
          <w:b/>
          <w:i/>
        </w:rPr>
        <w:t>Biudžeto ir finansų valdymas</w:t>
      </w:r>
    </w:p>
    <w:p w:rsidR="005F405B" w:rsidRPr="00E97FB3" w:rsidRDefault="005F405B" w:rsidP="005F405B">
      <w:pPr>
        <w:pStyle w:val="Normal12Hanging"/>
        <w:rPr>
          <w:szCs w:val="24"/>
        </w:rPr>
      </w:pPr>
      <w:r w:rsidRPr="00E97FB3">
        <w:t>1.</w:t>
      </w:r>
      <w:r w:rsidRPr="00E97FB3">
        <w:tab/>
        <w:t>vertina tai, kad dėl biudžeto stebėsenos pastangų, kurios buvo dedamos 2022 finansinių metų laikotarpiu, biudžeto įvykdymo rodiklis buvo aukštas ir siekė 99,98 proc., taigi, lyginant su 2021 m., šiek tiek (0,07 proc.) padidėjo; pažymi, kad, palyginti su 2021 m., mokėjimų asignavimų įvykdymo lygis padidėjo 11,48 proc. ir siekė 97,70 proc.;</w:t>
      </w:r>
    </w:p>
    <w:p w:rsidR="005F405B" w:rsidRPr="00E97FB3" w:rsidRDefault="005F405B" w:rsidP="005F405B">
      <w:pPr>
        <w:pStyle w:val="NormalHanging12a"/>
      </w:pPr>
      <w:r w:rsidRPr="00E97FB3">
        <w:t>2.</w:t>
      </w:r>
      <w:r w:rsidRPr="00E97FB3">
        <w:tab/>
        <w:t>palankiai vertina tai, kad, nepaisant 2022 m. infliacijos ir komunalinių paslaugų kainų sukeltos biudžeto krizės, Fondas sugebėjo veiksmingai valdyti savo išlaidas, taikyti išlaidų mažinimo priemones ir iš naujo nustatyti prioritetus nepatirdamas didelių darbo programos vykdymo sutrikimų;</w:t>
      </w:r>
    </w:p>
    <w:p w:rsidR="005F405B" w:rsidRPr="00E97FB3" w:rsidRDefault="005F405B" w:rsidP="005F405B">
      <w:pPr>
        <w:widowControl/>
        <w:autoSpaceDE w:val="0"/>
        <w:autoSpaceDN w:val="0"/>
        <w:adjustRightInd w:val="0"/>
        <w:spacing w:after="240"/>
        <w:ind w:left="567" w:hanging="567"/>
        <w:rPr>
          <w:szCs w:val="24"/>
        </w:rPr>
      </w:pPr>
      <w:r w:rsidRPr="00E97FB3">
        <w:rPr>
          <w:b/>
          <w:i/>
        </w:rPr>
        <w:t>Veikla</w:t>
      </w:r>
    </w:p>
    <w:p w:rsidR="005F405B" w:rsidRPr="00E97FB3" w:rsidRDefault="005F405B" w:rsidP="005F405B">
      <w:pPr>
        <w:pStyle w:val="Normal12Hanging"/>
        <w:rPr>
          <w:szCs w:val="24"/>
        </w:rPr>
      </w:pPr>
      <w:r w:rsidRPr="00E97FB3">
        <w:t>3.</w:t>
      </w:r>
      <w:r w:rsidRPr="00E97FB3">
        <w:tab/>
        <w:t>palankiai vertina tai, kad Fondas naudoja konkrečias priemones kaip pagrindinius veiklos rezultatų rodiklius savo veiklos teikiamai pridėtinei vertei nustatyti ir kitas priemones savo biudžeto valdymui pagerinti;</w:t>
      </w:r>
    </w:p>
    <w:p w:rsidR="005F405B" w:rsidRPr="00E97FB3" w:rsidRDefault="005F405B" w:rsidP="005F405B">
      <w:pPr>
        <w:pStyle w:val="Normal12Hanging"/>
        <w:rPr>
          <w:szCs w:val="24"/>
        </w:rPr>
      </w:pPr>
      <w:r w:rsidRPr="00E97FB3">
        <w:t>4.</w:t>
      </w:r>
      <w:r w:rsidRPr="00E97FB3">
        <w:tab/>
        <w:t>pažymi, kad Fondo veiklos užbaigimo lygis siekė 93 proc., t. y. šiek tiek sumažėjo, palyginti su 2021 m., o veiklos užbaigimo laiku lygis buvo 89 proc.; pažymi, kad Fondas pasiekė visus pagrindinius veiklos rezultatų rodiklius ir gerokai viršydamas išsikeltus tikslus;</w:t>
      </w:r>
    </w:p>
    <w:p w:rsidR="005F405B" w:rsidRPr="00E97FB3" w:rsidRDefault="005F405B" w:rsidP="005F405B">
      <w:pPr>
        <w:pStyle w:val="Normal12Hanging"/>
      </w:pPr>
      <w:r w:rsidRPr="00E97FB3">
        <w:t>5.</w:t>
      </w:r>
      <w:r w:rsidRPr="00E97FB3">
        <w:tab/>
        <w:t xml:space="preserve">atkreipia dėmesį į pagrindinius Fondo 2022 m. pasiekimus, kurie grindžiami trimis </w:t>
      </w:r>
      <w:r w:rsidRPr="00E97FB3">
        <w:lastRenderedPageBreak/>
        <w:t>strateginiais tikslais: įgūdžių aktualumu ir numatymu, įgūdžių ugdymu ir patvirtinimu, švietimo ir mokymo politikos rezultatais ir kokybe; pažymi, kad šiuos tikslus Fondas įgyvendina pasitelkdamas tris pagrindines paslaugas: žinių centrą, stebėseną ir vertinimą bei politines konsultacijas;</w:t>
      </w:r>
    </w:p>
    <w:p w:rsidR="005F405B" w:rsidRPr="00E97FB3" w:rsidRDefault="005F405B" w:rsidP="005F405B">
      <w:pPr>
        <w:pStyle w:val="Normal12Hanging"/>
      </w:pPr>
      <w:r w:rsidRPr="00E97FB3">
        <w:t>6.</w:t>
      </w:r>
      <w:r w:rsidRPr="00E97FB3">
        <w:tab/>
        <w:t>atkreipia dėmesį į naujas iniciatyvas, kurias 2022 m. pradėjo Fondas, pvz., naują Europos komandos iniciatyvą pietinėse ir rytinėse Viduržemio jūros regiono šalyse ir tinklo GLAD (Valdymas, mokymasis, veiksmai ir dialogas) subūrimą; atkreipia dėmesį į Fondo kompetencijos tinklo plėtrą ir jo kompetencijos tinklo 2022 m. lapkričio mėn. vykusią internetinę konferenciją, kuri suteikė galimybę dalyviams pasidalyti su teminės partnerystės darbu susijusia raida ir rezultatais;</w:t>
      </w:r>
    </w:p>
    <w:p w:rsidR="005F405B" w:rsidRPr="00E97FB3" w:rsidRDefault="005F405B" w:rsidP="005F405B">
      <w:pPr>
        <w:pStyle w:val="NormalHanging12a"/>
      </w:pPr>
      <w:r w:rsidRPr="00E97FB3">
        <w:t>7.</w:t>
      </w:r>
      <w:r w:rsidRPr="00E97FB3">
        <w:tab/>
        <w:t>pabrėžia, kad Fondas remia Moldovą, Sakartvelą ir Ukrainą kaip šalis kandidates, joms siekiant suderinti savo švietimo ir užimtumo politiką su Sąjungos politika, nacionalinėms valdžios institucijoms teikdamas technines ekspertines žinias ir konsultacijas įvairiais klausimais, glaudžiai bendradarbiaudamas su Sąjungos delegacijomis ir Komisijos tarnybomis;</w:t>
      </w:r>
    </w:p>
    <w:p w:rsidR="005F405B" w:rsidRPr="00E97FB3" w:rsidRDefault="005F405B" w:rsidP="005F405B">
      <w:pPr>
        <w:pStyle w:val="Normal12Hanging"/>
        <w:rPr>
          <w:szCs w:val="24"/>
        </w:rPr>
      </w:pPr>
      <w:r w:rsidRPr="00E97FB3">
        <w:t>8.</w:t>
      </w:r>
      <w:r w:rsidRPr="00E97FB3">
        <w:tab/>
        <w:t>palankiai vertina tai, kad priemonės, kurių Fondas ėmėsi reaguodamas į sukrėtimus, pvz., besitęsiantį COVID-19 pandemijos ir Rusijos agresijos Ukrainoje poveikį, buvo labai veiksmingos užtikrinant nuolatinį ir labai aukštą metinės darbo programos įgyvendinimo lygį; palankiai vertina Fondo iniciatyvą remti Ukrainą pasitelkiant internetinį Ukrainos pabėgėlių kvalifikacijų, įgūdžių ir studijų laikotarpių pripažinimo centrą bei kitas priemones ir reaguoti, kai įmanoma ir aktualu, glaudžiai bendradarbiaujant su įvairiomis Europos Komisijos tarnybomis, pasinaudojant savo temine patirtimi ir žiniomis apie šalies švietimo ir mokymo sistemas;</w:t>
      </w:r>
    </w:p>
    <w:p w:rsidR="005F405B" w:rsidRPr="00E97FB3" w:rsidRDefault="005F405B" w:rsidP="005F405B">
      <w:pPr>
        <w:pStyle w:val="NormalHanging12a"/>
      </w:pPr>
      <w:r w:rsidRPr="00E97FB3">
        <w:t>9.</w:t>
      </w:r>
      <w:r w:rsidRPr="00E97FB3">
        <w:tab/>
        <w:t>pabrėžia, kad nuo 2022 m. pradžios Fondas sustabdė visą veiklą ir bendradarbiavimą su Baltarusijos valdžios institucijomis;</w:t>
      </w:r>
    </w:p>
    <w:p w:rsidR="005F405B" w:rsidRPr="00E97FB3" w:rsidRDefault="005F405B" w:rsidP="005F405B">
      <w:pPr>
        <w:pStyle w:val="NormalHanging12a"/>
      </w:pPr>
      <w:r w:rsidRPr="00E97FB3">
        <w:t>10.</w:t>
      </w:r>
      <w:r w:rsidRPr="00E97FB3">
        <w:tab/>
        <w:t>palankiai vertina Fondo veiklą siekiant padėti Sąjungos šalims partnerėms išnaudoti jų žmogiškojo kapitalo potencialą ir gerinti savo piliečių užimtumo perspektyvas vykdant švietimo, profesinio mokymo, įgūdžių ir darbo rinkos sistemų reformą, atsižvelgiant į Sąjungos išorės santykių politiką;</w:t>
      </w:r>
    </w:p>
    <w:p w:rsidR="005F405B" w:rsidRPr="00E97FB3" w:rsidRDefault="005F405B" w:rsidP="005F405B">
      <w:pPr>
        <w:pStyle w:val="NormalHanging12a"/>
        <w:rPr>
          <w:szCs w:val="24"/>
        </w:rPr>
      </w:pPr>
      <w:r w:rsidRPr="00E97FB3">
        <w:t>11.</w:t>
      </w:r>
      <w:r w:rsidRPr="00E97FB3">
        <w:tab/>
        <w:t>ypač palankiai vertina naują Fondo profesinės kompetencijos centrų, kurie buvo sukurti siekiant prisidėti prie tarptautinių verslumo įgūdžių ugdymo bendruomenės diskusijų ir įkvėpti mokymo centrus geriau reaguoti į kintančius piliečių, ekonomikos ir visuomenės poreikius, koncepciją;</w:t>
      </w:r>
    </w:p>
    <w:p w:rsidR="005F405B" w:rsidRPr="00E97FB3" w:rsidRDefault="005F405B" w:rsidP="005F405B">
      <w:pPr>
        <w:pStyle w:val="Normal12Hanging"/>
        <w:rPr>
          <w:b/>
          <w:i/>
          <w:szCs w:val="24"/>
        </w:rPr>
      </w:pPr>
      <w:r w:rsidRPr="00E97FB3">
        <w:rPr>
          <w:b/>
          <w:i/>
        </w:rPr>
        <w:t>Veiksmingumas ir nauda</w:t>
      </w:r>
    </w:p>
    <w:p w:rsidR="005F405B" w:rsidRPr="00E97FB3" w:rsidRDefault="005F405B" w:rsidP="005F405B">
      <w:pPr>
        <w:pStyle w:val="Normal12Hanging"/>
        <w:rPr>
          <w:szCs w:val="24"/>
        </w:rPr>
      </w:pPr>
      <w:r w:rsidRPr="00E97FB3">
        <w:t>12.</w:t>
      </w:r>
      <w:r w:rsidRPr="00E97FB3">
        <w:tab/>
        <w:t>pažymi, kad 2022 m. Fondas toliau ieškojo galimybių didinti savo operacijų veiksmingumą, pvz., gerinti skaitmeninius darbo srautus ir proaktyviai dalyvauti Sąjungos agentūrų tinklo ir įvairių jo darbo grupių veikloje; šiuo požiūriu, be kita ko, atkreipia dėmesį į tai, kad Fondas dalijasi apskaitos tarnyba su Europos darbuotojų saugos ir sveikatos agentūra pagal 2022 m. pasirašytą susitarimą dėl paslaugų lygio ir į galimybės dalytis ištekliais įdarbinimo, kibernetinio saugumo, EMAS, tvarumo ir žalinimo, viešųjų pirkimų ir IT priemonių bei sistemų srityse su Europos profesinio mokymo plėtros centru įvertinimą;</w:t>
      </w:r>
    </w:p>
    <w:p w:rsidR="005F405B" w:rsidRPr="00E97FB3" w:rsidRDefault="005F405B" w:rsidP="005F405B">
      <w:pPr>
        <w:pStyle w:val="Normal12Hanging"/>
        <w:rPr>
          <w:szCs w:val="24"/>
        </w:rPr>
      </w:pPr>
      <w:r w:rsidRPr="00E97FB3">
        <w:lastRenderedPageBreak/>
        <w:t>13.</w:t>
      </w:r>
      <w:r w:rsidRPr="00E97FB3">
        <w:tab/>
        <w:t>pažymi, kad Fondas įdiegė priemones, įskaitant energijos vartojimo ir pastatų valdymo srityse, pvz., 2022 m. rugpjūčio mėn. uždarė biurus, išjungė šviesos ir vandens jutiklius, katilų laikmačius, šildymą ir oro kondicionavimą; atkreipia dėmesį į didesnes pastangas energijos valdymo srityje, dėl kurių 2022 m. buvo sutaupyta 2 000 m³ dujų ir 49,107 KwH elektros energijos, nepaisant to, kad dėl taikomų mišrių darbo sąlygų biurų darbuotojų skaičius ištisus metus didėjo;</w:t>
      </w:r>
    </w:p>
    <w:p w:rsidR="005F405B" w:rsidRPr="00E97FB3" w:rsidRDefault="005F405B" w:rsidP="005F405B">
      <w:pPr>
        <w:pStyle w:val="Normal12Hanging"/>
        <w:rPr>
          <w:szCs w:val="24"/>
        </w:rPr>
      </w:pPr>
      <w:r w:rsidRPr="00E97FB3">
        <w:t>14.</w:t>
      </w:r>
      <w:r w:rsidRPr="00E97FB3">
        <w:tab/>
        <w:t>palankiai vertina Fondo įsipareigojimą patvirtinti visas Komisijos e. viešojo pirkimo priemones ir tai, kad Fondo viešųjų pirkimų procesas yra visiškai suskaitmenintas;</w:t>
      </w:r>
    </w:p>
    <w:p w:rsidR="005F405B" w:rsidRPr="00E97FB3" w:rsidRDefault="005F405B" w:rsidP="005F405B">
      <w:pPr>
        <w:pStyle w:val="NormalHanging12a"/>
        <w:rPr>
          <w:szCs w:val="24"/>
        </w:rPr>
      </w:pPr>
      <w:r w:rsidRPr="00E97FB3">
        <w:t>15.</w:t>
      </w:r>
      <w:r w:rsidRPr="00E97FB3">
        <w:tab/>
        <w:t>giria Fondą už tai, kad jis parengė veiklos planą, kurį vykdydamas siekia pagerinti savo veiksmų energijos vartojimo efektyvumą ir poveikio klimatui neutralumą;</w:t>
      </w:r>
    </w:p>
    <w:p w:rsidR="005F405B" w:rsidRPr="00E97FB3" w:rsidRDefault="005F405B" w:rsidP="005F405B">
      <w:pPr>
        <w:pStyle w:val="Normal12Hanging"/>
        <w:rPr>
          <w:b/>
          <w:i/>
          <w:szCs w:val="24"/>
        </w:rPr>
      </w:pPr>
      <w:r w:rsidRPr="00E97FB3">
        <w:rPr>
          <w:b/>
          <w:i/>
        </w:rPr>
        <w:t>Personalo politika</w:t>
      </w:r>
    </w:p>
    <w:p w:rsidR="005F405B" w:rsidRPr="00E97FB3" w:rsidRDefault="005F405B" w:rsidP="005F405B">
      <w:pPr>
        <w:spacing w:after="240"/>
        <w:ind w:left="567" w:hanging="567"/>
      </w:pPr>
      <w:r w:rsidRPr="00E97FB3">
        <w:t>16.</w:t>
      </w:r>
      <w:r w:rsidRPr="00E97FB3">
        <w:tab/>
        <w:t>pažymi, kad etatų planas 2022 m. gruodžio 31 d. buvo įvykdytas 98,8 proc.: paskirti 85 pareigūnai ir laikinieji darbuotojai iš 86 pareigūnų ir laikinųjų darbuotojų, patvirtintų pagal Sąjungos biudžetą (patvirtintų pareigybių skaičius toks pat, kaip ir 2021 m.); pažymi, kad, be to, 2022 m. Fonde dirbo 39 sutartininkai ir vienas vietos darbuotojas;</w:t>
      </w:r>
    </w:p>
    <w:p w:rsidR="005F405B" w:rsidRPr="00E97FB3" w:rsidRDefault="005F405B" w:rsidP="005F405B">
      <w:pPr>
        <w:pStyle w:val="NormalHanging12a"/>
      </w:pPr>
      <w:r w:rsidRPr="00E97FB3">
        <w:t>17.</w:t>
      </w:r>
      <w:r w:rsidRPr="00E97FB3">
        <w:tab/>
        <w:t>pažymi, kad 2022 m. tarp Fondo darbuotojų buvo 21 valstybės narės piliečiai; pakartoja, kad geografinė pusiausvyra kelia iššūkių; pažymi, kad 42 proc. darbuotojų yra valstybės narės, kurioje įsikūręs Fondas, piliečiai; pripažįsta, kad Fondas taiko nuopelnais grindžiamą atrankos procedūrą, pagal kurią, jei kandidatų nuopelnai yra vienodi, Fondas pasirinktų tų šalių, kurioms atstovaujama nepakankamai, piliečius; primena geografinės pusiausvyros svarbą ir ragina Fondą imtis būtinų priemonių, kad būtų užtikrintas subalansuotas ir teisingas geografinis atstovavimas, be kita ko, viduriniosios grandies ir vyresniosios vadovybės pareigų lygmeniu, kartu atsižvelgiant į kandidatų kompetenciją ir nuopelnus, ir pranešti biudžeto įvykdymą tvirtinančiai institucijai apie visus pokyčius šioje srityje;</w:t>
      </w:r>
    </w:p>
    <w:p w:rsidR="005F405B" w:rsidRPr="00E97FB3" w:rsidRDefault="005F405B" w:rsidP="005F405B">
      <w:pPr>
        <w:pStyle w:val="NormalHanging12a"/>
      </w:pPr>
      <w:r w:rsidRPr="00E97FB3">
        <w:t>18.</w:t>
      </w:r>
      <w:r w:rsidRPr="00E97FB3">
        <w:tab/>
        <w:t>pažymi, kad, kalbant apie vidurinės grandies vadovų ir vyresniosios vadovybės lyčių pusiausvyrą, 2022 m. iš devynių vadovų keturios buvo moterys; pažymi, kad, kalbant apie valdybos narių lyčių pusiausvyrą, jos sudėtis buvo: 41 proc. vyrų ir 59 proc. moterų (atitinkamai 11 ir 16 narių), o apskritai personalą sudarė 33 proc. vyrų ir 67 proc. moterų (atitinkamai 41 ir 84 nariai); primena, kad svarbu užtikrinti darbuotojų lyčių pusiausvyrą, ir ragina Fondą atsižvelgti į šį aspektą ateityje įdarbinant darbuotojus ir skiriant vyresniuosius ir vidurinės grandies vadovus; prašo Komisijos ir valstybių narių atsižvelgti į tai, kad skiriant Fondo valdybos narius svarbu užtikrinti lyčių pusiausvyrą;</w:t>
      </w:r>
    </w:p>
    <w:p w:rsidR="005F405B" w:rsidRPr="00E97FB3" w:rsidRDefault="005F405B" w:rsidP="005F405B">
      <w:pPr>
        <w:pStyle w:val="NormalHanging12a"/>
      </w:pPr>
      <w:r w:rsidRPr="00E97FB3">
        <w:t>19.</w:t>
      </w:r>
      <w:r w:rsidRPr="00E97FB3">
        <w:tab/>
        <w:t>pažymi, kad atsižvelgiant į tolesnius veiksmus, susijusius su pastabomis dėl 2021 m. biudžeto įvykdymo patvirtinimo, Fondas peržiūrėjo savo pranešimus apie laisvas darbo vietas, kad padidintų darbo vietos patrauklumą, įvairina komunikacijos kanalus ir naudojasi tinklu „LinkedIn“, kad pateiktų informaciją šalims, kurioms mažiau atstovaujama;</w:t>
      </w:r>
    </w:p>
    <w:p w:rsidR="005F405B" w:rsidRPr="00E97FB3" w:rsidRDefault="005F405B" w:rsidP="005F405B">
      <w:pPr>
        <w:pStyle w:val="Normal12Hanging"/>
        <w:rPr>
          <w:szCs w:val="24"/>
        </w:rPr>
      </w:pPr>
      <w:r w:rsidRPr="00E97FB3">
        <w:t>20.</w:t>
      </w:r>
      <w:r w:rsidRPr="00E97FB3">
        <w:tab/>
        <w:t>pažymi, kad 2022 m. gruodžio mėn. Fondas priėmė įvairovės ir įtraukties chartiją; pažymi, kad 2022 m. darbuotojai galėjo pasinaudoti daugybe priemonių, skirtų gerovei darbe pagerinti, be to, buvo priimtos naujos darbo laiko ir mišriojo darbo taisyklės, kuriomis darbuotojams ir toliau suteikiama naujų lanksčių darbo galimybių;</w:t>
      </w:r>
    </w:p>
    <w:p w:rsidR="005F405B" w:rsidRPr="00E97FB3" w:rsidRDefault="005F405B" w:rsidP="005F405B">
      <w:pPr>
        <w:pStyle w:val="Normal12Hanging"/>
        <w:rPr>
          <w:b/>
          <w:i/>
          <w:szCs w:val="24"/>
        </w:rPr>
      </w:pPr>
      <w:r w:rsidRPr="00E97FB3">
        <w:rPr>
          <w:b/>
          <w:i/>
        </w:rPr>
        <w:lastRenderedPageBreak/>
        <w:t>Viešieji pirkimai</w:t>
      </w:r>
    </w:p>
    <w:p w:rsidR="005F405B" w:rsidRPr="00E97FB3" w:rsidRDefault="005F405B" w:rsidP="005F405B">
      <w:pPr>
        <w:pStyle w:val="Normal12Hanging"/>
        <w:rPr>
          <w:szCs w:val="24"/>
        </w:rPr>
      </w:pPr>
      <w:r w:rsidRPr="00E97FB3">
        <w:t>21.</w:t>
      </w:r>
      <w:r w:rsidRPr="00E97FB3">
        <w:tab/>
        <w:t>atkreipia dėmesį į Audito Rūmų pastabą, kad 2021 m. inicijuotos 1 mln. EUR vertės preliminariosios sutarties dėl turinio palaikymo paslaugų teikimo skyrimas buvo netvarkingas dėl nukrypimo nuo techninių specifikacijų; pažymi, kad, kad įrodytų savo ekonominį ir finansinį pajėgumą, konkurso dalyviai turėjo pateikti uždarytas ir pasirašytas sąskaitas, kuriose nurodyta bent 250 000 EUR apyvarta per pastaruosius dvejus finansinius metus (t. y. 2019 ir 2020 m.); pažymi, kad konkursą laimėjusio dalyvio 2019 m. apyvarta nesiekė reikalaujamos ribos, tačiau Fondas, užuot atmetęs konkurso dalyvį, nusprendė jo neatmesti remdamasis didesne apyvarta, nurodyta 2021 m. preliminariose ataskaitose; pažymi, kad Audito Rūmai daro išvadą, kad vertinimo procedūra ir pagal ją sudaryta sutartis yra netvarkingos; visi susiję mokėjimai, kurie 2022 m. sudarė 100 100 EUR, taip pat yra netvarkingi; atsižvelgdamas į Audito Rūmų pastabą, Fondas supaprastins savo taikomą metodiką, pagal kurią ir toliau vertins rangovų finansinį patikimumą, tačiau ją labiau pritaikys prie esamos finansinės padėties (po pandemijos COVID laikotarpis ir karas);</w:t>
      </w:r>
    </w:p>
    <w:p w:rsidR="005F405B" w:rsidRPr="00E97FB3" w:rsidRDefault="005F405B" w:rsidP="005F405B">
      <w:pPr>
        <w:pStyle w:val="Normal12Hanging"/>
      </w:pPr>
      <w:r w:rsidRPr="00E97FB3">
        <w:t>22.</w:t>
      </w:r>
      <w:r w:rsidRPr="00E97FB3">
        <w:tab/>
        <w:t xml:space="preserve">pažymi, kad kitoje atviroje viešųjų pirkimų procedūroje dėl šalies viduje teikiamų paramos paslaugų, kurių vertė – 4 mln. EUR, konkurso dalyvių finansiniai ir ekonominiai pajėgumai turėjo būti vertinami pagal du kriterijus: i) stabili finansinė būklė, kurią įrodo parametrų rinkinys, įskaitant teigiamą grynąjį pelną, ir ii) metinė apyvarta, ne mažesnė kaip 1 mln. EUR per pastaruosius dvejus finansinius metus; pažymi, kad Fondas sudarė sutartį su penkių nekomercinių subjektų konsorciumu, nors nė vienas iš konsorciumo narių per pastaruosius dvejus metus nepranešė apie pelną, be to, jis nusprendė neatsižvelgti į apyvartos reikalavimą – kurio konkurso laimėtojas neatitiko – kaip netaikomą nekomerciniams subjektams; pabrėžia, kad Audito Rūmai padarė išvadą, kad Fondas atrankos kriterijus taikė neteisingai ir kad laimėjusio dalyvio ekonominiai ir finansiniai pajėgumai nėra įrodyti; be to, pažymi, kad vertinimo procedūra ir pagal ją sudaryta sutartis yra netvarkingos; visi susiję mokėjimai, kurie 2022 m. sudarė 70 500 EUR, taip pat yra netvarkingi; pažymi, kad aptariama viešųjų pirkimų procedūra buvo skirta žmogiškojo kapitalo plėtrai </w:t>
      </w:r>
      <w:bookmarkStart w:id="10" w:name="_GoBack"/>
      <w:bookmarkEnd w:id="10"/>
      <w:r w:rsidRPr="00E97FB3">
        <w:t>Vidurinėje Azijoje ir, atsižvelgdamas į Audito Rūmų pastabą, Fondas tęs diskusijas su atitinkamomis Komisijos tarnybomis dėl galimų alternatyvių veiklos šalyse partnerėse vykdymo metodų ir tuo pat metu supaprastins savo finansinio vertinimo metodiką, kad prireikus būtų galima orientuotis į ne Sąjungos rinką;</w:t>
      </w:r>
    </w:p>
    <w:p w:rsidR="005F405B" w:rsidRPr="00E97FB3" w:rsidRDefault="005F405B" w:rsidP="005F405B">
      <w:pPr>
        <w:pStyle w:val="Normal12Hanging"/>
        <w:rPr>
          <w:szCs w:val="24"/>
        </w:rPr>
      </w:pPr>
      <w:r w:rsidRPr="00E97FB3">
        <w:t>23.</w:t>
      </w:r>
      <w:r w:rsidRPr="00E97FB3">
        <w:tab/>
        <w:t>primena, kad vykdant visas viešųjų pirkimų procedūras svarbu yra užtikrinti sąžiningą konkurso dalyvių konkurenciją ir pirkti prekes bei paslaugas už geriausią kainą, laikantis skaidrumo ir patikimo viešųjų išteklių naudojimo, proporcingumo, vienodo požiūrio ir nediskriminavimo principų; ragina Fondą imtis veiksmų siekiant užtikrinti, kad būsimose viešųjų pirkimų procedūrose būtų visapusiškai laikomasi taikytinų taisyklių, kuriomis užtikrinamas viešųjų pirkimų proceso skaidrumas, teisingumas ir sąžiningumas;</w:t>
      </w:r>
    </w:p>
    <w:p w:rsidR="005F405B" w:rsidRPr="00E97FB3" w:rsidRDefault="005F405B" w:rsidP="005F405B">
      <w:pPr>
        <w:pStyle w:val="Normal12Hanging"/>
        <w:rPr>
          <w:szCs w:val="24"/>
        </w:rPr>
      </w:pPr>
      <w:r w:rsidRPr="00E97FB3">
        <w:t>24.</w:t>
      </w:r>
      <w:r w:rsidRPr="00E97FB3">
        <w:tab/>
        <w:t>pažymi, kad 2022 m. pabaigoje Fondas turėjo tik vieną atvirą Audito Rūmų išvadą dėl su laikinaisiais darbuotojais susijusios viešųjų pirkimų procedūros, kuri buvo paskelbta 2018 m. ir kurią Parlamentas anksčiau pripažino savo pranešime dėl biudžeto įvykdymo patvirtinimo; be to, pažymi, kad Fondas šį klausimą sprendė inicijuodamas naują preliminariąją sutartį, kuri turi būti pasirašyta 2023 m.;</w:t>
      </w:r>
    </w:p>
    <w:p w:rsidR="005F405B" w:rsidRPr="00E97FB3" w:rsidRDefault="005F405B" w:rsidP="005F405B">
      <w:pPr>
        <w:pStyle w:val="Normal12Hanging"/>
        <w:rPr>
          <w:b/>
          <w:i/>
          <w:szCs w:val="24"/>
        </w:rPr>
      </w:pPr>
      <w:r w:rsidRPr="00E97FB3">
        <w:rPr>
          <w:b/>
          <w:i/>
        </w:rPr>
        <w:t>Interesų konfliktų prevencija ir valdymas, taip pat skaidrumas</w:t>
      </w:r>
    </w:p>
    <w:p w:rsidR="005F405B" w:rsidRPr="00E97FB3" w:rsidRDefault="005F405B" w:rsidP="005F405B">
      <w:pPr>
        <w:pStyle w:val="Normal12Hanging"/>
        <w:rPr>
          <w:szCs w:val="24"/>
        </w:rPr>
      </w:pPr>
      <w:r w:rsidRPr="00E97FB3">
        <w:lastRenderedPageBreak/>
        <w:t>25.</w:t>
      </w:r>
      <w:r w:rsidRPr="00E97FB3">
        <w:tab/>
        <w:t>pažymi, kad Fondas paskelbė visas valdybos narių ir vyresniosios vadovybės bei vidurinės grandies vadovų interesų konfliktų deklaracijas ir gyvenimo aprašymus; be to, pažymi, kad Fondas savo interneto svetainėje išvardija visus savo direktorės posėdžius su organizacijomis ir savarankiškai dirbančiais asmenimis;</w:t>
      </w:r>
    </w:p>
    <w:p w:rsidR="005F405B" w:rsidRPr="00E97FB3" w:rsidRDefault="005F405B" w:rsidP="005F405B">
      <w:pPr>
        <w:pStyle w:val="Normal12Hanging"/>
        <w:rPr>
          <w:rStyle w:val="normaltextrun"/>
        </w:rPr>
      </w:pPr>
      <w:r w:rsidRPr="00E97FB3">
        <w:rPr>
          <w:rStyle w:val="normaltextrun"/>
        </w:rPr>
        <w:t>26.</w:t>
      </w:r>
      <w:r w:rsidRPr="00E97FB3">
        <w:rPr>
          <w:rStyle w:val="normaltextrun"/>
        </w:rPr>
        <w:tab/>
        <w:t>pažymi, kad Fondas turi vidaus kovos su sukčiavimu strategiją, kuri yra reguliariai atnaujinama, ir gali apsvarstyti galimybę papildyti šią strategiją kovos su korupcija skirsniu; taip pat pažymi, kad šiuo metu rengiama politika interesų konfliktų klausimais;</w:t>
      </w:r>
    </w:p>
    <w:p w:rsidR="005F405B" w:rsidRPr="00E97FB3" w:rsidRDefault="005F405B" w:rsidP="005F405B">
      <w:pPr>
        <w:pStyle w:val="Normal12Hanging"/>
        <w:rPr>
          <w:b/>
          <w:i/>
          <w:szCs w:val="24"/>
        </w:rPr>
      </w:pPr>
      <w:r w:rsidRPr="00E97FB3">
        <w:rPr>
          <w:b/>
          <w:i/>
        </w:rPr>
        <w:t>Vidaus kontrolė</w:t>
      </w:r>
    </w:p>
    <w:p w:rsidR="005F405B" w:rsidRPr="00E97FB3" w:rsidRDefault="005F405B" w:rsidP="005F405B">
      <w:pPr>
        <w:pStyle w:val="Normal12Hanging"/>
        <w:rPr>
          <w:b/>
          <w:i/>
          <w:szCs w:val="24"/>
        </w:rPr>
      </w:pPr>
      <w:r w:rsidRPr="00E97FB3">
        <w:t>27.</w:t>
      </w:r>
      <w:r w:rsidRPr="00E97FB3">
        <w:tab/>
        <w:t>palankiai vertina teigiamą Vidaus audito tarnybos nuomonę dėl Fondo ir Komisijos papildomumo ir bendradarbiavimo mechanizmų, pateiktą 2022 m. gruodžio mėn. galutinėje audito ataskaitoje, kurioje akcentuojamos Fondo darbuotojų ekspertinės žinios ir pradėtas du kartus per metus vykstantis struktūrinis dialogas, kuriuo siekiama užtikrinti geresnį koordinavimą rengiantis valdybos posėdžiams; vis dėlto pažymi, kad Vidaus audito tarnyba taip pat atkreipia dėmesį į du labai svarbius klausimus, susijusius su Fondo įgaliojimais ir rodiklių stebėsena, taip pat du svarbius klausimus, susijusius su prioritetų derinimu ir ES prašymų duomenų baze bei procedūrų tobulinimu; pripažįsta, kad reaguodamas į tai, Fondas, bendradarbiaudamas su Užimtumo, socialinių reikalų ir įtraukties GD, parengė šių rekomendacijų įgyvendinimo veiksmų planą, ir jos bus pradėtos vykdyti 2023 m.;</w:t>
      </w:r>
    </w:p>
    <w:p w:rsidR="005F405B" w:rsidRPr="00E97FB3" w:rsidRDefault="005F405B" w:rsidP="005F405B">
      <w:pPr>
        <w:pStyle w:val="Normal12Hanging"/>
        <w:rPr>
          <w:b/>
          <w:i/>
          <w:szCs w:val="24"/>
        </w:rPr>
      </w:pPr>
      <w:r w:rsidRPr="00E97FB3">
        <w:rPr>
          <w:b/>
          <w:i/>
        </w:rPr>
        <w:t>Kitos pastabos</w:t>
      </w:r>
    </w:p>
    <w:p w:rsidR="005F405B" w:rsidRPr="00E97FB3" w:rsidRDefault="005F405B" w:rsidP="005F405B">
      <w:pPr>
        <w:pStyle w:val="Normal12Hanging"/>
        <w:rPr>
          <w:szCs w:val="24"/>
        </w:rPr>
      </w:pPr>
      <w:r w:rsidRPr="00E97FB3">
        <w:t>28.</w:t>
      </w:r>
      <w:r w:rsidRPr="00E97FB3">
        <w:tab/>
        <w:t>atkreipia dėmesį į tai, kad Fondas ypatingą dėmesį skiria kibernetiniam saugumui, skaitmeniniams įrašams ir duomenų valdymui, taip pat į veiksmus, kurių imtasi siekiant laikytis atitinkamų Sąjungos gairių, pvz., duomenų saugumo patobulinimus ir Fondo pagrindinių interneto svetainių skverbties testus; be to, pažymi, kad po 2021 m. atlikto viso Fondo informacijos saugumo rizikos vertinimo 2022 m. buvo parengtas ir sutartas rizikos valdymo planas;</w:t>
      </w:r>
    </w:p>
    <w:p w:rsidR="005F405B" w:rsidRPr="00E97FB3" w:rsidRDefault="005F405B" w:rsidP="005F405B">
      <w:pPr>
        <w:pStyle w:val="Normal12Hanging"/>
        <w:rPr>
          <w:szCs w:val="24"/>
        </w:rPr>
      </w:pPr>
      <w:r w:rsidRPr="00E97FB3">
        <w:t>29.</w:t>
      </w:r>
      <w:r w:rsidRPr="00E97FB3">
        <w:tab/>
        <w:t>pažymi, kad 2022 m. kovo mėn. (ir 2023 m.) atlikus aplinkosaugos auditą Fondas išlaikė tiek EMAS, tiek ISO 14001 sertifikavimą;</w:t>
      </w:r>
    </w:p>
    <w:p w:rsidR="005F405B" w:rsidRPr="00E97FB3" w:rsidRDefault="005F405B" w:rsidP="005F405B">
      <w:pPr>
        <w:pStyle w:val="NormalHanging12a"/>
      </w:pPr>
      <w:r w:rsidRPr="00E97FB3">
        <w:t>30.</w:t>
      </w:r>
      <w:r w:rsidRPr="00E97FB3">
        <w:tab/>
        <w:t>palankiai vertina tai, kad Fondas toliau įgyvendino įvairias priemones, kad padidintų savo viešą ir internetinį dalyvavimą, ir, be kita ko, parengė 10 tinklalaidžių, įteikė du tarptautinius apdovanojimus, parengė 10 bendrų komunikatų ir šiuos veiksmus viešino, vykdė srautinį septynių LIVE „MobilyConnects“ pokalbių transliavimą ir dalyvavo JT COP konferencijoje, kad pristatytų savo darbą žaliųjų įgūdžių srityje; atsižvelgdamas į tai, pažymi, kad 2022 m., palyginti su 2021 m., pagerėjo Fondo socialinės žiniasklaidos rodikliai;</w:t>
      </w:r>
    </w:p>
    <w:p w:rsidR="005F405B" w:rsidRPr="00E97FB3" w:rsidRDefault="005F405B" w:rsidP="005F405B">
      <w:pPr>
        <w:pStyle w:val="NormalHanging12a"/>
      </w:pPr>
      <w:r w:rsidRPr="00E97FB3">
        <w:t>31.</w:t>
      </w:r>
      <w:r w:rsidRPr="00E97FB3">
        <w:tab/>
        <w:t>pakartoja raginimą Fondą užtikrinti didesnį skaidrumą ir viešąją atskaitomybę geriau naudojantis žiniasklaidos ir socialinių tinklų kanalais;</w:t>
      </w:r>
    </w:p>
    <w:p w:rsidR="005F405B" w:rsidRPr="00E97FB3" w:rsidRDefault="005F405B" w:rsidP="005F405B">
      <w:pPr>
        <w:pStyle w:val="NormalCenter12a"/>
        <w:rPr>
          <w:color w:val="000000" w:themeColor="text1"/>
        </w:rPr>
      </w:pPr>
      <w:r w:rsidRPr="00E97FB3">
        <w:rPr>
          <w:color w:val="000000" w:themeColor="text1"/>
        </w:rPr>
        <w:t>°</w:t>
      </w:r>
    </w:p>
    <w:p w:rsidR="005F405B" w:rsidRPr="00E97FB3" w:rsidRDefault="005F405B" w:rsidP="005F405B">
      <w:pPr>
        <w:pStyle w:val="NormalCenter12a"/>
      </w:pPr>
      <w:r w:rsidRPr="00E97FB3">
        <w:t>°</w:t>
      </w:r>
      <w:r w:rsidRPr="00E97FB3">
        <w:tab/>
        <w:t>°</w:t>
      </w:r>
    </w:p>
    <w:p w:rsidR="005F405B" w:rsidRPr="00E97FB3" w:rsidRDefault="005F405B" w:rsidP="00E97FB3">
      <w:pPr>
        <w:ind w:left="567" w:hanging="567"/>
      </w:pPr>
      <w:r w:rsidRPr="00E97FB3">
        <w:t>32.</w:t>
      </w:r>
      <w:r w:rsidRPr="00E97FB3">
        <w:tab/>
        <w:t xml:space="preserve">pažymi, kad kitos su sprendimu dėl biudžeto įvykdymo patvirtinimo susijusios pastabos, kurios yra horizontaliojo pobūdžio, pateikiamos jo </w:t>
      </w:r>
      <w:r w:rsidR="00645D49" w:rsidRPr="00E97FB3">
        <w:t>2</w:t>
      </w:r>
      <w:r w:rsidR="00312D69" w:rsidRPr="00E97FB3">
        <w:t xml:space="preserve">024 m. </w:t>
      </w:r>
      <w:r w:rsidR="00645D49" w:rsidRPr="00E97FB3">
        <w:t>balandžio</w:t>
      </w:r>
      <w:r w:rsidR="00312D69" w:rsidRPr="00E97FB3">
        <w:t xml:space="preserve"> 11 d. </w:t>
      </w:r>
      <w:r w:rsidRPr="00E97FB3">
        <w:lastRenderedPageBreak/>
        <w:t>rezoliucijoje dėl agentūrų veiklos, finansų valdymo ir kontrolės</w:t>
      </w:r>
      <w:r w:rsidRPr="00E97FB3">
        <w:rPr>
          <w:vertAlign w:val="superscript"/>
        </w:rPr>
        <w:footnoteReference w:id="12"/>
      </w:r>
      <w:r w:rsidRPr="00E97FB3">
        <w:t>.</w:t>
      </w:r>
    </w:p>
    <w:p w:rsidR="00E365E1" w:rsidRPr="00E97FB3" w:rsidRDefault="00E365E1" w:rsidP="00312D69">
      <w:bookmarkStart w:id="11" w:name="TextBodyEnd"/>
      <w:bookmarkEnd w:id="11"/>
    </w:p>
    <w:sectPr w:rsidR="00E365E1" w:rsidRPr="00E97FB3" w:rsidSect="00EC5AF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D69" w:rsidRPr="00EC5AFB" w:rsidRDefault="00312D69">
      <w:r w:rsidRPr="00EC5AFB">
        <w:separator/>
      </w:r>
    </w:p>
  </w:endnote>
  <w:endnote w:type="continuationSeparator" w:id="0">
    <w:p w:rsidR="00312D69" w:rsidRPr="00EC5AFB" w:rsidRDefault="00312D69">
      <w:r w:rsidRPr="00EC5A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05B" w:rsidRPr="00EC5AFB" w:rsidRDefault="005F405B" w:rsidP="00995D87">
    <w:pPr>
      <w:pStyle w:val="EPFooter"/>
    </w:pPr>
    <w:r w:rsidRPr="00EC5AFB">
      <w:t>PE</w:t>
    </w:r>
    <w:r w:rsidRPr="00EC5AFB">
      <w:rPr>
        <w:rStyle w:val="HideTWBExt"/>
      </w:rPr>
      <w:t>&lt;NoPE&gt;</w:t>
    </w:r>
    <w:r w:rsidRPr="00EC5AFB">
      <w:t>753.531</w:t>
    </w:r>
    <w:r w:rsidRPr="00EC5AFB">
      <w:rPr>
        <w:rStyle w:val="HideTWBExt"/>
      </w:rPr>
      <w:t>&lt;/NoPE&gt;&lt;Version&gt;</w:t>
    </w:r>
    <w:r w:rsidRPr="00EC5AFB">
      <w:t>v02-00</w:t>
    </w:r>
    <w:r w:rsidRPr="00EC5AFB">
      <w:rPr>
        <w:rStyle w:val="HideTWBExt"/>
      </w:rPr>
      <w:t>&lt;/Version&gt;</w:t>
    </w:r>
    <w:r w:rsidRPr="00EC5AFB">
      <w:tab/>
    </w:r>
    <w:r w:rsidRPr="00EC5AFB">
      <w:fldChar w:fldCharType="begin"/>
    </w:r>
    <w:r w:rsidRPr="00EC5AFB">
      <w:instrText xml:space="preserve"> PAGE  \* MERGEFORMAT </w:instrText>
    </w:r>
    <w:r w:rsidRPr="00EC5AFB">
      <w:fldChar w:fldCharType="separate"/>
    </w:r>
    <w:r w:rsidR="00EC5AFB" w:rsidRPr="00EC5AFB">
      <w:rPr>
        <w:noProof/>
      </w:rPr>
      <w:t>4</w:t>
    </w:r>
    <w:r w:rsidRPr="00EC5AFB">
      <w:fldChar w:fldCharType="end"/>
    </w:r>
    <w:r w:rsidRPr="00EC5AFB">
      <w:t>/</w:t>
    </w:r>
    <w:fldSimple w:instr=" NUMPAGES  \* MERGEFORMAT ">
      <w:r w:rsidR="00EC5AFB" w:rsidRPr="00EC5AFB">
        <w:rPr>
          <w:noProof/>
        </w:rPr>
        <w:t>6</w:t>
      </w:r>
    </w:fldSimple>
    <w:r w:rsidRPr="00EC5AFB">
      <w:tab/>
    </w:r>
    <w:r w:rsidRPr="00EC5AFB">
      <w:rPr>
        <w:rStyle w:val="HideTWBExt"/>
      </w:rPr>
      <w:t>&lt;PathFdR&gt;</w:t>
    </w:r>
    <w:r w:rsidRPr="00EC5AFB">
      <w:t>RR\1298972LT.docx</w:t>
    </w:r>
    <w:r w:rsidRPr="00EC5AFB">
      <w:rPr>
        <w:rStyle w:val="HideTWBExt"/>
      </w:rPr>
      <w:t>&lt;/PathFdR&gt;</w:t>
    </w:r>
  </w:p>
  <w:p w:rsidR="005F405B" w:rsidRPr="00EC5AFB" w:rsidRDefault="005F405B" w:rsidP="00995D87">
    <w:pPr>
      <w:pStyle w:val="EPFooter2"/>
    </w:pPr>
    <w:r w:rsidRPr="00EC5AFB">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405B" w:rsidRPr="00EC5AFB" w:rsidRDefault="005F405B" w:rsidP="00995D87">
    <w:pPr>
      <w:pStyle w:val="EPFooter"/>
    </w:pPr>
    <w:r w:rsidRPr="00EC5AFB">
      <w:rPr>
        <w:rStyle w:val="HideTWBExt"/>
      </w:rPr>
      <w:t>&lt;PathFdR&gt;</w:t>
    </w:r>
    <w:r w:rsidRPr="00EC5AFB">
      <w:t>RR\1298972LT.docx</w:t>
    </w:r>
    <w:r w:rsidRPr="00EC5AFB">
      <w:rPr>
        <w:rStyle w:val="HideTWBExt"/>
      </w:rPr>
      <w:t>&lt;/PathFdR&gt;</w:t>
    </w:r>
    <w:r w:rsidRPr="00EC5AFB">
      <w:tab/>
    </w:r>
    <w:r w:rsidRPr="00EC5AFB">
      <w:tab/>
      <w:t>PE</w:t>
    </w:r>
    <w:r w:rsidRPr="00EC5AFB">
      <w:rPr>
        <w:rStyle w:val="HideTWBExt"/>
      </w:rPr>
      <w:t>&lt;NoPE&gt;</w:t>
    </w:r>
    <w:r w:rsidRPr="00EC5AFB">
      <w:t>753.531</w:t>
    </w:r>
    <w:r w:rsidRPr="00EC5AFB">
      <w:rPr>
        <w:rStyle w:val="HideTWBExt"/>
      </w:rPr>
      <w:t>&lt;/NoPE&gt;&lt;Version&gt;</w:t>
    </w:r>
    <w:r w:rsidRPr="00EC5AFB">
      <w:t>v02-00</w:t>
    </w:r>
    <w:r w:rsidRPr="00EC5AFB">
      <w:rPr>
        <w:rStyle w:val="HideTWBExt"/>
      </w:rPr>
      <w:t>&lt;/Version&gt;</w:t>
    </w:r>
  </w:p>
  <w:p w:rsidR="005F405B" w:rsidRPr="00EC5AFB" w:rsidRDefault="005F405B" w:rsidP="00995D87">
    <w:pPr>
      <w:pStyle w:val="EPFooter2"/>
    </w:pPr>
    <w:r w:rsidRPr="00EC5AFB">
      <w:t>LT</w:t>
    </w:r>
    <w:r w:rsidRPr="00EC5AFB">
      <w:tab/>
    </w:r>
    <w:r w:rsidRPr="00EC5AFB">
      <w:rPr>
        <w:b w:val="0"/>
        <w:i/>
        <w:color w:val="C0C0C0"/>
        <w:sz w:val="22"/>
      </w:rPr>
      <w:t>Suvienijusi įvairovę</w:t>
    </w:r>
    <w:r w:rsidRPr="00EC5AFB">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AF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AF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AF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D69" w:rsidRPr="00EC5AFB" w:rsidRDefault="00312D69">
      <w:r w:rsidRPr="00EC5AFB">
        <w:separator/>
      </w:r>
    </w:p>
  </w:footnote>
  <w:footnote w:type="continuationSeparator" w:id="0">
    <w:p w:rsidR="00312D69" w:rsidRPr="00EC5AFB" w:rsidRDefault="00312D69">
      <w:r w:rsidRPr="00EC5AFB">
        <w:continuationSeparator/>
      </w:r>
    </w:p>
  </w:footnote>
  <w:footnote w:id="1">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C, C/2023/594, 2023 10 27.</w:t>
      </w:r>
    </w:p>
  </w:footnote>
  <w:footnote w:id="2">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C, C/2023/112, 2023 10 12.</w:t>
      </w:r>
    </w:p>
  </w:footnote>
  <w:footnote w:id="3">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L 193, 2018 7 30, p. 1.</w:t>
      </w:r>
    </w:p>
  </w:footnote>
  <w:footnote w:id="4">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L 354, 2008 12 31, p. 82.</w:t>
      </w:r>
    </w:p>
  </w:footnote>
  <w:footnote w:id="5">
    <w:p w:rsidR="005F405B" w:rsidRPr="00EC5AFB" w:rsidRDefault="005F405B" w:rsidP="00EC5AFB">
      <w:pPr>
        <w:pStyle w:val="FootnoteText"/>
        <w:ind w:left="567" w:hanging="567"/>
        <w:rPr>
          <w:sz w:val="24"/>
          <w:szCs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L 122, 2019 5 10, p. 1.</w:t>
      </w:r>
    </w:p>
  </w:footnote>
  <w:footnote w:id="6">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C, C/2023/594, 2023 10 27.</w:t>
      </w:r>
    </w:p>
  </w:footnote>
  <w:footnote w:id="7">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C, C/2023/112, 2023 10 12.</w:t>
      </w:r>
    </w:p>
  </w:footnote>
  <w:footnote w:id="8">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L 193, 2018 7 30, p. 1.</w:t>
      </w:r>
    </w:p>
  </w:footnote>
  <w:footnote w:id="9">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L 354, 2008 12 31, p. 82.</w:t>
      </w:r>
    </w:p>
  </w:footnote>
  <w:footnote w:id="10">
    <w:p w:rsidR="005F405B" w:rsidRPr="00EC5AFB" w:rsidRDefault="005F405B" w:rsidP="00EC5AFB">
      <w:pPr>
        <w:pStyle w:val="FootnoteText"/>
        <w:ind w:left="567" w:hanging="567"/>
        <w:rPr>
          <w:sz w:val="24"/>
          <w:szCs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L 122, 2019 5 10, p. 1.</w:t>
      </w:r>
    </w:p>
  </w:footnote>
  <w:footnote w:id="11">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OL C 38, 2023 1 31, p. 13.</w:t>
      </w:r>
    </w:p>
  </w:footnote>
  <w:footnote w:id="12">
    <w:p w:rsidR="005F405B" w:rsidRPr="00EC5AFB" w:rsidRDefault="005F405B" w:rsidP="00EC5AFB">
      <w:pPr>
        <w:pStyle w:val="FootnoteText"/>
        <w:ind w:left="567" w:hanging="567"/>
        <w:rPr>
          <w:sz w:val="24"/>
          <w:lang w:val="lt-LT"/>
        </w:rPr>
      </w:pPr>
      <w:r w:rsidRPr="00EC5AFB">
        <w:rPr>
          <w:rStyle w:val="FootnoteReference"/>
          <w:sz w:val="24"/>
          <w:lang w:val="lt-LT"/>
        </w:rPr>
        <w:footnoteRef/>
      </w:r>
      <w:r w:rsidR="00EC5AFB" w:rsidRPr="00EC5AFB">
        <w:rPr>
          <w:sz w:val="24"/>
          <w:lang w:val="lt-LT"/>
        </w:rPr>
        <w:t xml:space="preserve"> </w:t>
      </w:r>
      <w:r w:rsidR="00EC5AFB" w:rsidRPr="00EC5AFB">
        <w:rPr>
          <w:sz w:val="24"/>
          <w:lang w:val="lt-LT"/>
        </w:rPr>
        <w:tab/>
      </w:r>
      <w:r w:rsidRPr="00EC5AFB">
        <w:rPr>
          <w:sz w:val="24"/>
          <w:lang w:val="lt-LT"/>
        </w:rPr>
        <w:t>Priimti tekstai, P9_TA(2024)0</w:t>
      </w:r>
      <w:r w:rsidR="008F160D">
        <w:rPr>
          <w:sz w:val="24"/>
          <w:lang w:val="lt-LT"/>
        </w:rPr>
        <w:t>28</w:t>
      </w:r>
      <w:r w:rsidRPr="00EC5AFB">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AF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AF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C5AF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LT"/>
    <w:docVar w:name="dvnumam" w:val="0"/>
    <w:docVar w:name="dvpe" w:val="753.531"/>
    <w:docVar w:name="dvrapporteur" w:val="Pranešėjas: "/>
    <w:docVar w:name="dvtitre" w:val="2024 m. balandzio 11 d. Europos Parlamento sprendimas dėl Europos mokymo fondo 2022 finansinių metų biudžeto įvykdymo patvirtinimo(2023/2163(DEC))"/>
  </w:docVars>
  <w:rsids>
    <w:rsidRoot w:val="00312D69"/>
    <w:rsid w:val="00002272"/>
    <w:rsid w:val="00064002"/>
    <w:rsid w:val="000677B9"/>
    <w:rsid w:val="000831BA"/>
    <w:rsid w:val="000A42CC"/>
    <w:rsid w:val="000E7DD9"/>
    <w:rsid w:val="0010095E"/>
    <w:rsid w:val="00125B37"/>
    <w:rsid w:val="00187494"/>
    <w:rsid w:val="001F32AE"/>
    <w:rsid w:val="002767FF"/>
    <w:rsid w:val="002B18FE"/>
    <w:rsid w:val="002B5493"/>
    <w:rsid w:val="00312D6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05B"/>
    <w:rsid w:val="006037C0"/>
    <w:rsid w:val="00645D49"/>
    <w:rsid w:val="006631B6"/>
    <w:rsid w:val="00680577"/>
    <w:rsid w:val="006F74FA"/>
    <w:rsid w:val="00731ADD"/>
    <w:rsid w:val="00734777"/>
    <w:rsid w:val="00747932"/>
    <w:rsid w:val="00751A4A"/>
    <w:rsid w:val="00756632"/>
    <w:rsid w:val="00762C74"/>
    <w:rsid w:val="00786EC0"/>
    <w:rsid w:val="007A7511"/>
    <w:rsid w:val="007C2B73"/>
    <w:rsid w:val="007D1690"/>
    <w:rsid w:val="007E22AD"/>
    <w:rsid w:val="00817416"/>
    <w:rsid w:val="00842779"/>
    <w:rsid w:val="00856D55"/>
    <w:rsid w:val="00865F67"/>
    <w:rsid w:val="00881A7B"/>
    <w:rsid w:val="008840E5"/>
    <w:rsid w:val="00887B3E"/>
    <w:rsid w:val="008C2AC6"/>
    <w:rsid w:val="008E7684"/>
    <w:rsid w:val="008F160D"/>
    <w:rsid w:val="00930C23"/>
    <w:rsid w:val="0093193B"/>
    <w:rsid w:val="009509D8"/>
    <w:rsid w:val="00950B64"/>
    <w:rsid w:val="00981893"/>
    <w:rsid w:val="00A1687D"/>
    <w:rsid w:val="00A350F6"/>
    <w:rsid w:val="00A43E52"/>
    <w:rsid w:val="00A4678D"/>
    <w:rsid w:val="00A778C7"/>
    <w:rsid w:val="00AB441E"/>
    <w:rsid w:val="00AB6293"/>
    <w:rsid w:val="00AE0928"/>
    <w:rsid w:val="00AF3B82"/>
    <w:rsid w:val="00B12E95"/>
    <w:rsid w:val="00B20EF6"/>
    <w:rsid w:val="00B22876"/>
    <w:rsid w:val="00B558F0"/>
    <w:rsid w:val="00BD48FE"/>
    <w:rsid w:val="00BD7BD8"/>
    <w:rsid w:val="00BE6ADC"/>
    <w:rsid w:val="00C05BFE"/>
    <w:rsid w:val="00C23CD4"/>
    <w:rsid w:val="00C61C0C"/>
    <w:rsid w:val="00C90618"/>
    <w:rsid w:val="00C941CB"/>
    <w:rsid w:val="00CC2357"/>
    <w:rsid w:val="00CF071A"/>
    <w:rsid w:val="00D058B8"/>
    <w:rsid w:val="00D56C11"/>
    <w:rsid w:val="00D834A0"/>
    <w:rsid w:val="00D872DF"/>
    <w:rsid w:val="00D91E21"/>
    <w:rsid w:val="00DA7FCD"/>
    <w:rsid w:val="00E365E1"/>
    <w:rsid w:val="00E820A4"/>
    <w:rsid w:val="00E97FB3"/>
    <w:rsid w:val="00EA7D5C"/>
    <w:rsid w:val="00EB006A"/>
    <w:rsid w:val="00EB4772"/>
    <w:rsid w:val="00EC5AFB"/>
    <w:rsid w:val="00ED169E"/>
    <w:rsid w:val="00ED4235"/>
    <w:rsid w:val="00F04346"/>
    <w:rsid w:val="00F075DC"/>
    <w:rsid w:val="00F149E9"/>
    <w:rsid w:val="00F5134D"/>
    <w:rsid w:val="00F74202"/>
    <w:rsid w:val="00F87713"/>
    <w:rsid w:val="00FB4360"/>
    <w:rsid w:val="00FD0C70"/>
    <w:rsid w:val="00FD729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F318E"/>
  <w15:chartTrackingRefBased/>
  <w15:docId w15:val="{F0D27025-9DBF-4CEB-9329-28BAAD09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405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405B"/>
    <w:pPr>
      <w:spacing w:before="480" w:after="240"/>
    </w:pPr>
  </w:style>
  <w:style w:type="paragraph" w:customStyle="1" w:styleId="PageHeading">
    <w:name w:val="PageHeading"/>
    <w:basedOn w:val="Normal"/>
    <w:rsid w:val="005F405B"/>
    <w:pPr>
      <w:keepNext/>
      <w:spacing w:after="480"/>
      <w:jc w:val="center"/>
    </w:pPr>
    <w:rPr>
      <w:rFonts w:ascii="Arial" w:hAnsi="Arial" w:cs="Arial"/>
      <w:b/>
    </w:rPr>
  </w:style>
  <w:style w:type="paragraph" w:customStyle="1" w:styleId="NormalBold">
    <w:name w:val="NormalBold"/>
    <w:basedOn w:val="Normal"/>
    <w:rsid w:val="005F405B"/>
    <w:rPr>
      <w:b/>
    </w:rPr>
  </w:style>
  <w:style w:type="paragraph" w:customStyle="1" w:styleId="NormalHanging12a">
    <w:name w:val="NormalHanging12a"/>
    <w:basedOn w:val="Normal"/>
    <w:link w:val="NormalHanging12aChar"/>
    <w:rsid w:val="005F405B"/>
    <w:pPr>
      <w:spacing w:after="240"/>
      <w:ind w:left="567" w:hanging="567"/>
    </w:pPr>
  </w:style>
  <w:style w:type="paragraph" w:customStyle="1" w:styleId="NormalCenter12a">
    <w:name w:val="NormalCenter12a"/>
    <w:basedOn w:val="Normal"/>
    <w:rsid w:val="005F405B"/>
    <w:pPr>
      <w:spacing w:after="240"/>
      <w:jc w:val="center"/>
    </w:pPr>
  </w:style>
  <w:style w:type="paragraph" w:styleId="Header">
    <w:name w:val="header"/>
    <w:basedOn w:val="Normal"/>
    <w:link w:val="HeaderChar"/>
    <w:rsid w:val="005F405B"/>
    <w:pPr>
      <w:tabs>
        <w:tab w:val="center" w:pos="4513"/>
        <w:tab w:val="right" w:pos="9026"/>
      </w:tabs>
    </w:pPr>
  </w:style>
  <w:style w:type="character" w:customStyle="1" w:styleId="HeaderChar">
    <w:name w:val="Header Char"/>
    <w:basedOn w:val="DefaultParagraphFont"/>
    <w:link w:val="Header"/>
    <w:rsid w:val="005F405B"/>
    <w:rPr>
      <w:sz w:val="24"/>
      <w:lang w:val="lt-LT"/>
    </w:rPr>
  </w:style>
  <w:style w:type="paragraph" w:customStyle="1" w:styleId="EPFooter">
    <w:name w:val="EPFooter"/>
    <w:basedOn w:val="Normal"/>
    <w:rsid w:val="005F405B"/>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F405B"/>
    <w:rPr>
      <w:sz w:val="24"/>
      <w:lang w:val="lt-LT"/>
    </w:rPr>
  </w:style>
  <w:style w:type="paragraph" w:customStyle="1" w:styleId="Normal12Hanging">
    <w:name w:val="Normal12Hanging"/>
    <w:basedOn w:val="Normal"/>
    <w:rsid w:val="005F405B"/>
    <w:pPr>
      <w:spacing w:after="240"/>
      <w:ind w:left="567" w:hanging="567"/>
    </w:pPr>
  </w:style>
  <w:style w:type="character" w:customStyle="1" w:styleId="normaltextrun">
    <w:name w:val="normaltextrun"/>
    <w:basedOn w:val="DefaultParagraphFont"/>
    <w:rsid w:val="005F405B"/>
  </w:style>
  <w:style w:type="paragraph" w:styleId="BalloonText">
    <w:name w:val="Balloon Text"/>
    <w:basedOn w:val="Normal"/>
    <w:link w:val="BalloonTextChar"/>
    <w:rsid w:val="00645D49"/>
    <w:rPr>
      <w:rFonts w:ascii="Segoe UI" w:hAnsi="Segoe UI" w:cs="Segoe UI"/>
      <w:sz w:val="18"/>
      <w:szCs w:val="18"/>
    </w:rPr>
  </w:style>
  <w:style w:type="character" w:customStyle="1" w:styleId="BalloonTextChar">
    <w:name w:val="Balloon Text Char"/>
    <w:basedOn w:val="DefaultParagraphFont"/>
    <w:link w:val="BalloonText"/>
    <w:rsid w:val="00645D49"/>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7B82CF-373B-44D7-B92C-670D71B6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2711</Words>
  <Characters>17640</Characters>
  <Application>Microsoft Office Word</Application>
  <DocSecurity>0</DocSecurity>
  <Lines>147</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2024-04-11T16:06:00Z</dcterms:created>
  <dcterms:modified xsi:type="dcterms:W3CDTF">2024-04-11T16:06:00Z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A9-0114/2024</vt:lpwstr>
  </property>
  <property fmtid="{D5CDD505-2E9C-101B-9397-08002B2CF9AE}" pid="4" name="&lt;Type&gt;">
    <vt:lpwstr>RR</vt:lpwstr>
  </property>
</Properties>
</file>