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4DE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94DE1" w:rsidRDefault="000F2CB3" w:rsidP="0010095E">
            <w:pPr>
              <w:pStyle w:val="EPName"/>
            </w:pPr>
            <w:r w:rsidRPr="00B94DE1">
              <w:t>Parlamento Europeu</w:t>
            </w:r>
          </w:p>
          <w:p w:rsidR="00751A4A" w:rsidRPr="00B94DE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4DE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94DE1" w:rsidRDefault="00187494" w:rsidP="0010095E">
            <w:pPr>
              <w:pStyle w:val="EPLogo"/>
            </w:pPr>
            <w:r w:rsidRPr="00B94DE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94DE1" w:rsidRDefault="00D058B8" w:rsidP="004C5D52">
      <w:pPr>
        <w:pStyle w:val="LineTop"/>
      </w:pPr>
    </w:p>
    <w:p w:rsidR="00680577" w:rsidRPr="00B94DE1" w:rsidRDefault="000F2CB3" w:rsidP="00680577">
      <w:pPr>
        <w:pStyle w:val="EPBodyTA1"/>
      </w:pPr>
      <w:r w:rsidRPr="00B94DE1">
        <w:t>TEXTOS APROVADOS</w:t>
      </w:r>
    </w:p>
    <w:p w:rsidR="00D058B8" w:rsidRPr="00B94DE1" w:rsidRDefault="00D058B8" w:rsidP="00D058B8">
      <w:pPr>
        <w:pStyle w:val="LineBottom"/>
      </w:pPr>
    </w:p>
    <w:p w:rsidR="000F2CB3" w:rsidRPr="00B94DE1" w:rsidRDefault="000F2CB3" w:rsidP="000F2CB3">
      <w:pPr>
        <w:pStyle w:val="ATHeading1"/>
      </w:pPr>
      <w:bookmarkStart w:id="0" w:name="TANumber"/>
      <w:r w:rsidRPr="00B94DE1">
        <w:t>P9_</w:t>
      </w:r>
      <w:proofErr w:type="gramStart"/>
      <w:r w:rsidRPr="00B94DE1">
        <w:t>TA(</w:t>
      </w:r>
      <w:proofErr w:type="gramEnd"/>
      <w:r w:rsidRPr="00B94DE1">
        <w:t>2024)0</w:t>
      </w:r>
      <w:r w:rsidR="003E57F0">
        <w:t>247</w:t>
      </w:r>
      <w:bookmarkEnd w:id="0"/>
    </w:p>
    <w:p w:rsidR="000F2CB3" w:rsidRPr="00B94DE1" w:rsidRDefault="000F2CB3" w:rsidP="000F2CB3">
      <w:pPr>
        <w:pStyle w:val="ATHeading2"/>
      </w:pPr>
      <w:bookmarkStart w:id="1" w:name="title"/>
      <w:r w:rsidRPr="00B94DE1">
        <w:t>Quitação 2022: Fundação Europeia para a Formação</w:t>
      </w:r>
      <w:bookmarkEnd w:id="1"/>
    </w:p>
    <w:p w:rsidR="000F2CB3" w:rsidRPr="00B94DE1" w:rsidRDefault="000F2CB3" w:rsidP="000F2CB3">
      <w:pPr>
        <w:rPr>
          <w:i/>
          <w:vanish/>
        </w:rPr>
      </w:pPr>
      <w:r w:rsidRPr="00B94DE1">
        <w:rPr>
          <w:i/>
        </w:rPr>
        <w:fldChar w:fldCharType="begin"/>
      </w:r>
      <w:r w:rsidRPr="00B94DE1">
        <w:rPr>
          <w:i/>
        </w:rPr>
        <w:instrText xml:space="preserve"> TC"(</w:instrText>
      </w:r>
      <w:bookmarkStart w:id="2" w:name="DocNumber"/>
      <w:r w:rsidRPr="00B94DE1">
        <w:rPr>
          <w:i/>
        </w:rPr>
        <w:instrText>A9-0114/2024</w:instrText>
      </w:r>
      <w:bookmarkEnd w:id="2"/>
      <w:r w:rsidRPr="00B94DE1">
        <w:rPr>
          <w:i/>
        </w:rPr>
        <w:instrText xml:space="preserve"> - Relator: Petri </w:instrText>
      </w:r>
      <w:proofErr w:type="spellStart"/>
      <w:r w:rsidRPr="00B94DE1">
        <w:rPr>
          <w:i/>
        </w:rPr>
        <w:instrText>Sarvamaa</w:instrText>
      </w:r>
      <w:proofErr w:type="spellEnd"/>
      <w:r w:rsidRPr="00B94DE1">
        <w:rPr>
          <w:i/>
        </w:rPr>
        <w:instrText xml:space="preserve">)"\l3 \n&gt; \* MERGEFORMAT </w:instrText>
      </w:r>
      <w:r w:rsidRPr="00B94DE1">
        <w:rPr>
          <w:i/>
        </w:rPr>
        <w:fldChar w:fldCharType="end"/>
      </w:r>
    </w:p>
    <w:p w:rsidR="000F2CB3" w:rsidRPr="00B94DE1" w:rsidRDefault="000F2CB3" w:rsidP="000F2CB3">
      <w:pPr>
        <w:rPr>
          <w:vanish/>
        </w:rPr>
      </w:pPr>
      <w:bookmarkStart w:id="3" w:name="Commission"/>
      <w:r w:rsidRPr="00B94DE1">
        <w:rPr>
          <w:vanish/>
        </w:rPr>
        <w:t>Comissão do Controlo Orçamental</w:t>
      </w:r>
      <w:bookmarkEnd w:id="3"/>
    </w:p>
    <w:p w:rsidR="000F2CB3" w:rsidRPr="00B94DE1" w:rsidRDefault="000F2CB3" w:rsidP="000F2CB3">
      <w:pPr>
        <w:rPr>
          <w:vanish/>
        </w:rPr>
      </w:pPr>
      <w:bookmarkStart w:id="4" w:name="PE"/>
      <w:r w:rsidRPr="00B94DE1">
        <w:rPr>
          <w:vanish/>
        </w:rPr>
        <w:t>PE753.531</w:t>
      </w:r>
      <w:bookmarkEnd w:id="4"/>
    </w:p>
    <w:p w:rsidR="000F2CB3" w:rsidRPr="00B94DE1" w:rsidRDefault="00B94DE1" w:rsidP="000F2CB3">
      <w:pPr>
        <w:pStyle w:val="ATHeading3"/>
      </w:pPr>
      <w:bookmarkStart w:id="5" w:name="Sujet"/>
      <w:r>
        <w:t xml:space="preserve">1. </w:t>
      </w:r>
      <w:r w:rsidR="000F2CB3" w:rsidRPr="00B94DE1">
        <w:t xml:space="preserve">Decisão do Parlamento Europeu, de </w:t>
      </w:r>
      <w:r>
        <w:t>11</w:t>
      </w:r>
      <w:r w:rsidR="000F2CB3" w:rsidRPr="00B94DE1">
        <w:t xml:space="preserve"> de </w:t>
      </w:r>
      <w:r>
        <w:t>abril</w:t>
      </w:r>
      <w:r w:rsidR="000F2CB3" w:rsidRPr="00B94DE1">
        <w:t xml:space="preserve"> de 2024, sobre a quitação pela execução do orçamento da Fundação Europeia para a Formação para o exercício de 2022</w:t>
      </w:r>
      <w:bookmarkEnd w:id="5"/>
      <w:r w:rsidR="000F2CB3" w:rsidRPr="00B94DE1">
        <w:t xml:space="preserve"> </w:t>
      </w:r>
      <w:bookmarkStart w:id="6" w:name="References"/>
      <w:r w:rsidR="000F2CB3" w:rsidRPr="00B94DE1">
        <w:t>(2023/2163(DEC))</w:t>
      </w:r>
      <w:bookmarkEnd w:id="6"/>
    </w:p>
    <w:p w:rsidR="00847581" w:rsidRPr="00B94DE1" w:rsidRDefault="00847581" w:rsidP="00847581">
      <w:pPr>
        <w:pStyle w:val="EPComma"/>
      </w:pPr>
      <w:bookmarkStart w:id="7" w:name="TextBodyBegin"/>
      <w:bookmarkEnd w:id="7"/>
      <w:r w:rsidRPr="00B94DE1">
        <w:rPr>
          <w:i/>
        </w:rPr>
        <w:t>O Parlamento Europeu</w:t>
      </w:r>
      <w:r w:rsidRPr="00B94DE1">
        <w:t>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Atendendo às contas anuais definitivas da Fundação Europeia para a Formação relativas ao exercício de 2022,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Atendendo ao relatório anual do Tribunal de Contas sobre as agências da UE relativo ao exercício de 2022, acompanhado das respostas das agências</w:t>
      </w:r>
      <w:r w:rsidRPr="00B94DE1">
        <w:rPr>
          <w:rStyle w:val="FootnoteReference"/>
        </w:rPr>
        <w:footnoteReference w:id="1"/>
      </w:r>
      <w:r w:rsidRPr="00B94DE1">
        <w:t>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Atendendo à declaração relativa à fiabilidade das contas e à legalidade e regularidade das operações subjacentes</w:t>
      </w:r>
      <w:r w:rsidRPr="00B94DE1">
        <w:rPr>
          <w:rStyle w:val="FootnoteReference"/>
        </w:rPr>
        <w:footnoteReference w:id="2"/>
      </w:r>
      <w:r w:rsidRPr="00B94DE1">
        <w:t>, emitida pelo Tribunal de Contas para o exercício de 2022, nos termos do artigo 287.º do Tratado sobre o Funcionamento da União Europeia,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Tendo em conta a Recomendação do Conselho, de 22 de fevereiro de 2024, sobre a quitação a dar à Fundação quanto à execução do orçamento para o exercício de 2022 (</w:t>
      </w:r>
      <w:r w:rsidR="00E71EFB">
        <w:t>06180</w:t>
      </w:r>
      <w:r w:rsidRPr="00B94DE1">
        <w:t>/2024 – C9</w:t>
      </w:r>
      <w:r w:rsidRPr="00B94DE1">
        <w:noBreakHyphen/>
      </w:r>
      <w:r w:rsidR="00E71EFB">
        <w:t>0101</w:t>
      </w:r>
      <w:r w:rsidRPr="00B94DE1">
        <w:t>/2024),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Tendo em conta o artigo 319.º do Tratado sobre o Funcionamento da União Europeia,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 xml:space="preserve">Tendo em conta o Regulamento (UE, </w:t>
      </w:r>
      <w:proofErr w:type="spellStart"/>
      <w:r w:rsidRPr="00B94DE1">
        <w:t>Euratom</w:t>
      </w:r>
      <w:proofErr w:type="spellEnd"/>
      <w:r w:rsidRPr="00B94DE1">
        <w:t xml:space="preserve">) 2018/1046 do Parlamento Europeu e do Conselho, de 18 de julho de 2018, relativo às disposições financeiras aplicáveis ao orçamento geral da União, que altera os Regulamentos (UE) n.º 1296/2013, (UE) n.º 1301/2013, (UE) n.º 1303/2013, (UE) n.º 1304/2013, (UE) n.º 1309/2013, (UE) n.º 1316/2013, (UE) n.º 223/2014 e (UE) n.º 283/2014, e a Decisão n.º 541/2014/UE, e revoga o Regulamento (UE, </w:t>
      </w:r>
      <w:proofErr w:type="spellStart"/>
      <w:r w:rsidRPr="00B94DE1">
        <w:t>Euratom</w:t>
      </w:r>
      <w:proofErr w:type="spellEnd"/>
      <w:r w:rsidRPr="00B94DE1">
        <w:t>) n.º 966/2012</w:t>
      </w:r>
      <w:r w:rsidRPr="00B94DE1">
        <w:rPr>
          <w:rStyle w:val="FootnoteReference"/>
        </w:rPr>
        <w:footnoteReference w:id="3"/>
      </w:r>
      <w:r w:rsidRPr="00B94DE1">
        <w:t>, nomeadamente o artigo 70.º,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 xml:space="preserve">Tendo em conta o Regulamento (CE) n.º 1339/2008 do Parlamento Europeu e do Conselho, de 16 de dezembro de 2008, que institui uma Fundação Europeia para a </w:t>
      </w:r>
      <w:r w:rsidRPr="00B94DE1">
        <w:lastRenderedPageBreak/>
        <w:t>Formação</w:t>
      </w:r>
      <w:r w:rsidRPr="00B94DE1">
        <w:rPr>
          <w:rStyle w:val="FootnoteReference"/>
        </w:rPr>
        <w:footnoteReference w:id="4"/>
      </w:r>
      <w:r w:rsidRPr="00B94DE1">
        <w:t>, nomeadamente o artigo 17.º,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Tendo em conta o Regulamento Delegado (UE) 2019/715 da Comissão, de 18 de dezembro de 2018, que institui o regulamento financeiro</w:t>
      </w:r>
      <w:r w:rsidRPr="00B94DE1">
        <w:noBreakHyphen/>
        <w:t xml:space="preserve">quadro dos organismos criados ao abrigo do TFUE e do Tratado </w:t>
      </w:r>
      <w:proofErr w:type="spellStart"/>
      <w:r w:rsidRPr="00B94DE1">
        <w:t>Euratom</w:t>
      </w:r>
      <w:proofErr w:type="spellEnd"/>
      <w:r w:rsidRPr="00B94DE1">
        <w:t xml:space="preserve"> e referidos no artigo 70.º do Regulamento (UE, </w:t>
      </w:r>
      <w:proofErr w:type="spellStart"/>
      <w:r w:rsidRPr="00B94DE1">
        <w:t>Euratom</w:t>
      </w:r>
      <w:proofErr w:type="spellEnd"/>
      <w:r w:rsidRPr="00B94DE1">
        <w:t>) 2018/1046 do Parlamento Europeu e do Conselho</w:t>
      </w:r>
      <w:r w:rsidRPr="00B94DE1">
        <w:rPr>
          <w:rStyle w:val="FootnoteReference"/>
        </w:rPr>
        <w:footnoteReference w:id="5"/>
      </w:r>
      <w:r w:rsidRPr="00B94DE1">
        <w:t>, nomeadamente o artigo 105.º,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Tendo em conta o artigo 100.º e o anexo V do seu Regimento,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Tendo em conta o parecer da Comissão do Emprego e dos Assuntos Sociais,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Tendo em conta o relatório da Comissão do Controlo Orçamental (A9</w:t>
      </w:r>
      <w:r w:rsidRPr="00B94DE1">
        <w:noBreakHyphen/>
        <w:t>0114/2024),</w:t>
      </w:r>
    </w:p>
    <w:p w:rsidR="00847581" w:rsidRPr="00B94DE1" w:rsidRDefault="00847581" w:rsidP="00847581">
      <w:pPr>
        <w:pStyle w:val="NormalHanging12a"/>
      </w:pPr>
      <w:proofErr w:type="gramStart"/>
      <w:r w:rsidRPr="00B94DE1">
        <w:t>1.</w:t>
      </w:r>
      <w:r w:rsidRPr="00B94DE1">
        <w:tab/>
        <w:t>Dá</w:t>
      </w:r>
      <w:proofErr w:type="gramEnd"/>
      <w:r w:rsidRPr="00B94DE1">
        <w:t xml:space="preserve"> quitação à Diretora da Fundação Europeia para a Formação pela execução do orçamento da Fundação para o exercício de 2022;</w:t>
      </w:r>
    </w:p>
    <w:p w:rsidR="00847581" w:rsidRPr="00B94DE1" w:rsidRDefault="00847581" w:rsidP="00847581">
      <w:pPr>
        <w:pStyle w:val="NormalHanging12a"/>
      </w:pPr>
      <w:proofErr w:type="gramStart"/>
      <w:r w:rsidRPr="00B94DE1">
        <w:t>2.</w:t>
      </w:r>
      <w:r w:rsidRPr="00B94DE1">
        <w:tab/>
        <w:t>Regista</w:t>
      </w:r>
      <w:proofErr w:type="gramEnd"/>
      <w:r w:rsidRPr="00B94DE1">
        <w:t xml:space="preserve"> as suas observações na resolução que se segue;</w:t>
      </w:r>
    </w:p>
    <w:p w:rsidR="00847581" w:rsidRPr="00B94DE1" w:rsidRDefault="00847581" w:rsidP="00847581">
      <w:pPr>
        <w:pStyle w:val="NormalHanging12a"/>
      </w:pPr>
      <w:proofErr w:type="gramStart"/>
      <w:r w:rsidRPr="00B94DE1">
        <w:t>3.</w:t>
      </w:r>
      <w:r w:rsidRPr="00B94DE1">
        <w:tab/>
        <w:t>Encarrega</w:t>
      </w:r>
      <w:proofErr w:type="gramEnd"/>
      <w:r w:rsidRPr="00B94DE1">
        <w:t xml:space="preserve"> a sua Presidente de transmitir a presente decisão e a resolução que desta constitui parte integrante à Diretora da Fundação Europeia para a Formação, ao Conselho, à Comissão e ao Tribunal de Contas e de prover à respetiva publicação no </w:t>
      </w:r>
      <w:r w:rsidRPr="00B94DE1">
        <w:rPr>
          <w:i/>
        </w:rPr>
        <w:t>Jornal Oficial da União Europeia</w:t>
      </w:r>
      <w:r w:rsidRPr="00B94DE1">
        <w:t xml:space="preserve"> (série L).</w:t>
      </w:r>
    </w:p>
    <w:p w:rsidR="00847581" w:rsidRPr="00B94DE1" w:rsidRDefault="00847581" w:rsidP="00847581"/>
    <w:p w:rsidR="00847581" w:rsidRPr="00B94DE1" w:rsidRDefault="00847581" w:rsidP="00847581">
      <w:pPr>
        <w:pStyle w:val="PageHeading"/>
        <w:sectPr w:rsidR="00847581" w:rsidRPr="00B94DE1" w:rsidSect="00A4790A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47581" w:rsidRPr="00B94DE1" w:rsidRDefault="00847581" w:rsidP="00B94DE1">
      <w:pPr>
        <w:pStyle w:val="ATHeading3"/>
      </w:pPr>
      <w:bookmarkStart w:id="8" w:name="_Toc161737178"/>
      <w:r w:rsidRPr="00B94DE1">
        <w:lastRenderedPageBreak/>
        <w:t xml:space="preserve">2. </w:t>
      </w:r>
      <w:bookmarkEnd w:id="8"/>
      <w:r w:rsidR="00B94DE1">
        <w:t xml:space="preserve">Decisão do Parlamento Europeu, de 11 de abril de 2024, </w:t>
      </w:r>
      <w:r w:rsidRPr="00B94DE1">
        <w:t>sobre o encerramento das contas da Fundação Europeia para a Formação relativas ao exercício de 2022</w:t>
      </w:r>
      <w:r w:rsidR="00B94DE1">
        <w:t xml:space="preserve"> (2023</w:t>
      </w:r>
      <w:r w:rsidRPr="00B94DE1">
        <w:t>/2163(DEC))</w:t>
      </w:r>
    </w:p>
    <w:p w:rsidR="00847581" w:rsidRPr="00B94DE1" w:rsidRDefault="00847581" w:rsidP="00847581">
      <w:pPr>
        <w:pStyle w:val="EPComma"/>
      </w:pPr>
      <w:r w:rsidRPr="00B94DE1">
        <w:rPr>
          <w:i/>
        </w:rPr>
        <w:t>O Parlamento Europeu</w:t>
      </w:r>
      <w:r w:rsidRPr="00B94DE1">
        <w:t>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Atendendo às contas anuais definitivas da Fundação Europeia para a Formação relativas ao exercício de 2022,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Atendendo ao relatório anual do Tribunal de Contas sobre as agências da UE relativo ao exercício de 2022, acompanhado das respostas das agências</w:t>
      </w:r>
      <w:r w:rsidRPr="00B94DE1">
        <w:rPr>
          <w:rStyle w:val="FootnoteReference"/>
        </w:rPr>
        <w:footnoteReference w:id="6"/>
      </w:r>
      <w:r w:rsidRPr="00B94DE1">
        <w:t>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Atendendo à declaração relativa à fiabilidade das contas e à legalidade e regularidade das operações subjacentes</w:t>
      </w:r>
      <w:r w:rsidRPr="00B94DE1">
        <w:rPr>
          <w:rStyle w:val="FootnoteReference"/>
        </w:rPr>
        <w:footnoteReference w:id="7"/>
      </w:r>
      <w:r w:rsidRPr="00B94DE1">
        <w:t>, emitida pelo Tribunal de Contas para o exercício de 2022, nos termos do artigo 287.º do Tratado sobre o Funcionamento da União Europeia,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Tendo em conta a Recomendação do Conselho, de 22 de fevereiro de 2024, sobre a quitação a dar à Fundação quanto à execução do orçamento para o exercício de 2022 (</w:t>
      </w:r>
      <w:r w:rsidR="00E71EFB">
        <w:t>06180</w:t>
      </w:r>
      <w:r w:rsidRPr="00B94DE1">
        <w:t>/2024 – C9</w:t>
      </w:r>
      <w:r w:rsidRPr="00B94DE1">
        <w:noBreakHyphen/>
      </w:r>
      <w:r w:rsidR="00E71EFB">
        <w:t>0101</w:t>
      </w:r>
      <w:r w:rsidRPr="00B94DE1">
        <w:t>/2024),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Tendo em conta o artigo 319.º do Tratado sobre o Funcionamento da União Europeia,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 xml:space="preserve">Tendo em conta o Regulamento (UE, </w:t>
      </w:r>
      <w:proofErr w:type="spellStart"/>
      <w:r w:rsidRPr="00B94DE1">
        <w:t>Euratom</w:t>
      </w:r>
      <w:proofErr w:type="spellEnd"/>
      <w:r w:rsidRPr="00B94DE1">
        <w:t xml:space="preserve">) 2018/1046 do Parlamento Europeu e do Conselho, de 18 de julho de 2018, relativo às disposições financeiras aplicáveis ao orçamento geral da União, que altera os Regulamentos (UE) n.º 1296/2013, (UE) n.º 1301/2013, (UE) n.º 1303/2013, (UE) n.º 1304/2013, (UE) n.º 1309/2013, (UE) n.º 1316/2013, (UE) n.º 223/2014 e (UE) n.º 283/2014, e a Decisão n.º 541/2014/UE, e revoga o Regulamento (UE, </w:t>
      </w:r>
      <w:proofErr w:type="spellStart"/>
      <w:r w:rsidRPr="00B94DE1">
        <w:t>Euratom</w:t>
      </w:r>
      <w:proofErr w:type="spellEnd"/>
      <w:r w:rsidRPr="00B94DE1">
        <w:t>) n.º 966/2012</w:t>
      </w:r>
      <w:r w:rsidRPr="00B94DE1">
        <w:rPr>
          <w:rStyle w:val="FootnoteReference"/>
        </w:rPr>
        <w:footnoteReference w:id="8"/>
      </w:r>
      <w:r w:rsidRPr="00B94DE1">
        <w:t>, nomeadamente o artigo 70.º,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Tendo em conta o Regulamento (CE) n.º 1339/2008 do Parlamento Europeu e do Conselho, de 16 de dezembro de 2008, que institui uma Fundação Europeia para a Formação</w:t>
      </w:r>
      <w:r w:rsidRPr="00B94DE1">
        <w:rPr>
          <w:rStyle w:val="FootnoteReference"/>
        </w:rPr>
        <w:footnoteReference w:id="9"/>
      </w:r>
      <w:r w:rsidRPr="00B94DE1">
        <w:t>, nomeadamente o artigo 17.º,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Tendo em conta o Regulamento Delegado (UE) 2019/715 da Comissão, de 18 de dezembro de 2018, que institui o regulamento financeiro</w:t>
      </w:r>
      <w:r w:rsidRPr="00B94DE1">
        <w:noBreakHyphen/>
        <w:t xml:space="preserve">quadro dos organismos criados ao abrigo do TFUE e do Tratado </w:t>
      </w:r>
      <w:proofErr w:type="spellStart"/>
      <w:r w:rsidRPr="00B94DE1">
        <w:t>Euratom</w:t>
      </w:r>
      <w:proofErr w:type="spellEnd"/>
      <w:r w:rsidRPr="00B94DE1">
        <w:t xml:space="preserve"> e referidos no artigo 70.º do Regulamento (UE, </w:t>
      </w:r>
      <w:proofErr w:type="spellStart"/>
      <w:r w:rsidRPr="00B94DE1">
        <w:t>Euratom</w:t>
      </w:r>
      <w:proofErr w:type="spellEnd"/>
      <w:r w:rsidRPr="00B94DE1">
        <w:t>) 2018/1046 do Parlamento Europeu e do Conselho</w:t>
      </w:r>
      <w:r w:rsidRPr="00B94DE1">
        <w:rPr>
          <w:rStyle w:val="FootnoteReference"/>
        </w:rPr>
        <w:footnoteReference w:id="10"/>
      </w:r>
      <w:r w:rsidRPr="00B94DE1">
        <w:t>, nomeadamente o artigo 105.º,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Tendo em conta o artigo 100.º e o anexo V do seu Regimento,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Tendo em conta o parecer da Comissão do Emprego e dos Assuntos Sociais,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Tendo em conta o relatório da Comissão do Controlo Orçamental (A9</w:t>
      </w:r>
      <w:r w:rsidRPr="00B94DE1">
        <w:noBreakHyphen/>
        <w:t>0114/2024),</w:t>
      </w:r>
    </w:p>
    <w:p w:rsidR="00847581" w:rsidRPr="00B94DE1" w:rsidRDefault="00847581" w:rsidP="00847581">
      <w:pPr>
        <w:pStyle w:val="NormalHanging12a"/>
      </w:pPr>
      <w:proofErr w:type="gramStart"/>
      <w:r w:rsidRPr="00B94DE1">
        <w:t>1.</w:t>
      </w:r>
      <w:r w:rsidRPr="00B94DE1">
        <w:tab/>
        <w:t>Aprova</w:t>
      </w:r>
      <w:proofErr w:type="gramEnd"/>
      <w:r w:rsidRPr="00B94DE1">
        <w:t xml:space="preserve"> o encerramento das contas da Fundação Europeia para a Formação para o </w:t>
      </w:r>
      <w:r w:rsidRPr="00B94DE1">
        <w:lastRenderedPageBreak/>
        <w:t>exercício de 2022;</w:t>
      </w:r>
    </w:p>
    <w:p w:rsidR="00847581" w:rsidRPr="00B94DE1" w:rsidRDefault="00847581" w:rsidP="00847581">
      <w:pPr>
        <w:pStyle w:val="NormalHanging12a"/>
      </w:pPr>
      <w:proofErr w:type="gramStart"/>
      <w:r w:rsidRPr="00B94DE1">
        <w:t>2.</w:t>
      </w:r>
      <w:r w:rsidRPr="00B94DE1">
        <w:tab/>
        <w:t>Encarrega</w:t>
      </w:r>
      <w:proofErr w:type="gramEnd"/>
      <w:r w:rsidRPr="00B94DE1">
        <w:t xml:space="preserve"> a sua Presidente de transmitir a presente decisão à Diretora da Fundação Europeia para a Formação, ao Conselho, à Comissão e ao Tribunal de Contas e de prover à respetiva publicação no </w:t>
      </w:r>
      <w:r w:rsidRPr="00B94DE1">
        <w:rPr>
          <w:i/>
        </w:rPr>
        <w:t>Jornal Oficial da União Europeia</w:t>
      </w:r>
      <w:r w:rsidRPr="00B94DE1">
        <w:t xml:space="preserve"> (série L).</w:t>
      </w:r>
    </w:p>
    <w:p w:rsidR="00847581" w:rsidRPr="00B94DE1" w:rsidRDefault="00847581" w:rsidP="00847581"/>
    <w:p w:rsidR="00847581" w:rsidRPr="00B94DE1" w:rsidRDefault="00847581" w:rsidP="00847581">
      <w:pPr>
        <w:pStyle w:val="PageHeading"/>
        <w:sectPr w:rsidR="00847581" w:rsidRPr="00B94DE1" w:rsidSect="00A4790A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847581" w:rsidRPr="00B94DE1" w:rsidRDefault="00847581" w:rsidP="00B94DE1">
      <w:pPr>
        <w:pStyle w:val="ATHeading3"/>
      </w:pPr>
      <w:bookmarkStart w:id="9" w:name="_Toc161737179"/>
      <w:r w:rsidRPr="00B94DE1">
        <w:lastRenderedPageBreak/>
        <w:t xml:space="preserve">3. </w:t>
      </w:r>
      <w:bookmarkEnd w:id="9"/>
      <w:r w:rsidR="00B94DE1">
        <w:t xml:space="preserve">Resolução do Parlamento Europeu, de 11 de abril de 2024, </w:t>
      </w:r>
      <w:r w:rsidRPr="00B94DE1">
        <w:t>que contém as observações que constituem parte integrante da decisão sobre a quitação pela execução do orçamento da Fundação Europeia para a Formação para o exercício de 2022</w:t>
      </w:r>
      <w:r w:rsidR="00B94DE1">
        <w:t xml:space="preserve"> (2023</w:t>
      </w:r>
      <w:r w:rsidRPr="00B94DE1">
        <w:t>/2163(DEC))</w:t>
      </w:r>
    </w:p>
    <w:p w:rsidR="00847581" w:rsidRPr="00B94DE1" w:rsidRDefault="00847581" w:rsidP="00847581">
      <w:pPr>
        <w:pStyle w:val="EPComma"/>
      </w:pPr>
      <w:r w:rsidRPr="00B94DE1">
        <w:rPr>
          <w:i/>
        </w:rPr>
        <w:t>O Parlamento Europeu</w:t>
      </w:r>
      <w:r w:rsidRPr="00B94DE1">
        <w:t>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Tendo em conta a decisão sobre a quitação pela execução do orçamento da Fundação Europeia para a Formação para o exercício de 2022,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Tendo em conta o artigo 100.º e o anexo V do seu Regimento,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Tendo em conta o parecer da Comissão do Emprego e dos Assuntos Sociais,</w:t>
      </w:r>
    </w:p>
    <w:p w:rsidR="00847581" w:rsidRPr="00B94DE1" w:rsidRDefault="00847581" w:rsidP="00847581">
      <w:pPr>
        <w:pStyle w:val="NormalHanging12a"/>
      </w:pPr>
      <w:r w:rsidRPr="00B94DE1">
        <w:t>–</w:t>
      </w:r>
      <w:r w:rsidRPr="00B94DE1">
        <w:tab/>
        <w:t>Tendo em conta o relatório da Comissão do Controlo Orçamental (A9</w:t>
      </w:r>
      <w:r w:rsidRPr="00B94DE1">
        <w:noBreakHyphen/>
        <w:t>0114/2024),</w:t>
      </w:r>
    </w:p>
    <w:p w:rsidR="00847581" w:rsidRPr="00B94DE1" w:rsidRDefault="00847581" w:rsidP="00847581">
      <w:pPr>
        <w:pStyle w:val="Normal12Hanging"/>
        <w:rPr>
          <w:szCs w:val="24"/>
        </w:rPr>
      </w:pPr>
      <w:r w:rsidRPr="00B94DE1">
        <w:t>A.</w:t>
      </w:r>
      <w:r w:rsidRPr="00B94DE1">
        <w:tab/>
        <w:t>Considerando que, de acordo com o seu mapa de receitas e de despesas</w:t>
      </w:r>
      <w:r w:rsidRPr="00B94DE1">
        <w:rPr>
          <w:rStyle w:val="FootnoteReference"/>
          <w:szCs w:val="24"/>
        </w:rPr>
        <w:footnoteReference w:id="11"/>
      </w:r>
      <w:r w:rsidRPr="00B94DE1">
        <w:t>, o orçamento definitivo da Fundação Europeia para a Formação («Fundação») para o exercício de 2022 foi de 25 051 848 EUR, o que representa um aumento de 17,05 % face a 2021; que o orçamento da Fundação provém integralmente do orçamento da União;</w:t>
      </w:r>
    </w:p>
    <w:p w:rsidR="00847581" w:rsidRPr="00B94DE1" w:rsidRDefault="00847581" w:rsidP="00847581">
      <w:pPr>
        <w:pStyle w:val="Normal12Hanging"/>
        <w:rPr>
          <w:szCs w:val="24"/>
        </w:rPr>
      </w:pPr>
      <w:r w:rsidRPr="00B94DE1">
        <w:t>B.</w:t>
      </w:r>
      <w:r w:rsidRPr="00B94DE1">
        <w:tab/>
        <w:t>Considerando que o Tribunal de Contas («Tribunal»), no seu relatório sobre as contas anuais da Fundação para o exercício de 2022 («relatório do Tribunal»), afirma ter obtido garantias razoáveis de que as contas anuais da Fundação são fiáveis e de que as operações subjacentes são lícitas e regulares;</w:t>
      </w:r>
    </w:p>
    <w:p w:rsidR="00847581" w:rsidRPr="00B94DE1" w:rsidRDefault="00847581" w:rsidP="00847581">
      <w:pPr>
        <w:pStyle w:val="Normal12Hanging"/>
        <w:rPr>
          <w:b/>
          <w:i/>
          <w:szCs w:val="24"/>
        </w:rPr>
      </w:pPr>
      <w:r w:rsidRPr="00B94DE1">
        <w:rPr>
          <w:b/>
          <w:i/>
        </w:rPr>
        <w:t>Gestão orçamental e financeira</w:t>
      </w:r>
    </w:p>
    <w:p w:rsidR="00847581" w:rsidRPr="00B94DE1" w:rsidRDefault="00847581" w:rsidP="00847581">
      <w:pPr>
        <w:pStyle w:val="Normal12Hanging"/>
        <w:rPr>
          <w:szCs w:val="24"/>
        </w:rPr>
      </w:pPr>
      <w:proofErr w:type="gramStart"/>
      <w:r w:rsidRPr="00B94DE1">
        <w:t>1.</w:t>
      </w:r>
      <w:r w:rsidRPr="00B94DE1">
        <w:tab/>
        <w:t>Regista</w:t>
      </w:r>
      <w:proofErr w:type="gramEnd"/>
      <w:r w:rsidRPr="00B94DE1">
        <w:t xml:space="preserve"> com agrado que os esforços de supervisão orçamental durante o exercício de 2022 resultaram numa elevada taxa de execução orçamental, a saber de 99,98 %, o que representa um ligeiro aumento de 0,07 % em relação a 2021; salienta que a taxa de execução das dotações de pagamento foi de 97,70 %, o que representa um aumento de 11,48 % relativamente a 2021;</w:t>
      </w:r>
    </w:p>
    <w:p w:rsidR="00847581" w:rsidRPr="00B94DE1" w:rsidRDefault="00847581" w:rsidP="00847581">
      <w:pPr>
        <w:pStyle w:val="NormalHanging12a"/>
      </w:pPr>
      <w:proofErr w:type="gramStart"/>
      <w:r w:rsidRPr="00B94DE1">
        <w:t>2.</w:t>
      </w:r>
      <w:r w:rsidRPr="00B94DE1">
        <w:tab/>
        <w:t>Congratula-se</w:t>
      </w:r>
      <w:proofErr w:type="gramEnd"/>
      <w:r w:rsidRPr="00B94DE1">
        <w:t xml:space="preserve"> com o facto de, apesar da crise orçamental causada pela inflação e pelos preços dos serviços públicos essenciais em 2022, a Fundação ter conseguido gerir eficazmente as suas despesas, introduzir medidas de redução de custos e redefinir as prioridades sem grandes perturbações no seu programa de trabalho;</w:t>
      </w:r>
    </w:p>
    <w:p w:rsidR="00847581" w:rsidRPr="00B94DE1" w:rsidRDefault="00847581" w:rsidP="00847581">
      <w:pPr>
        <w:widowControl/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B94DE1">
        <w:rPr>
          <w:b/>
          <w:i/>
        </w:rPr>
        <w:t>Desempenho</w:t>
      </w:r>
    </w:p>
    <w:p w:rsidR="00847581" w:rsidRPr="00B94DE1" w:rsidRDefault="00847581" w:rsidP="00847581">
      <w:pPr>
        <w:pStyle w:val="Normal12Hanging"/>
        <w:rPr>
          <w:szCs w:val="24"/>
        </w:rPr>
      </w:pPr>
      <w:proofErr w:type="gramStart"/>
      <w:r w:rsidRPr="00B94DE1">
        <w:t>3.</w:t>
      </w:r>
      <w:r w:rsidRPr="00B94DE1">
        <w:tab/>
        <w:t>Regista</w:t>
      </w:r>
      <w:proofErr w:type="gramEnd"/>
      <w:r w:rsidRPr="00B94DE1">
        <w:t xml:space="preserve"> com satisfação que a Fundação utiliza um determinado tipo de medidas como indicadores-chave de desempenho (ICD) para avaliar o valor acrescentado das suas atividades e outras medidas para melhorar a sua gestão orçamental;</w:t>
      </w:r>
    </w:p>
    <w:p w:rsidR="00847581" w:rsidRPr="00B94DE1" w:rsidRDefault="00847581" w:rsidP="00847581">
      <w:pPr>
        <w:pStyle w:val="Normal12Hanging"/>
        <w:rPr>
          <w:szCs w:val="24"/>
        </w:rPr>
      </w:pPr>
      <w:proofErr w:type="gramStart"/>
      <w:r w:rsidRPr="00B94DE1">
        <w:t>4.</w:t>
      </w:r>
      <w:r w:rsidRPr="00B94DE1">
        <w:tab/>
        <w:t>Observa</w:t>
      </w:r>
      <w:proofErr w:type="gramEnd"/>
      <w:r w:rsidRPr="00B94DE1">
        <w:t xml:space="preserve"> que a Fundação atingiu uma taxa de conclusão das atividades de 93 %, o que constitui um ligeiro decréscimo em relação a 2021, tendo a conclusão atempada sido de 89 %; elogia o facto de a Fundação ter cumprido todos os indicadores-chave de desempenho, os quais ficaram acima ou muito acima das metas fixadas;</w:t>
      </w:r>
    </w:p>
    <w:p w:rsidR="00847581" w:rsidRPr="00B94DE1" w:rsidRDefault="00847581" w:rsidP="00847581">
      <w:pPr>
        <w:pStyle w:val="Normal12Hanging"/>
      </w:pPr>
      <w:proofErr w:type="gramStart"/>
      <w:r w:rsidRPr="00B94DE1">
        <w:lastRenderedPageBreak/>
        <w:t>5.</w:t>
      </w:r>
      <w:r w:rsidRPr="00B94DE1">
        <w:tab/>
        <w:t>Assinala</w:t>
      </w:r>
      <w:proofErr w:type="gramEnd"/>
      <w:r w:rsidRPr="00B94DE1">
        <w:t xml:space="preserve"> as principais realizações da Fundação em 2022, que se baseiam em três objetivos estratégicos: relevância e antecipação de competências, desenvolvimento e validação de competências, desempenho e qualidade das políticas de educação e formação; observa que estes objetivos são concretizados pela Fundação no âmbito de três serviços principais: centro de conhecimentos, acompanhamento e avaliação, e aconselhamento estratégico;</w:t>
      </w:r>
    </w:p>
    <w:p w:rsidR="00847581" w:rsidRPr="00B94DE1" w:rsidRDefault="00847581" w:rsidP="00847581">
      <w:pPr>
        <w:pStyle w:val="Normal12Hanging"/>
      </w:pPr>
      <w:proofErr w:type="gramStart"/>
      <w:r w:rsidRPr="00B94DE1">
        <w:t>6.</w:t>
      </w:r>
      <w:r w:rsidRPr="00B94DE1">
        <w:tab/>
        <w:t>Toma</w:t>
      </w:r>
      <w:proofErr w:type="gramEnd"/>
      <w:r w:rsidRPr="00B94DE1">
        <w:t xml:space="preserve"> nota das novas iniciativas lançadas pela Fundação em 2022, como a nova Iniciativa Equipa Europa no sul e no leste do Mediterrâneo e a reunião da rede </w:t>
      </w:r>
      <w:proofErr w:type="spellStart"/>
      <w:r w:rsidRPr="003E57F0">
        <w:rPr>
          <w:i/>
        </w:rPr>
        <w:t>Governance</w:t>
      </w:r>
      <w:proofErr w:type="spellEnd"/>
      <w:r w:rsidRPr="003E57F0">
        <w:rPr>
          <w:i/>
        </w:rPr>
        <w:t xml:space="preserve"> </w:t>
      </w:r>
      <w:proofErr w:type="spellStart"/>
      <w:r w:rsidRPr="003E57F0">
        <w:rPr>
          <w:i/>
        </w:rPr>
        <w:t>Learning</w:t>
      </w:r>
      <w:proofErr w:type="spellEnd"/>
      <w:r w:rsidRPr="003E57F0">
        <w:rPr>
          <w:i/>
        </w:rPr>
        <w:t xml:space="preserve"> </w:t>
      </w:r>
      <w:proofErr w:type="spellStart"/>
      <w:r w:rsidRPr="003E57F0">
        <w:rPr>
          <w:i/>
        </w:rPr>
        <w:t>Action</w:t>
      </w:r>
      <w:proofErr w:type="spellEnd"/>
      <w:r w:rsidRPr="003E57F0">
        <w:rPr>
          <w:i/>
        </w:rPr>
        <w:t xml:space="preserve"> </w:t>
      </w:r>
      <w:proofErr w:type="spellStart"/>
      <w:r w:rsidRPr="003E57F0">
        <w:rPr>
          <w:i/>
        </w:rPr>
        <w:t>and</w:t>
      </w:r>
      <w:proofErr w:type="spellEnd"/>
      <w:r w:rsidRPr="003E57F0">
        <w:rPr>
          <w:i/>
        </w:rPr>
        <w:t xml:space="preserve"> Dialogue</w:t>
      </w:r>
      <w:r w:rsidRPr="00B94DE1">
        <w:t xml:space="preserve"> (GLAD); regista o crescimento da sua rede de excelência e da rede de excelência da conferência em linha da Fundação, em novembro de 2022, que proporcionaram aos participantes a oportunidade de partilharem desenvolvimentos e resultados sobre o trabalho da parceria temática;</w:t>
      </w:r>
    </w:p>
    <w:p w:rsidR="00847581" w:rsidRPr="00B94DE1" w:rsidRDefault="00847581" w:rsidP="00847581">
      <w:pPr>
        <w:pStyle w:val="NormalHanging12a"/>
      </w:pPr>
      <w:proofErr w:type="gramStart"/>
      <w:r w:rsidRPr="00B94DE1">
        <w:t>7.</w:t>
      </w:r>
      <w:r w:rsidRPr="00B94DE1">
        <w:tab/>
        <w:t>Salienta</w:t>
      </w:r>
      <w:proofErr w:type="gramEnd"/>
      <w:r w:rsidRPr="00B94DE1">
        <w:t xml:space="preserve"> que a Fundação está a apoiar a Moldávia, a Geórgia e a Ucrânia, enquanto países candidatos, nas suas aspirações de alinhar as suas políticas de educação e emprego com as da União, fornecendo conhecimentos técnicos e aconselhamento sobre várias questões às autoridades nacionais, em estreita cooperação com as delegações da União e os serviços da Comissão;</w:t>
      </w:r>
    </w:p>
    <w:p w:rsidR="00847581" w:rsidRPr="00B94DE1" w:rsidRDefault="00847581" w:rsidP="00847581">
      <w:pPr>
        <w:pStyle w:val="Normal12Hanging"/>
        <w:rPr>
          <w:szCs w:val="24"/>
        </w:rPr>
      </w:pPr>
      <w:r w:rsidRPr="00B94DE1">
        <w:t>8.</w:t>
      </w:r>
      <w:r w:rsidRPr="00B94DE1">
        <w:tab/>
        <w:t>Congratula-se com o facto de as medidas tomadas pela Fundação em resposta a choques, como os efeitos persistentes da pandemia de COVID-19 e a agressão russa na Ucrânia, terem sido bastante eficazes para assegurar um nível contínuo e muito elevado de execução do programa de trabalho anual; louva a iniciativa da Fundação de apoiar a Ucrânia através da plataforma de recursos em linha para o reconhecimento de qualificações, competências e períodos de estudo dos refugiados ucranianos e de outros meios, e de responder sempre que possível e de forma pertinente, em estreito contacto com diferentes serviços da Comissão, tirando partido das suas competências especializadas nesta temática e do seu conhecimento dos sistemas de educação e formação do país;</w:t>
      </w:r>
    </w:p>
    <w:p w:rsidR="00847581" w:rsidRPr="00B94DE1" w:rsidRDefault="00847581" w:rsidP="00847581">
      <w:pPr>
        <w:pStyle w:val="NormalHanging12a"/>
      </w:pPr>
      <w:proofErr w:type="gramStart"/>
      <w:r w:rsidRPr="00B94DE1">
        <w:t>9.</w:t>
      </w:r>
      <w:r w:rsidRPr="00B94DE1">
        <w:tab/>
        <w:t>Sublinha</w:t>
      </w:r>
      <w:proofErr w:type="gramEnd"/>
      <w:r w:rsidRPr="00B94DE1">
        <w:t xml:space="preserve"> que a Fundação suspendeu todas as atividades e a cooperação com as autoridades bielorrussas desde o início de 2022;</w:t>
      </w:r>
    </w:p>
    <w:p w:rsidR="00847581" w:rsidRPr="00B94DE1" w:rsidRDefault="00847581" w:rsidP="00847581">
      <w:pPr>
        <w:pStyle w:val="NormalHanging12a"/>
      </w:pPr>
      <w:proofErr w:type="gramStart"/>
      <w:r w:rsidRPr="00B94DE1">
        <w:t>10.</w:t>
      </w:r>
      <w:r w:rsidRPr="00B94DE1">
        <w:tab/>
        <w:t>Saúda</w:t>
      </w:r>
      <w:proofErr w:type="gramEnd"/>
      <w:r w:rsidRPr="00B94DE1">
        <w:t xml:space="preserve"> as atividades levadas a cabo pela Fundação para ajudar os países parceiros da União a aproveitarem o potencial do seu capital humano e a melhorarem as perspetivas de emprego dos seus cidadãos através da reforma dos sistemas de educação, de formação profissional, de competências e do mercado de trabalho, no contexto das políticas de relações externas da União;</w:t>
      </w:r>
    </w:p>
    <w:p w:rsidR="00847581" w:rsidRPr="00B94DE1" w:rsidRDefault="00847581" w:rsidP="00847581">
      <w:pPr>
        <w:pStyle w:val="NormalHanging12a"/>
        <w:rPr>
          <w:szCs w:val="24"/>
        </w:rPr>
      </w:pPr>
      <w:proofErr w:type="gramStart"/>
      <w:r w:rsidRPr="00B94DE1">
        <w:t>11.</w:t>
      </w:r>
      <w:r w:rsidRPr="00B94DE1">
        <w:tab/>
        <w:t>Congratula-se</w:t>
      </w:r>
      <w:proofErr w:type="gramEnd"/>
      <w:r w:rsidRPr="00B94DE1">
        <w:t>, em particular, com o novo conceito da Fundação de centros empresariais de excelência profissional, que foram desenvolvidos com vista a contribuir para o debate internacional na comunidade de aprendizagem empresarial e a inspirar os centros de formação a darem uma melhor resposta à evolução das necessidades dos cidadãos, das economias e das sociedades;</w:t>
      </w:r>
    </w:p>
    <w:p w:rsidR="00847581" w:rsidRPr="00B94DE1" w:rsidRDefault="00847581" w:rsidP="00847581">
      <w:pPr>
        <w:pStyle w:val="Normal12Hanging"/>
        <w:rPr>
          <w:b/>
          <w:i/>
          <w:szCs w:val="24"/>
        </w:rPr>
      </w:pPr>
      <w:r w:rsidRPr="00B94DE1">
        <w:rPr>
          <w:b/>
          <w:i/>
        </w:rPr>
        <w:t>Eficiência e ganhos</w:t>
      </w:r>
    </w:p>
    <w:p w:rsidR="00847581" w:rsidRPr="00B94DE1" w:rsidRDefault="00847581" w:rsidP="00847581">
      <w:pPr>
        <w:pStyle w:val="Normal12Hanging"/>
        <w:rPr>
          <w:szCs w:val="24"/>
        </w:rPr>
      </w:pPr>
      <w:r w:rsidRPr="00B94DE1">
        <w:t>12.</w:t>
      </w:r>
      <w:r w:rsidRPr="00B94DE1">
        <w:tab/>
        <w:t xml:space="preserve">Observa que, em 2022, a Fundação continuou a identificar oportunidades para introduzir ganhos de eficiência nas suas operações, como a melhoria dos fluxos de trabalho digitais e a participação </w:t>
      </w:r>
      <w:proofErr w:type="spellStart"/>
      <w:r w:rsidRPr="00B94DE1">
        <w:t>proativa</w:t>
      </w:r>
      <w:proofErr w:type="spellEnd"/>
      <w:r w:rsidRPr="00B94DE1">
        <w:t xml:space="preserve"> na rede de agências da União e nos seus </w:t>
      </w:r>
      <w:r w:rsidRPr="00B94DE1">
        <w:lastRenderedPageBreak/>
        <w:t xml:space="preserve">diferentes grupos de trabalho; regista, neste contexto, nomeadamente a partilha dos serviços de contabilidade da Fundação com a Agência Europeia para a Segurança e Saúde no Trabalho através de um acordo de nível de serviço, assinado em 2022, e a avaliação da possibilidade de partilhar recursos nos domínios do recrutamento, da cibersegurança, do EMAS, da sustentabilidade e da </w:t>
      </w:r>
      <w:proofErr w:type="spellStart"/>
      <w:r w:rsidRPr="00B94DE1">
        <w:t>ecologização</w:t>
      </w:r>
      <w:proofErr w:type="spellEnd"/>
      <w:r w:rsidRPr="00B94DE1">
        <w:t>, da contratação pública e das ferramentas e sistemas informáticos com o Centro Europeu para o Desenvolvimento da Formação Profissional;</w:t>
      </w:r>
    </w:p>
    <w:p w:rsidR="00847581" w:rsidRPr="00B94DE1" w:rsidRDefault="00847581" w:rsidP="00847581">
      <w:pPr>
        <w:pStyle w:val="Normal12Hanging"/>
        <w:rPr>
          <w:szCs w:val="24"/>
        </w:rPr>
      </w:pPr>
      <w:r w:rsidRPr="00B94DE1">
        <w:t>13.</w:t>
      </w:r>
      <w:r w:rsidRPr="00B94DE1">
        <w:tab/>
        <w:t>Observa que a Fundação adotou medidas nos domínios do consumo de energia e da gestão de edifícios, entre as quais figuram, por exemplo, o encerramento dos escritórios em agosto de 2022 e a instalação de sensores para iluminação e água, temporizadores para caldeiras, aquecimento e ar condicionado; regista o aumento dos esforços em matéria de gestão da energia, que conduziu a poupanças de 2 000 metros cúbicos de gás e de 49 107 </w:t>
      </w:r>
      <w:proofErr w:type="spellStart"/>
      <w:r w:rsidRPr="00B94DE1">
        <w:t>KwH</w:t>
      </w:r>
      <w:proofErr w:type="spellEnd"/>
      <w:r w:rsidRPr="00B94DE1">
        <w:t xml:space="preserve"> de eletricidade em 2022, apesar do aumento da presença de pessoal nos gabinetes ao longo do ano, devido aos regimes de trabalho híbridos em vigor;</w:t>
      </w:r>
    </w:p>
    <w:p w:rsidR="00847581" w:rsidRPr="00B94DE1" w:rsidRDefault="00847581" w:rsidP="00847581">
      <w:pPr>
        <w:pStyle w:val="Normal12Hanging"/>
        <w:rPr>
          <w:szCs w:val="24"/>
        </w:rPr>
      </w:pPr>
      <w:proofErr w:type="gramStart"/>
      <w:r w:rsidRPr="00B94DE1">
        <w:t>14.</w:t>
      </w:r>
      <w:r w:rsidRPr="00B94DE1">
        <w:tab/>
        <w:t>Congratula-se</w:t>
      </w:r>
      <w:proofErr w:type="gramEnd"/>
      <w:r w:rsidRPr="00B94DE1">
        <w:t xml:space="preserve"> com o compromisso assumido pela Fundação de adotar todos os instrumentos de contratação pública eletrónica da Comissão e com o facto de o processo de adjudicação de contratos da Fundação estar totalmente digitalizado;</w:t>
      </w:r>
    </w:p>
    <w:p w:rsidR="00847581" w:rsidRPr="00B94DE1" w:rsidRDefault="00847581" w:rsidP="00847581">
      <w:pPr>
        <w:pStyle w:val="NormalHanging12a"/>
        <w:rPr>
          <w:szCs w:val="24"/>
        </w:rPr>
      </w:pPr>
      <w:r w:rsidRPr="00B94DE1">
        <w:t>15.</w:t>
      </w:r>
      <w:r w:rsidRPr="00B94DE1">
        <w:tab/>
        <w:t>Felicita a Fundação por ter estabelecido um plano institucional para melhorar a eficiência energética e a neutralidade climática da sua atividade;</w:t>
      </w:r>
    </w:p>
    <w:p w:rsidR="00847581" w:rsidRPr="00B94DE1" w:rsidRDefault="00847581" w:rsidP="00847581">
      <w:pPr>
        <w:pStyle w:val="Normal12Hanging"/>
        <w:rPr>
          <w:b/>
          <w:i/>
          <w:szCs w:val="24"/>
        </w:rPr>
      </w:pPr>
      <w:r w:rsidRPr="00B94DE1">
        <w:rPr>
          <w:b/>
          <w:i/>
        </w:rPr>
        <w:t>Política de pessoal</w:t>
      </w:r>
    </w:p>
    <w:p w:rsidR="00847581" w:rsidRPr="00B94DE1" w:rsidRDefault="00847581" w:rsidP="00847581">
      <w:pPr>
        <w:spacing w:after="240"/>
        <w:ind w:left="567" w:hanging="567"/>
      </w:pPr>
      <w:proofErr w:type="gramStart"/>
      <w:r w:rsidRPr="00B94DE1">
        <w:t>16.</w:t>
      </w:r>
      <w:r w:rsidRPr="00B94DE1">
        <w:tab/>
        <w:t>Regista</w:t>
      </w:r>
      <w:proofErr w:type="gramEnd"/>
      <w:r w:rsidRPr="00B94DE1">
        <w:t xml:space="preserve"> que, em 31 de dezembro de 2022, o quadro de pessoal estava preenchido a 98,8 %, com 85 funcionários e agentes temporários nomeados, dos 86 lugares de funcionário e agente temporário autorizados pelo orçamento da União (o mesmo número de lugares autorizados em 2021); observa, além disso, que 39 agentes contratuais e um agente local trabalhavam para a Fundação em 2022;</w:t>
      </w:r>
    </w:p>
    <w:p w:rsidR="00847581" w:rsidRPr="00B94DE1" w:rsidRDefault="00847581" w:rsidP="00847581">
      <w:pPr>
        <w:pStyle w:val="NormalHanging12a"/>
      </w:pPr>
      <w:r w:rsidRPr="00B94DE1">
        <w:t>17.</w:t>
      </w:r>
      <w:r w:rsidRPr="00B94DE1">
        <w:tab/>
        <w:t>Observa que 21 Estados-Membros estavam representados entre o pessoal da Fundação em 2022; reitera com preocupação que o equilíbrio geográfico constitui um desafio; observa que 42 % do pessoal da Fundação é nacional do Estado-Membro onde esta está sediada; reconhece que a Fundação utiliza processos de seleção baseados no mérito, de acordo com os quais, verificando-se igualdade de mérito, a escolha deve recair em candidatos cujas nacionalidades estão sub-representadas; Recorda a importância do equilíbrio geográfico; insta a Fundação a tomar as medidas necessárias para assegurar uma representação geográfica equilibrada e justa, incluindo em cargos de chefia intermédia e superior, respeitando simultaneamente as competências e os méritos dos candidatos, e a informar a autoridade de quitação sobre quaisquer desenvolvimentos a esse respeito;</w:t>
      </w:r>
    </w:p>
    <w:p w:rsidR="00847581" w:rsidRPr="00B94DE1" w:rsidRDefault="00847581" w:rsidP="00847581">
      <w:pPr>
        <w:pStyle w:val="NormalHanging12a"/>
      </w:pPr>
      <w:r w:rsidRPr="00B94DE1">
        <w:t>18.</w:t>
      </w:r>
      <w:r w:rsidRPr="00B94DE1">
        <w:tab/>
        <w:t xml:space="preserve">Observa que, no respeitante ao equilíbrio de género entre os quadros médios e superiores, em 2022, quatro em cada nove lugares eram ocupados por mulheres; que, no respeitante ao equilíbrio de género entre os membros do conselho de administração, 41 % são homens e 59 % mulheres (11 e 16, respetivamente) e, em termos da totalidade do pessoal, 33 % são homens e 67 % mulheres (41 e 84, respetivamente); recorda a importância de assegurar o equilíbrio de género e exorta a Fundação a ter este aspeto em conta no que diz respeito aos futuros recrutamentos de pessoal e às nomeações para os seus quadros médios e superiores; solicita à Comissão e aos Estados-Membros que </w:t>
      </w:r>
      <w:r w:rsidRPr="00B94DE1">
        <w:lastRenderedPageBreak/>
        <w:t>tenham em conta a importância de assegurar o equilíbrio de género ao nomearem os seus membros para o conselho de administração da Fundação;</w:t>
      </w:r>
    </w:p>
    <w:p w:rsidR="00847581" w:rsidRPr="00B94DE1" w:rsidRDefault="00847581" w:rsidP="00847581">
      <w:pPr>
        <w:pStyle w:val="NormalHanging12a"/>
      </w:pPr>
      <w:proofErr w:type="gramStart"/>
      <w:r w:rsidRPr="00B94DE1">
        <w:t>19.</w:t>
      </w:r>
      <w:r w:rsidRPr="00B94DE1">
        <w:tab/>
        <w:t>Regista</w:t>
      </w:r>
      <w:proofErr w:type="gramEnd"/>
      <w:r w:rsidRPr="00B94DE1">
        <w:t xml:space="preserve"> que, de acordo com as observações de seguimento da quitação de 2021, a Fundação reviu os seus anúncios de abertura de vagas para aumentar a atratividade do local de afetação e está a diversificar os canais de comunicação para os países visados que estão menos representados através do </w:t>
      </w:r>
      <w:proofErr w:type="spellStart"/>
      <w:r w:rsidRPr="00B94DE1">
        <w:t>LinkedIn</w:t>
      </w:r>
      <w:proofErr w:type="spellEnd"/>
      <w:r w:rsidRPr="00B94DE1">
        <w:t>;</w:t>
      </w:r>
    </w:p>
    <w:p w:rsidR="00847581" w:rsidRPr="00B94DE1" w:rsidRDefault="00847581" w:rsidP="00847581">
      <w:pPr>
        <w:pStyle w:val="Normal12Hanging"/>
        <w:rPr>
          <w:szCs w:val="24"/>
        </w:rPr>
      </w:pPr>
      <w:proofErr w:type="gramStart"/>
      <w:r w:rsidRPr="00B94DE1">
        <w:t>20.</w:t>
      </w:r>
      <w:r w:rsidRPr="00B94DE1">
        <w:tab/>
        <w:t>Assinala</w:t>
      </w:r>
      <w:proofErr w:type="gramEnd"/>
      <w:r w:rsidRPr="00B94DE1">
        <w:t xml:space="preserve"> que a Fundação adotou a Carta da Diversidade e da Inclusão em dezembro de 2022; nota que, em 2022, o pessoal teve muitos benefícios destinados a melhorar o bem-estar no trabalho e que, além disso, foram adotadas novas regras em matéria de tempo de trabalho e de trabalho híbrido, que continuam a proporcionar ao pessoal oportunidades para novas formas flexíveis de trabalho;</w:t>
      </w:r>
    </w:p>
    <w:p w:rsidR="00847581" w:rsidRPr="00B94DE1" w:rsidRDefault="00847581" w:rsidP="00847581">
      <w:pPr>
        <w:pStyle w:val="Normal12Hanging"/>
        <w:rPr>
          <w:b/>
          <w:i/>
          <w:szCs w:val="24"/>
        </w:rPr>
      </w:pPr>
      <w:r w:rsidRPr="00B94DE1">
        <w:rPr>
          <w:b/>
          <w:i/>
        </w:rPr>
        <w:t>Contratação pública</w:t>
      </w:r>
    </w:p>
    <w:p w:rsidR="00847581" w:rsidRPr="00B94DE1" w:rsidRDefault="00847581" w:rsidP="00847581">
      <w:pPr>
        <w:pStyle w:val="Normal12Hanging"/>
        <w:rPr>
          <w:szCs w:val="24"/>
        </w:rPr>
      </w:pPr>
      <w:r w:rsidRPr="00B94DE1">
        <w:t>21.</w:t>
      </w:r>
      <w:r w:rsidRPr="00B94DE1">
        <w:tab/>
        <w:t>Regista a observação do Tribunal relativa à adjudicação de um contrato-quadro de um milhão de EUR para serviços de apoio a conteúdos, iniciada em 2021, segundo a qual essa adjudicação foi irregular devido a um desvio em relação às especificações técnicas; constata que os proponentes foram obrigados a apresentar contas encerradas e assinadas que atestassem um volume de negócios de, pelo menos, 250 000 EUR nos dois últimos exercícios (isto é, 2019 e 2020), a fim de demonstrarem a sua capacidade financeira; observa que o volume de negócios do proponente vencedor em 2019 não tinha atingido o limiar exigido, mas que, no entanto, a Fundação, em vez de rejeitar o proponente, decidiu não rejeitá-lo com base no volume de negócios mais elevado indicado nas contas provisórias de 2021; salienta que o facto de que o Tribunal conclui que o procedimento de avaliação e o contrato dele resultante são irregulares, bem como todos os pagamentos correspondentes, que, em 2022, ascenderam a 100 100 EUR; toma nota de que, na sequência da observação do Tribunal, a Fundação simplificará a sua metodologia, que continuará a avaliar a fiabilidade financeira dos contratantes, tornando-a, no entanto, mais adaptada à situação financeira atual (pós-COVID-19 e guerra na Ucrânia);</w:t>
      </w:r>
    </w:p>
    <w:p w:rsidR="00847581" w:rsidRPr="00B94DE1" w:rsidRDefault="00847581" w:rsidP="00847581">
      <w:pPr>
        <w:pStyle w:val="Normal12Hanging"/>
      </w:pPr>
      <w:r w:rsidRPr="00B94DE1">
        <w:t>22.</w:t>
      </w:r>
      <w:r w:rsidRPr="00B94DE1">
        <w:tab/>
        <w:t>Salienta que noutro concurso aberto para serviços de apoio intranacionais, num montante de quatro milhões de EUR, a capacidade financeira e económica dos proponentes devia</w:t>
      </w:r>
      <w:r w:rsidR="0038555F">
        <w:t>m</w:t>
      </w:r>
      <w:r w:rsidRPr="00B94DE1">
        <w:t xml:space="preserve"> ser avaliada</w:t>
      </w:r>
      <w:r w:rsidR="0038555F">
        <w:t>s</w:t>
      </w:r>
      <w:r w:rsidRPr="00B94DE1">
        <w:t xml:space="preserve"> segundo dois critérios: i) posição financeira estável, demonstrada por um conjunto de parâmetros, incluindo o lucro líquido positivo; e </w:t>
      </w:r>
      <w:proofErr w:type="spellStart"/>
      <w:r w:rsidRPr="00B94DE1">
        <w:t>ii</w:t>
      </w:r>
      <w:proofErr w:type="spellEnd"/>
      <w:r w:rsidRPr="00B94DE1">
        <w:t xml:space="preserve">) um volume de negócios anual de, pelo menos, um milhão de EUR nos dois últimos exercícios financeiros; observa que a Fundação adjudicou o contrato a um consórcio de cinco entidades não comerciais, apesar de nenhum dos membros do consórcio ter declarado quaisquer lucros nos últimos dois anos e, além disso, decidiu ignorar o requisito relativo ao volume de negócios – que o proponente vencedor não cumpriu – por não ser aplicável a entidades não comerciais; salienta que o Tribunal concluiu que a Fundação aplicou os critérios de seleção de forma incorreta e que a capacidade económica e financeira do proponente vencedor não foi demonstrada; constata, além disso, que o procedimento de avaliação e o contrato dele resultante são, por conseguinte, irregulares, bem como todos os pagamentos correspondentes, que, em 2022, corresponderam a 70 500 EUR; observa que o procedimento de contratação em causa visou o desenvolvimento do capital humano na Ásia Central e, na sequência da observação do Tribunal, a Fundação prosseguirá os debates com os serviços competentes da Comissão sobre possíveis métodos alternativos para executar as </w:t>
      </w:r>
      <w:r w:rsidRPr="00B94DE1">
        <w:lastRenderedPageBreak/>
        <w:t>atividades nos países parceiros e, paralelamente, simplificará a sua metodologia de avaliação financeira de modo a abranger, se for caso disso, o mercado de países terceiros;</w:t>
      </w:r>
    </w:p>
    <w:p w:rsidR="00847581" w:rsidRPr="00B94DE1" w:rsidRDefault="00847581" w:rsidP="00847581">
      <w:pPr>
        <w:pStyle w:val="Normal12Hanging"/>
        <w:rPr>
          <w:szCs w:val="24"/>
        </w:rPr>
      </w:pPr>
      <w:r w:rsidRPr="00B94DE1">
        <w:t>23.</w:t>
      </w:r>
      <w:r w:rsidRPr="00B94DE1">
        <w:tab/>
        <w:t>Recorda a importância, para todos os procedimentos de adjudicação de contratos, de assegurar uma concorrência leal entre os proponentes e de adquirir bens e serviços ao melhor preço, respeitando os princípios da transparência e da boa utilização dos recursos públicos, da proporcionalidade, da igualdade de tratamento e da não discriminação; insta a Fundação a tomar medidas para garantir que, em futuros procedimentos de adjudicação de contratos, sejam plenamente respeitadas as regras aplicáveis que asseguram a transparência, a equidade e a integridade do processo de concurso;</w:t>
      </w:r>
    </w:p>
    <w:p w:rsidR="00847581" w:rsidRPr="00B94DE1" w:rsidRDefault="00847581" w:rsidP="00847581">
      <w:pPr>
        <w:pStyle w:val="Normal12Hanging"/>
        <w:rPr>
          <w:szCs w:val="24"/>
        </w:rPr>
      </w:pPr>
      <w:proofErr w:type="gramStart"/>
      <w:r w:rsidRPr="00B94DE1">
        <w:t>24.</w:t>
      </w:r>
      <w:r w:rsidRPr="00B94DE1">
        <w:tab/>
        <w:t>Observa</w:t>
      </w:r>
      <w:proofErr w:type="gramEnd"/>
      <w:r w:rsidRPr="00B94DE1">
        <w:t xml:space="preserve"> que, no final de 2022, a Fundação apenas dispunha de uma decisão aberta do Tribunal sobre o procedimento de contratação de trabalhadores temporários, proferida em 2018, e previamente reconhecida pelo Parlamento no seu relatório de quitação; constata, além disso, que a Fundação abordou esta questão aquando do lançamento do novo contrato-quadro, que deveria ser assinado em 2023;</w:t>
      </w:r>
    </w:p>
    <w:p w:rsidR="00847581" w:rsidRPr="00B94DE1" w:rsidRDefault="00847581" w:rsidP="00847581">
      <w:pPr>
        <w:pStyle w:val="Normal12Hanging"/>
        <w:rPr>
          <w:b/>
          <w:i/>
          <w:szCs w:val="24"/>
        </w:rPr>
      </w:pPr>
      <w:r w:rsidRPr="00B94DE1">
        <w:rPr>
          <w:b/>
          <w:i/>
        </w:rPr>
        <w:t>Prevenção e gestão de conflitos de interesses e transparência</w:t>
      </w:r>
    </w:p>
    <w:p w:rsidR="00847581" w:rsidRPr="00B94DE1" w:rsidRDefault="00847581" w:rsidP="00847581">
      <w:pPr>
        <w:pStyle w:val="Normal12Hanging"/>
        <w:rPr>
          <w:szCs w:val="24"/>
        </w:rPr>
      </w:pPr>
      <w:proofErr w:type="gramStart"/>
      <w:r w:rsidRPr="00B94DE1">
        <w:t>25.</w:t>
      </w:r>
      <w:r w:rsidRPr="00B94DE1">
        <w:tab/>
        <w:t>Regista</w:t>
      </w:r>
      <w:proofErr w:type="gramEnd"/>
      <w:r w:rsidRPr="00B94DE1">
        <w:t xml:space="preserve"> que a Fundação publicou todas as declarações de conflito de interesses e os CV dos membros do conselho de administração e dos quadros médios e superiores; observa, além disso, que a Fundação enumera todas as reuniões realizadas pelo seu diretor e pelas organizações e trabalhadores independentes no seu sítio Web;</w:t>
      </w:r>
    </w:p>
    <w:p w:rsidR="00847581" w:rsidRPr="00B94DE1" w:rsidRDefault="00847581" w:rsidP="00847581">
      <w:pPr>
        <w:pStyle w:val="Normal12Hanging"/>
        <w:rPr>
          <w:rStyle w:val="normaltextrun"/>
        </w:rPr>
      </w:pPr>
      <w:proofErr w:type="gramStart"/>
      <w:r w:rsidRPr="00B94DE1">
        <w:rPr>
          <w:rStyle w:val="normaltextrun"/>
        </w:rPr>
        <w:t>26.</w:t>
      </w:r>
      <w:r w:rsidRPr="00B94DE1">
        <w:rPr>
          <w:rStyle w:val="normaltextrun"/>
        </w:rPr>
        <w:tab/>
        <w:t>Observa</w:t>
      </w:r>
      <w:proofErr w:type="gramEnd"/>
      <w:r w:rsidRPr="00B94DE1">
        <w:rPr>
          <w:rStyle w:val="normaltextrun"/>
        </w:rPr>
        <w:t xml:space="preserve"> que a Fundação dispõe de uma estratégia interna antifraude, que é regularmente atualizada, e que pode considerar a possibilidade de complementar essa estratégia com uma secção anticorrupção; observa ainda que está atualmente a elaborar uma política em matéria de conflito de interesses;</w:t>
      </w:r>
    </w:p>
    <w:p w:rsidR="00847581" w:rsidRPr="00B94DE1" w:rsidRDefault="00847581" w:rsidP="00847581">
      <w:pPr>
        <w:pStyle w:val="Normal12Hanging"/>
        <w:rPr>
          <w:b/>
          <w:i/>
          <w:szCs w:val="24"/>
        </w:rPr>
      </w:pPr>
      <w:r w:rsidRPr="00B94DE1">
        <w:rPr>
          <w:b/>
          <w:i/>
        </w:rPr>
        <w:t>Controlo interno</w:t>
      </w:r>
    </w:p>
    <w:p w:rsidR="00847581" w:rsidRPr="00B94DE1" w:rsidRDefault="00847581" w:rsidP="00847581">
      <w:pPr>
        <w:pStyle w:val="Normal12Hanging"/>
        <w:rPr>
          <w:b/>
          <w:i/>
          <w:szCs w:val="24"/>
        </w:rPr>
      </w:pPr>
      <w:r w:rsidRPr="00B94DE1">
        <w:t>27.</w:t>
      </w:r>
      <w:r w:rsidRPr="00B94DE1">
        <w:tab/>
        <w:t>Congratula-se com o parecer positivo emitido pelo Serviço de Auditoria Interna sobre os mecanismos de complementaridade e cooperação entre a Fundação e a Comissão no seu relatório final de auditoria, em dezembro de 2022, sublinhando os conhecimentos especializados do pessoal da Fundação e a criação de um diálogo estruturado bianual para assegurar uma melhor coordenação na preparação das reuniões do conselho diretivo; observa, no entanto, que o Serviço de Auditoria Interna também chama a atenção para duas questões muito importantes relativas ao mandato da Fundação e ao acompanhamento dos indicadores, bem como para duas questões importantes relativas ao alinhamento prioritário e à base de dados de pedidos da União e à melhoria dos procedimentos; reconhece que, em resposta, a Fundação, em colaboração com a DG EMPL, elaborou um plano de ação para dar resposta a essas recomendações, cuja a entrada em vigor estava prevista para 2023;</w:t>
      </w:r>
    </w:p>
    <w:p w:rsidR="00847581" w:rsidRPr="00B94DE1" w:rsidRDefault="00847581" w:rsidP="00847581">
      <w:pPr>
        <w:pStyle w:val="Normal12Hanging"/>
        <w:rPr>
          <w:b/>
          <w:i/>
          <w:szCs w:val="24"/>
        </w:rPr>
      </w:pPr>
      <w:r w:rsidRPr="00B94DE1">
        <w:rPr>
          <w:b/>
          <w:i/>
        </w:rPr>
        <w:t>Outras observações</w:t>
      </w:r>
    </w:p>
    <w:p w:rsidR="00847581" w:rsidRPr="00B94DE1" w:rsidRDefault="00847581" w:rsidP="00847581">
      <w:pPr>
        <w:pStyle w:val="Normal12Hanging"/>
        <w:rPr>
          <w:szCs w:val="24"/>
        </w:rPr>
      </w:pPr>
      <w:proofErr w:type="gramStart"/>
      <w:r w:rsidRPr="00B94DE1">
        <w:t>28.</w:t>
      </w:r>
      <w:r w:rsidRPr="00B94DE1">
        <w:tab/>
        <w:t>Regista</w:t>
      </w:r>
      <w:proofErr w:type="gramEnd"/>
      <w:r w:rsidRPr="00B94DE1">
        <w:t xml:space="preserve"> a atenção dedicada pela Fundação à cibersegurança e aos registos digitais e à gestão de dados, bem como as ações empreendidas para seguir as orientações pertinentes da União, como as melhorias de salvaguarda e os principais testes de </w:t>
      </w:r>
      <w:r w:rsidRPr="00B94DE1">
        <w:lastRenderedPageBreak/>
        <w:t>penetração dos sítios Web da Fundação; observa, além disso, que, na sequência de uma avaliação dos riscos para a segurança da informação à escala da Fundação realizada em 2021, foi elaborado e acordado um plano de tratamento dos riscos em 2022;</w:t>
      </w:r>
    </w:p>
    <w:p w:rsidR="00847581" w:rsidRPr="00B94DE1" w:rsidRDefault="00847581" w:rsidP="00847581">
      <w:pPr>
        <w:pStyle w:val="Normal12Hanging"/>
        <w:rPr>
          <w:szCs w:val="24"/>
        </w:rPr>
      </w:pPr>
      <w:proofErr w:type="gramStart"/>
      <w:r w:rsidRPr="00B94DE1">
        <w:t>29.</w:t>
      </w:r>
      <w:r w:rsidRPr="00B94DE1">
        <w:tab/>
        <w:t>Observa</w:t>
      </w:r>
      <w:proofErr w:type="gramEnd"/>
      <w:r w:rsidRPr="00B94DE1">
        <w:t xml:space="preserve"> que, em 2022, a Fundação manteve a certificação EMAS e a certificação ISO 14001, na sequência de uma auditoria ambiental realizada em março de 2022 (e 2023);</w:t>
      </w:r>
    </w:p>
    <w:p w:rsidR="00847581" w:rsidRPr="00B94DE1" w:rsidRDefault="00847581" w:rsidP="00847581">
      <w:pPr>
        <w:pStyle w:val="NormalHanging12a"/>
      </w:pPr>
      <w:r w:rsidRPr="00B94DE1">
        <w:t>30.</w:t>
      </w:r>
      <w:r w:rsidRPr="00B94DE1">
        <w:tab/>
        <w:t xml:space="preserve">Congratula-se com o facto de a Fundação ter continuado a aplicar diferentes medidas para aumentar a sua presença pública e em linha, nomeadamente através da produção e promoção de 10 </w:t>
      </w:r>
      <w:proofErr w:type="spellStart"/>
      <w:r w:rsidRPr="00B94DE1">
        <w:rPr>
          <w:i/>
          <w:iCs/>
        </w:rPr>
        <w:t>podcasts</w:t>
      </w:r>
      <w:proofErr w:type="spellEnd"/>
      <w:r w:rsidRPr="00B94DE1">
        <w:t xml:space="preserve">, </w:t>
      </w:r>
      <w:r w:rsidR="0038555F">
        <w:t>dois</w:t>
      </w:r>
      <w:r w:rsidRPr="00B94DE1">
        <w:t xml:space="preserve"> prémios internacionais e 10 comunicações conjuntas, da transmissão em contínuo de </w:t>
      </w:r>
      <w:r w:rsidR="0038555F">
        <w:t>sete</w:t>
      </w:r>
      <w:r w:rsidRPr="00B94DE1">
        <w:t xml:space="preserve"> entrevistas LIVE </w:t>
      </w:r>
      <w:proofErr w:type="spellStart"/>
      <w:r w:rsidRPr="00B94DE1">
        <w:t>learningConnects</w:t>
      </w:r>
      <w:proofErr w:type="spellEnd"/>
      <w:r w:rsidRPr="00B94DE1">
        <w:t xml:space="preserve"> e da participação na conferência da COP das Nações Unidas para apresentar o seu trabalho em matéria de competências verdes; observa, nesse contexto, um aumento significativo das métricas das redes sociais da Fundação em 2022, em comparação com 2021;</w:t>
      </w:r>
    </w:p>
    <w:p w:rsidR="00847581" w:rsidRPr="00B94DE1" w:rsidRDefault="00847581" w:rsidP="00847581">
      <w:pPr>
        <w:pStyle w:val="NormalHanging12a"/>
      </w:pPr>
      <w:proofErr w:type="gramStart"/>
      <w:r w:rsidRPr="00B94DE1">
        <w:t>31.</w:t>
      </w:r>
      <w:r w:rsidRPr="00B94DE1">
        <w:tab/>
        <w:t>Reitera</w:t>
      </w:r>
      <w:proofErr w:type="gramEnd"/>
      <w:r w:rsidRPr="00B94DE1">
        <w:t xml:space="preserve"> o seu apelo à Fundação para que garanta maior transparência e responsabilização pública mediante uma melhor utilização dos canais de comunicação social e das redes sociais;</w:t>
      </w:r>
    </w:p>
    <w:p w:rsidR="00847581" w:rsidRPr="00B94DE1" w:rsidRDefault="00847581" w:rsidP="00847581">
      <w:pPr>
        <w:pStyle w:val="NormalCenter12a"/>
        <w:rPr>
          <w:color w:val="000000" w:themeColor="text1"/>
        </w:rPr>
      </w:pPr>
      <w:r w:rsidRPr="00B94DE1">
        <w:rPr>
          <w:color w:val="000000" w:themeColor="text1"/>
        </w:rPr>
        <w:t>°</w:t>
      </w:r>
    </w:p>
    <w:p w:rsidR="00847581" w:rsidRPr="00B94DE1" w:rsidRDefault="00847581" w:rsidP="00847581">
      <w:pPr>
        <w:pStyle w:val="NormalCenter12a"/>
      </w:pPr>
      <w:r w:rsidRPr="00B94DE1">
        <w:t>°</w:t>
      </w:r>
      <w:r w:rsidRPr="00B94DE1">
        <w:tab/>
        <w:t>°</w:t>
      </w:r>
    </w:p>
    <w:p w:rsidR="00847581" w:rsidRPr="00B94DE1" w:rsidRDefault="00847581" w:rsidP="00847581">
      <w:pPr>
        <w:pStyle w:val="NormalHanging12a"/>
        <w:widowControl/>
      </w:pPr>
      <w:r w:rsidRPr="00B94DE1">
        <w:t>32.</w:t>
      </w:r>
      <w:r w:rsidRPr="00B94DE1">
        <w:tab/>
        <w:t>Remete, em relação a outras observações</w:t>
      </w:r>
      <w:r w:rsidR="0038555F">
        <w:t>,</w:t>
      </w:r>
      <w:r w:rsidRPr="00B94DE1">
        <w:t xml:space="preserve"> de natureza horizontal</w:t>
      </w:r>
      <w:r w:rsidR="00171839">
        <w:t>,</w:t>
      </w:r>
      <w:r w:rsidRPr="00B94DE1">
        <w:t xml:space="preserve"> que acompanham a sua decisão sobre a quitação, para a sua Resolução</w:t>
      </w:r>
      <w:r w:rsidR="00171839">
        <w:t>,</w:t>
      </w:r>
      <w:r w:rsidRPr="00B94DE1">
        <w:t xml:space="preserve"> de </w:t>
      </w:r>
      <w:r w:rsidR="00171839">
        <w:t>11 de abril de 2024</w:t>
      </w:r>
      <w:r w:rsidRPr="00B94DE1">
        <w:rPr>
          <w:vertAlign w:val="superscript"/>
        </w:rPr>
        <w:footnoteReference w:id="12"/>
      </w:r>
      <w:r w:rsidR="00171839">
        <w:t>,</w:t>
      </w:r>
      <w:r w:rsidRPr="00B94DE1">
        <w:t xml:space="preserve"> sobre o desempenho, a gestão financeira e o controlo das agências.</w:t>
      </w:r>
    </w:p>
    <w:p w:rsidR="00847581" w:rsidRPr="00B94DE1" w:rsidRDefault="00847581" w:rsidP="00847581"/>
    <w:p w:rsidR="00E365E1" w:rsidRPr="00B94DE1" w:rsidRDefault="00E365E1" w:rsidP="000F2CB3">
      <w:bookmarkStart w:id="10" w:name="TextBodyEnd"/>
      <w:bookmarkStart w:id="11" w:name="_GoBack"/>
      <w:bookmarkEnd w:id="10"/>
      <w:bookmarkEnd w:id="11"/>
    </w:p>
    <w:sectPr w:rsidR="00E365E1" w:rsidRPr="00B94DE1" w:rsidSect="00A479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CB3" w:rsidRPr="00A4790A" w:rsidRDefault="000F2CB3">
      <w:r w:rsidRPr="00A4790A">
        <w:separator/>
      </w:r>
    </w:p>
  </w:endnote>
  <w:endnote w:type="continuationSeparator" w:id="0">
    <w:p w:rsidR="000F2CB3" w:rsidRPr="00A4790A" w:rsidRDefault="000F2CB3">
      <w:r w:rsidRPr="00A479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581" w:rsidRPr="00A4790A" w:rsidRDefault="00847581" w:rsidP="00F44836">
    <w:pPr>
      <w:pStyle w:val="EPFooter"/>
    </w:pPr>
    <w:r w:rsidRPr="00A4790A">
      <w:t>PE</w:t>
    </w:r>
    <w:r w:rsidRPr="00A4790A">
      <w:rPr>
        <w:rStyle w:val="HideTWBExt"/>
      </w:rPr>
      <w:t>&lt;</w:t>
    </w:r>
    <w:proofErr w:type="spellStart"/>
    <w:r w:rsidRPr="00A4790A">
      <w:rPr>
        <w:rStyle w:val="HideTWBExt"/>
      </w:rPr>
      <w:t>NoPE</w:t>
    </w:r>
    <w:proofErr w:type="spellEnd"/>
    <w:r w:rsidRPr="00A4790A">
      <w:rPr>
        <w:rStyle w:val="HideTWBExt"/>
      </w:rPr>
      <w:t>&gt;</w:t>
    </w:r>
    <w:r w:rsidRPr="00A4790A">
      <w:t>753.531</w:t>
    </w:r>
    <w:r w:rsidRPr="00A4790A">
      <w:rPr>
        <w:rStyle w:val="HideTWBExt"/>
      </w:rPr>
      <w:t>&lt;/</w:t>
    </w:r>
    <w:proofErr w:type="spellStart"/>
    <w:r w:rsidRPr="00A4790A">
      <w:rPr>
        <w:rStyle w:val="HideTWBExt"/>
      </w:rPr>
      <w:t>NoPE</w:t>
    </w:r>
    <w:proofErr w:type="spellEnd"/>
    <w:r w:rsidRPr="00A4790A">
      <w:rPr>
        <w:rStyle w:val="HideTWBExt"/>
      </w:rPr>
      <w:t>&gt;&lt;Version&gt;</w:t>
    </w:r>
    <w:r w:rsidRPr="00A4790A">
      <w:t>v02-00</w:t>
    </w:r>
    <w:r w:rsidRPr="00A4790A">
      <w:rPr>
        <w:rStyle w:val="HideTWBExt"/>
      </w:rPr>
      <w:t>&lt;/</w:t>
    </w:r>
    <w:proofErr w:type="spellStart"/>
    <w:r w:rsidRPr="00A4790A">
      <w:rPr>
        <w:rStyle w:val="HideTWBExt"/>
      </w:rPr>
      <w:t>Version</w:t>
    </w:r>
    <w:proofErr w:type="spellEnd"/>
    <w:r w:rsidRPr="00A4790A">
      <w:rPr>
        <w:rStyle w:val="HideTWBExt"/>
      </w:rPr>
      <w:t>&gt;</w:t>
    </w:r>
    <w:r w:rsidRPr="00A4790A">
      <w:tab/>
    </w:r>
    <w:r w:rsidRPr="00A4790A">
      <w:fldChar w:fldCharType="begin"/>
    </w:r>
    <w:r w:rsidRPr="00A4790A">
      <w:instrText xml:space="preserve"> PAGE  \* MERGEFORMAT </w:instrText>
    </w:r>
    <w:r w:rsidRPr="00A4790A">
      <w:fldChar w:fldCharType="separate"/>
    </w:r>
    <w:r w:rsidR="00A4790A" w:rsidRPr="00A4790A">
      <w:rPr>
        <w:noProof/>
      </w:rPr>
      <w:t>2</w:t>
    </w:r>
    <w:r w:rsidRPr="00A4790A">
      <w:fldChar w:fldCharType="end"/>
    </w:r>
    <w:r w:rsidRPr="00A4790A">
      <w:t>/</w:t>
    </w:r>
    <w:r w:rsidR="003E57F0">
      <w:fldChar w:fldCharType="begin"/>
    </w:r>
    <w:r w:rsidR="003E57F0">
      <w:instrText xml:space="preserve"> NUMPAGES  \* MERGEFORMAT </w:instrText>
    </w:r>
    <w:r w:rsidR="003E57F0">
      <w:fldChar w:fldCharType="separate"/>
    </w:r>
    <w:r w:rsidR="00A4790A" w:rsidRPr="00A4790A">
      <w:rPr>
        <w:noProof/>
      </w:rPr>
      <w:t>3</w:t>
    </w:r>
    <w:r w:rsidR="003E57F0">
      <w:rPr>
        <w:noProof/>
      </w:rPr>
      <w:fldChar w:fldCharType="end"/>
    </w:r>
    <w:r w:rsidRPr="00A4790A">
      <w:tab/>
    </w:r>
    <w:r w:rsidRPr="00A4790A">
      <w:rPr>
        <w:rStyle w:val="HideTWBExt"/>
      </w:rPr>
      <w:t>&lt;PathFdR&gt;</w:t>
    </w:r>
    <w:r w:rsidRPr="00A4790A">
      <w:t>RR\1298972PT.docx</w:t>
    </w:r>
    <w:r w:rsidRPr="00A4790A">
      <w:rPr>
        <w:rStyle w:val="HideTWBExt"/>
      </w:rPr>
      <w:t>&lt;/</w:t>
    </w:r>
    <w:proofErr w:type="spellStart"/>
    <w:r w:rsidRPr="00A4790A">
      <w:rPr>
        <w:rStyle w:val="HideTWBExt"/>
      </w:rPr>
      <w:t>PathFdR</w:t>
    </w:r>
    <w:proofErr w:type="spellEnd"/>
    <w:r w:rsidRPr="00A4790A">
      <w:rPr>
        <w:rStyle w:val="HideTWBExt"/>
      </w:rPr>
      <w:t>&gt;</w:t>
    </w:r>
  </w:p>
  <w:p w:rsidR="00847581" w:rsidRPr="00A4790A" w:rsidRDefault="00847581" w:rsidP="00F44836">
    <w:pPr>
      <w:pStyle w:val="EPFooter2"/>
    </w:pPr>
    <w:r w:rsidRPr="00A4790A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581" w:rsidRPr="00A4790A" w:rsidRDefault="00847581" w:rsidP="00F44836">
    <w:pPr>
      <w:pStyle w:val="EPFooter"/>
    </w:pPr>
    <w:r w:rsidRPr="00A4790A">
      <w:rPr>
        <w:rStyle w:val="HideTWBExt"/>
      </w:rPr>
      <w:t>&lt;PathFdR&gt;</w:t>
    </w:r>
    <w:r w:rsidRPr="00A4790A">
      <w:t>RR\1298972PT.docx</w:t>
    </w:r>
    <w:r w:rsidRPr="00A4790A">
      <w:rPr>
        <w:rStyle w:val="HideTWBExt"/>
      </w:rPr>
      <w:t>&lt;/</w:t>
    </w:r>
    <w:proofErr w:type="spellStart"/>
    <w:r w:rsidRPr="00A4790A">
      <w:rPr>
        <w:rStyle w:val="HideTWBExt"/>
      </w:rPr>
      <w:t>PathFdR</w:t>
    </w:r>
    <w:proofErr w:type="spellEnd"/>
    <w:r w:rsidRPr="00A4790A">
      <w:rPr>
        <w:rStyle w:val="HideTWBExt"/>
      </w:rPr>
      <w:t>&gt;</w:t>
    </w:r>
    <w:r w:rsidRPr="00A4790A">
      <w:tab/>
    </w:r>
    <w:r w:rsidRPr="00A4790A">
      <w:tab/>
      <w:t>PE</w:t>
    </w:r>
    <w:r w:rsidRPr="00A4790A">
      <w:rPr>
        <w:rStyle w:val="HideTWBExt"/>
      </w:rPr>
      <w:t>&lt;</w:t>
    </w:r>
    <w:proofErr w:type="spellStart"/>
    <w:r w:rsidRPr="00A4790A">
      <w:rPr>
        <w:rStyle w:val="HideTWBExt"/>
      </w:rPr>
      <w:t>NoPE</w:t>
    </w:r>
    <w:proofErr w:type="spellEnd"/>
    <w:r w:rsidRPr="00A4790A">
      <w:rPr>
        <w:rStyle w:val="HideTWBExt"/>
      </w:rPr>
      <w:t>&gt;</w:t>
    </w:r>
    <w:r w:rsidRPr="00A4790A">
      <w:t>753.531</w:t>
    </w:r>
    <w:r w:rsidRPr="00A4790A">
      <w:rPr>
        <w:rStyle w:val="HideTWBExt"/>
      </w:rPr>
      <w:t>&lt;/</w:t>
    </w:r>
    <w:proofErr w:type="spellStart"/>
    <w:r w:rsidRPr="00A4790A">
      <w:rPr>
        <w:rStyle w:val="HideTWBExt"/>
      </w:rPr>
      <w:t>NoPE</w:t>
    </w:r>
    <w:proofErr w:type="spellEnd"/>
    <w:r w:rsidRPr="00A4790A">
      <w:rPr>
        <w:rStyle w:val="HideTWBExt"/>
      </w:rPr>
      <w:t>&gt;&lt;Version&gt;</w:t>
    </w:r>
    <w:r w:rsidRPr="00A4790A">
      <w:t>v02-00</w:t>
    </w:r>
    <w:r w:rsidRPr="00A4790A">
      <w:rPr>
        <w:rStyle w:val="HideTWBExt"/>
      </w:rPr>
      <w:t>&lt;/</w:t>
    </w:r>
    <w:proofErr w:type="spellStart"/>
    <w:r w:rsidRPr="00A4790A">
      <w:rPr>
        <w:rStyle w:val="HideTWBExt"/>
      </w:rPr>
      <w:t>Version</w:t>
    </w:r>
    <w:proofErr w:type="spellEnd"/>
    <w:r w:rsidRPr="00A4790A">
      <w:rPr>
        <w:rStyle w:val="HideTWBExt"/>
      </w:rPr>
      <w:t>&gt;</w:t>
    </w:r>
  </w:p>
  <w:p w:rsidR="00847581" w:rsidRPr="00A4790A" w:rsidRDefault="00847581" w:rsidP="00F44836">
    <w:pPr>
      <w:pStyle w:val="EPFooter2"/>
    </w:pPr>
    <w:r w:rsidRPr="00A4790A">
      <w:t>PT</w:t>
    </w:r>
    <w:r w:rsidRPr="00A4790A">
      <w:tab/>
    </w:r>
    <w:r w:rsidRPr="00A4790A">
      <w:rPr>
        <w:b w:val="0"/>
        <w:i/>
        <w:color w:val="C0C0C0"/>
        <w:sz w:val="22"/>
      </w:rPr>
      <w:t>Unida na diversidade</w:t>
    </w:r>
    <w:r w:rsidRPr="00A4790A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790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790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79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CB3" w:rsidRPr="00A4790A" w:rsidRDefault="000F2CB3">
      <w:r w:rsidRPr="00A4790A">
        <w:separator/>
      </w:r>
    </w:p>
  </w:footnote>
  <w:footnote w:type="continuationSeparator" w:id="0">
    <w:p w:rsidR="000F2CB3" w:rsidRPr="00A4790A" w:rsidRDefault="000F2CB3">
      <w:r w:rsidRPr="00A4790A">
        <w:continuationSeparator/>
      </w:r>
    </w:p>
  </w:footnote>
  <w:footnote w:id="1">
    <w:p w:rsidR="00847581" w:rsidRPr="003E57F0" w:rsidRDefault="00847581" w:rsidP="00A4790A">
      <w:pPr>
        <w:pStyle w:val="FootnoteText"/>
        <w:ind w:left="567" w:hanging="567"/>
        <w:rPr>
          <w:sz w:val="24"/>
          <w:lang w:val="fi-FI"/>
        </w:rPr>
      </w:pPr>
      <w:r w:rsidRPr="00A4790A">
        <w:rPr>
          <w:rStyle w:val="FootnoteReference"/>
          <w:sz w:val="24"/>
          <w:lang w:val="pt-PT"/>
        </w:rPr>
        <w:footnoteRef/>
      </w:r>
      <w:r w:rsidR="00A4790A" w:rsidRPr="003E57F0">
        <w:rPr>
          <w:sz w:val="24"/>
          <w:lang w:val="fi-FI"/>
        </w:rPr>
        <w:t xml:space="preserve"> </w:t>
      </w:r>
      <w:r w:rsidR="00A4790A" w:rsidRPr="003E57F0">
        <w:rPr>
          <w:sz w:val="24"/>
          <w:lang w:val="fi-FI"/>
        </w:rPr>
        <w:tab/>
      </w:r>
      <w:r w:rsidRPr="003E57F0">
        <w:rPr>
          <w:sz w:val="24"/>
          <w:lang w:val="fi-FI"/>
        </w:rPr>
        <w:t>JO C, C/2023/594, 27.10.2023.</w:t>
      </w:r>
    </w:p>
  </w:footnote>
  <w:footnote w:id="2">
    <w:p w:rsidR="00847581" w:rsidRPr="003E57F0" w:rsidRDefault="00847581" w:rsidP="00A4790A">
      <w:pPr>
        <w:pStyle w:val="FootnoteText"/>
        <w:ind w:left="567" w:hanging="567"/>
        <w:rPr>
          <w:sz w:val="24"/>
          <w:lang w:val="fi-FI"/>
        </w:rPr>
      </w:pPr>
      <w:r w:rsidRPr="00A4790A">
        <w:rPr>
          <w:rStyle w:val="FootnoteReference"/>
          <w:sz w:val="24"/>
          <w:lang w:val="pt-PT"/>
        </w:rPr>
        <w:footnoteRef/>
      </w:r>
      <w:r w:rsidR="00A4790A" w:rsidRPr="003E57F0">
        <w:rPr>
          <w:sz w:val="24"/>
          <w:lang w:val="fi-FI"/>
        </w:rPr>
        <w:t xml:space="preserve"> </w:t>
      </w:r>
      <w:r w:rsidR="00A4790A" w:rsidRPr="003E57F0">
        <w:rPr>
          <w:sz w:val="24"/>
          <w:lang w:val="fi-FI"/>
        </w:rPr>
        <w:tab/>
      </w:r>
      <w:r w:rsidRPr="003E57F0">
        <w:rPr>
          <w:sz w:val="24"/>
          <w:lang w:val="fi-FI"/>
        </w:rPr>
        <w:t>JO C, C/2023/112, 12.10.2023.</w:t>
      </w:r>
    </w:p>
  </w:footnote>
  <w:footnote w:id="3">
    <w:p w:rsidR="00847581" w:rsidRPr="003E57F0" w:rsidRDefault="00847581" w:rsidP="00A4790A">
      <w:pPr>
        <w:pStyle w:val="FootnoteText"/>
        <w:ind w:left="567" w:hanging="567"/>
        <w:rPr>
          <w:sz w:val="24"/>
          <w:lang w:val="fi-FI"/>
        </w:rPr>
      </w:pPr>
      <w:r w:rsidRPr="00A4790A">
        <w:rPr>
          <w:rStyle w:val="FootnoteReference"/>
          <w:sz w:val="24"/>
          <w:lang w:val="pt-PT"/>
        </w:rPr>
        <w:footnoteRef/>
      </w:r>
      <w:r w:rsidR="00A4790A" w:rsidRPr="003E57F0">
        <w:rPr>
          <w:sz w:val="24"/>
          <w:lang w:val="fi-FI"/>
        </w:rPr>
        <w:t xml:space="preserve"> </w:t>
      </w:r>
      <w:r w:rsidR="00A4790A" w:rsidRPr="003E57F0">
        <w:rPr>
          <w:sz w:val="24"/>
          <w:lang w:val="fi-FI"/>
        </w:rPr>
        <w:tab/>
      </w:r>
      <w:r w:rsidRPr="003E57F0">
        <w:rPr>
          <w:sz w:val="24"/>
          <w:lang w:val="fi-FI"/>
        </w:rPr>
        <w:t>JO L 193 de 30.7.2018, p. 1.</w:t>
      </w:r>
    </w:p>
  </w:footnote>
  <w:footnote w:id="4">
    <w:p w:rsidR="00847581" w:rsidRPr="003E57F0" w:rsidRDefault="00847581" w:rsidP="00A4790A">
      <w:pPr>
        <w:pStyle w:val="FootnoteText"/>
        <w:ind w:left="567" w:hanging="567"/>
        <w:rPr>
          <w:sz w:val="24"/>
          <w:lang w:val="da-DK"/>
        </w:rPr>
      </w:pPr>
      <w:r w:rsidRPr="00A4790A">
        <w:rPr>
          <w:rStyle w:val="FootnoteReference"/>
          <w:sz w:val="24"/>
          <w:lang w:val="pt-PT"/>
        </w:rPr>
        <w:footnoteRef/>
      </w:r>
      <w:r w:rsidR="00A4790A" w:rsidRPr="003E57F0">
        <w:rPr>
          <w:sz w:val="24"/>
          <w:lang w:val="da-DK"/>
        </w:rPr>
        <w:t xml:space="preserve"> </w:t>
      </w:r>
      <w:r w:rsidR="00A4790A" w:rsidRPr="003E57F0">
        <w:rPr>
          <w:sz w:val="24"/>
          <w:lang w:val="da-DK"/>
        </w:rPr>
        <w:tab/>
      </w:r>
      <w:r w:rsidRPr="003E57F0">
        <w:rPr>
          <w:sz w:val="24"/>
          <w:lang w:val="da-DK"/>
        </w:rPr>
        <w:t>JO L 354 de 31.12.2008, p. 82.</w:t>
      </w:r>
    </w:p>
  </w:footnote>
  <w:footnote w:id="5">
    <w:p w:rsidR="00847581" w:rsidRPr="003E57F0" w:rsidRDefault="00847581" w:rsidP="00A4790A">
      <w:pPr>
        <w:pStyle w:val="FootnoteText"/>
        <w:ind w:left="567" w:hanging="567"/>
        <w:rPr>
          <w:sz w:val="24"/>
          <w:lang w:val="da-DK"/>
        </w:rPr>
      </w:pPr>
      <w:r w:rsidRPr="00A4790A">
        <w:rPr>
          <w:rStyle w:val="FootnoteReference"/>
          <w:sz w:val="24"/>
          <w:lang w:val="pt-PT"/>
        </w:rPr>
        <w:footnoteRef/>
      </w:r>
      <w:r w:rsidR="00A4790A" w:rsidRPr="003E57F0">
        <w:rPr>
          <w:sz w:val="24"/>
          <w:lang w:val="da-DK"/>
        </w:rPr>
        <w:t xml:space="preserve"> </w:t>
      </w:r>
      <w:r w:rsidR="00A4790A" w:rsidRPr="003E57F0">
        <w:rPr>
          <w:sz w:val="24"/>
          <w:lang w:val="da-DK"/>
        </w:rPr>
        <w:tab/>
      </w:r>
      <w:r w:rsidRPr="003E57F0">
        <w:rPr>
          <w:sz w:val="24"/>
          <w:lang w:val="da-DK"/>
        </w:rPr>
        <w:t>JO L 122 de 10.5.2019, p. 1.</w:t>
      </w:r>
    </w:p>
  </w:footnote>
  <w:footnote w:id="6">
    <w:p w:rsidR="00847581" w:rsidRPr="003E57F0" w:rsidRDefault="00847581" w:rsidP="00A4790A">
      <w:pPr>
        <w:pStyle w:val="FootnoteText"/>
        <w:ind w:left="567" w:hanging="567"/>
        <w:rPr>
          <w:sz w:val="24"/>
          <w:lang w:val="fi-FI"/>
        </w:rPr>
      </w:pPr>
      <w:r w:rsidRPr="00A4790A">
        <w:rPr>
          <w:rStyle w:val="FootnoteReference"/>
          <w:sz w:val="24"/>
          <w:lang w:val="pt-PT"/>
        </w:rPr>
        <w:footnoteRef/>
      </w:r>
      <w:r w:rsidR="00A4790A" w:rsidRPr="003E57F0">
        <w:rPr>
          <w:sz w:val="24"/>
          <w:lang w:val="fi-FI"/>
        </w:rPr>
        <w:t xml:space="preserve"> </w:t>
      </w:r>
      <w:r w:rsidR="00A4790A" w:rsidRPr="003E57F0">
        <w:rPr>
          <w:sz w:val="24"/>
          <w:lang w:val="fi-FI"/>
        </w:rPr>
        <w:tab/>
      </w:r>
      <w:r w:rsidRPr="003E57F0">
        <w:rPr>
          <w:sz w:val="24"/>
          <w:lang w:val="fi-FI"/>
        </w:rPr>
        <w:t>JO C, C/2023/594, 27.10.2023.</w:t>
      </w:r>
    </w:p>
  </w:footnote>
  <w:footnote w:id="7">
    <w:p w:rsidR="00847581" w:rsidRPr="003E57F0" w:rsidRDefault="00847581" w:rsidP="00A4790A">
      <w:pPr>
        <w:pStyle w:val="FootnoteText"/>
        <w:ind w:left="567" w:hanging="567"/>
        <w:rPr>
          <w:sz w:val="24"/>
          <w:lang w:val="fi-FI"/>
        </w:rPr>
      </w:pPr>
      <w:r w:rsidRPr="00A4790A">
        <w:rPr>
          <w:rStyle w:val="FootnoteReference"/>
          <w:sz w:val="24"/>
          <w:lang w:val="pt-PT"/>
        </w:rPr>
        <w:footnoteRef/>
      </w:r>
      <w:r w:rsidR="00A4790A" w:rsidRPr="003E57F0">
        <w:rPr>
          <w:sz w:val="24"/>
          <w:lang w:val="fi-FI"/>
        </w:rPr>
        <w:t xml:space="preserve"> </w:t>
      </w:r>
      <w:r w:rsidR="00A4790A" w:rsidRPr="003E57F0">
        <w:rPr>
          <w:sz w:val="24"/>
          <w:lang w:val="fi-FI"/>
        </w:rPr>
        <w:tab/>
      </w:r>
      <w:r w:rsidRPr="003E57F0">
        <w:rPr>
          <w:sz w:val="24"/>
          <w:lang w:val="fi-FI"/>
        </w:rPr>
        <w:t>JO C, C/2023/112, 12.10.2023.</w:t>
      </w:r>
    </w:p>
  </w:footnote>
  <w:footnote w:id="8">
    <w:p w:rsidR="00847581" w:rsidRPr="003E57F0" w:rsidRDefault="00847581" w:rsidP="00A4790A">
      <w:pPr>
        <w:pStyle w:val="FootnoteText"/>
        <w:ind w:left="567" w:hanging="567"/>
        <w:rPr>
          <w:sz w:val="24"/>
          <w:lang w:val="fi-FI"/>
        </w:rPr>
      </w:pPr>
      <w:r w:rsidRPr="00A4790A">
        <w:rPr>
          <w:rStyle w:val="FootnoteReference"/>
          <w:sz w:val="24"/>
          <w:lang w:val="pt-PT"/>
        </w:rPr>
        <w:footnoteRef/>
      </w:r>
      <w:r w:rsidR="00A4790A" w:rsidRPr="003E57F0">
        <w:rPr>
          <w:sz w:val="24"/>
          <w:lang w:val="fi-FI"/>
        </w:rPr>
        <w:t xml:space="preserve"> </w:t>
      </w:r>
      <w:r w:rsidR="00A4790A" w:rsidRPr="003E57F0">
        <w:rPr>
          <w:sz w:val="24"/>
          <w:lang w:val="fi-FI"/>
        </w:rPr>
        <w:tab/>
      </w:r>
      <w:r w:rsidRPr="003E57F0">
        <w:rPr>
          <w:sz w:val="24"/>
          <w:lang w:val="fi-FI"/>
        </w:rPr>
        <w:t>JO L 193 de 30.7.2018, p. 1.</w:t>
      </w:r>
    </w:p>
  </w:footnote>
  <w:footnote w:id="9">
    <w:p w:rsidR="00847581" w:rsidRPr="003E57F0" w:rsidRDefault="00847581" w:rsidP="00A4790A">
      <w:pPr>
        <w:pStyle w:val="FootnoteText"/>
        <w:ind w:left="567" w:hanging="567"/>
        <w:rPr>
          <w:sz w:val="24"/>
          <w:lang w:val="da-DK"/>
        </w:rPr>
      </w:pPr>
      <w:r w:rsidRPr="00A4790A">
        <w:rPr>
          <w:rStyle w:val="FootnoteReference"/>
          <w:sz w:val="24"/>
          <w:lang w:val="pt-PT"/>
        </w:rPr>
        <w:footnoteRef/>
      </w:r>
      <w:r w:rsidR="00A4790A" w:rsidRPr="003E57F0">
        <w:rPr>
          <w:sz w:val="24"/>
          <w:lang w:val="da-DK"/>
        </w:rPr>
        <w:t xml:space="preserve"> </w:t>
      </w:r>
      <w:r w:rsidR="00A4790A" w:rsidRPr="003E57F0">
        <w:rPr>
          <w:sz w:val="24"/>
          <w:lang w:val="da-DK"/>
        </w:rPr>
        <w:tab/>
      </w:r>
      <w:r w:rsidRPr="003E57F0">
        <w:rPr>
          <w:sz w:val="24"/>
          <w:lang w:val="da-DK"/>
        </w:rPr>
        <w:t>JO L 354 de 31.12.2008, p. 82.</w:t>
      </w:r>
    </w:p>
  </w:footnote>
  <w:footnote w:id="10">
    <w:p w:rsidR="00847581" w:rsidRPr="003E57F0" w:rsidRDefault="00847581" w:rsidP="00A4790A">
      <w:pPr>
        <w:pStyle w:val="FootnoteText"/>
        <w:ind w:left="567" w:hanging="567"/>
        <w:rPr>
          <w:sz w:val="24"/>
          <w:lang w:val="da-DK"/>
        </w:rPr>
      </w:pPr>
      <w:r w:rsidRPr="00A4790A">
        <w:rPr>
          <w:rStyle w:val="FootnoteReference"/>
          <w:sz w:val="24"/>
          <w:lang w:val="pt-PT"/>
        </w:rPr>
        <w:footnoteRef/>
      </w:r>
      <w:r w:rsidR="00A4790A" w:rsidRPr="003E57F0">
        <w:rPr>
          <w:sz w:val="24"/>
          <w:lang w:val="da-DK"/>
        </w:rPr>
        <w:t xml:space="preserve"> </w:t>
      </w:r>
      <w:r w:rsidR="00A4790A" w:rsidRPr="003E57F0">
        <w:rPr>
          <w:sz w:val="24"/>
          <w:lang w:val="da-DK"/>
        </w:rPr>
        <w:tab/>
      </w:r>
      <w:r w:rsidRPr="003E57F0">
        <w:rPr>
          <w:sz w:val="24"/>
          <w:lang w:val="da-DK"/>
        </w:rPr>
        <w:t>JO L 122 de 10.5.2019, p. 1.</w:t>
      </w:r>
    </w:p>
  </w:footnote>
  <w:footnote w:id="11">
    <w:p w:rsidR="00847581" w:rsidRPr="00A4790A" w:rsidRDefault="00847581" w:rsidP="00A4790A">
      <w:pPr>
        <w:pStyle w:val="FootnoteText"/>
        <w:ind w:left="567" w:hanging="567"/>
        <w:rPr>
          <w:sz w:val="24"/>
          <w:lang w:val="pt-PT"/>
        </w:rPr>
      </w:pPr>
      <w:r w:rsidRPr="00A4790A">
        <w:rPr>
          <w:rStyle w:val="FootnoteReference"/>
          <w:sz w:val="24"/>
          <w:lang w:val="pt-PT"/>
        </w:rPr>
        <w:footnoteRef/>
      </w:r>
      <w:r w:rsidR="00A4790A" w:rsidRPr="00A4790A">
        <w:rPr>
          <w:sz w:val="24"/>
          <w:lang w:val="pt-PT"/>
        </w:rPr>
        <w:t xml:space="preserve"> </w:t>
      </w:r>
      <w:r w:rsidR="00A4790A" w:rsidRPr="00A4790A">
        <w:rPr>
          <w:sz w:val="24"/>
          <w:lang w:val="pt-PT"/>
        </w:rPr>
        <w:tab/>
      </w:r>
      <w:r w:rsidRPr="00A4790A">
        <w:rPr>
          <w:sz w:val="24"/>
          <w:lang w:val="pt-PT"/>
        </w:rPr>
        <w:t>JO C 38 de 31.1.2023</w:t>
      </w:r>
      <w:r w:rsidRPr="00A4790A">
        <w:rPr>
          <w:color w:val="000000"/>
          <w:sz w:val="24"/>
          <w:lang w:val="pt-PT"/>
        </w:rPr>
        <w:t>, p. 13.</w:t>
      </w:r>
    </w:p>
  </w:footnote>
  <w:footnote w:id="12">
    <w:p w:rsidR="00847581" w:rsidRPr="00A4790A" w:rsidRDefault="00847581" w:rsidP="00A4790A">
      <w:pPr>
        <w:pStyle w:val="FootnoteText"/>
        <w:ind w:left="567" w:hanging="567"/>
        <w:rPr>
          <w:sz w:val="24"/>
          <w:lang w:val="pt-PT"/>
        </w:rPr>
      </w:pPr>
      <w:r w:rsidRPr="00A4790A">
        <w:rPr>
          <w:rStyle w:val="FootnoteReference"/>
          <w:sz w:val="24"/>
          <w:lang w:val="pt-PT"/>
        </w:rPr>
        <w:footnoteRef/>
      </w:r>
      <w:r w:rsidR="00A4790A" w:rsidRPr="00A4790A">
        <w:rPr>
          <w:sz w:val="24"/>
          <w:lang w:val="pt-PT"/>
        </w:rPr>
        <w:t xml:space="preserve"> </w:t>
      </w:r>
      <w:r w:rsidR="00A4790A" w:rsidRPr="00A4790A">
        <w:rPr>
          <w:sz w:val="24"/>
          <w:lang w:val="pt-PT"/>
        </w:rPr>
        <w:tab/>
      </w:r>
      <w:r w:rsidRPr="00A4790A">
        <w:rPr>
          <w:sz w:val="24"/>
          <w:lang w:val="pt-PT"/>
        </w:rPr>
        <w:t xml:space="preserve">Textos </w:t>
      </w:r>
      <w:r w:rsidR="00171839">
        <w:rPr>
          <w:sz w:val="24"/>
          <w:lang w:val="pt-PT"/>
        </w:rPr>
        <w:t>A</w:t>
      </w:r>
      <w:r w:rsidRPr="00A4790A">
        <w:rPr>
          <w:sz w:val="24"/>
          <w:lang w:val="pt-PT"/>
        </w:rPr>
        <w:t>provados, P9_</w:t>
      </w:r>
      <w:proofErr w:type="gramStart"/>
      <w:r w:rsidRPr="00A4790A">
        <w:rPr>
          <w:sz w:val="24"/>
          <w:lang w:val="pt-PT"/>
        </w:rPr>
        <w:t>TA(</w:t>
      </w:r>
      <w:proofErr w:type="gramEnd"/>
      <w:r w:rsidRPr="00A4790A">
        <w:rPr>
          <w:sz w:val="24"/>
          <w:lang w:val="pt-PT"/>
        </w:rPr>
        <w:t>2024)</w:t>
      </w:r>
      <w:r w:rsidR="00171839">
        <w:rPr>
          <w:sz w:val="24"/>
          <w:lang w:val="pt-PT"/>
        </w:rPr>
        <w:t>0280</w:t>
      </w:r>
      <w:r w:rsidRPr="00A4790A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79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79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79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4/2024"/>
    <w:docVar w:name="dvlangue" w:val="PT"/>
    <w:docVar w:name="dvnumam" w:val="0"/>
    <w:docVar w:name="dvpe" w:val="753.531"/>
    <w:docVar w:name="dvrapporteur" w:val="Relator: "/>
    <w:docVar w:name="dvtitre" w:val="Decisão do Parlamento Europeu, de ... de ... de 2024,_x000d__x000a_ sobre a quitação pela execução do orçamento da Fundação Europeia para a Formação para o exercício de 2022(2023/2163(DEC))"/>
  </w:docVars>
  <w:rsids>
    <w:rsidRoot w:val="000F2CB3"/>
    <w:rsid w:val="00002272"/>
    <w:rsid w:val="00064002"/>
    <w:rsid w:val="000677B9"/>
    <w:rsid w:val="000831BA"/>
    <w:rsid w:val="000A42CC"/>
    <w:rsid w:val="000E7DD9"/>
    <w:rsid w:val="000F2CB3"/>
    <w:rsid w:val="0010095E"/>
    <w:rsid w:val="00125B37"/>
    <w:rsid w:val="00171839"/>
    <w:rsid w:val="00187494"/>
    <w:rsid w:val="001F32AE"/>
    <w:rsid w:val="002767FF"/>
    <w:rsid w:val="002B18FE"/>
    <w:rsid w:val="002B5493"/>
    <w:rsid w:val="00343214"/>
    <w:rsid w:val="00361C00"/>
    <w:rsid w:val="0038555F"/>
    <w:rsid w:val="00395FA1"/>
    <w:rsid w:val="003E15D4"/>
    <w:rsid w:val="003E57F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58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4790A"/>
    <w:rsid w:val="00A778C7"/>
    <w:rsid w:val="00AB441E"/>
    <w:rsid w:val="00AB6293"/>
    <w:rsid w:val="00AE0928"/>
    <w:rsid w:val="00AF3B82"/>
    <w:rsid w:val="00B12E95"/>
    <w:rsid w:val="00B22876"/>
    <w:rsid w:val="00B558F0"/>
    <w:rsid w:val="00B94DE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1EF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DF583"/>
  <w15:chartTrackingRefBased/>
  <w15:docId w15:val="{C168A892-6119-4ABA-9708-508C831D2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4758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47581"/>
    <w:pPr>
      <w:spacing w:before="480" w:after="240"/>
    </w:pPr>
  </w:style>
  <w:style w:type="paragraph" w:customStyle="1" w:styleId="PageHeading">
    <w:name w:val="PageHeading"/>
    <w:basedOn w:val="Normal"/>
    <w:rsid w:val="0084758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47581"/>
    <w:rPr>
      <w:b/>
    </w:rPr>
  </w:style>
  <w:style w:type="paragraph" w:customStyle="1" w:styleId="NormalHanging12a">
    <w:name w:val="NormalHanging12a"/>
    <w:basedOn w:val="Normal"/>
    <w:link w:val="NormalHanging12aChar"/>
    <w:rsid w:val="00847581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47581"/>
    <w:pPr>
      <w:spacing w:after="240"/>
      <w:jc w:val="center"/>
    </w:pPr>
  </w:style>
  <w:style w:type="paragraph" w:styleId="Header">
    <w:name w:val="header"/>
    <w:basedOn w:val="Normal"/>
    <w:link w:val="HeaderChar"/>
    <w:rsid w:val="008475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47581"/>
    <w:rPr>
      <w:sz w:val="24"/>
      <w:lang w:val="pt-PT"/>
    </w:rPr>
  </w:style>
  <w:style w:type="paragraph" w:customStyle="1" w:styleId="EPFooter">
    <w:name w:val="EPFooter"/>
    <w:basedOn w:val="Normal"/>
    <w:rsid w:val="0084758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Hanging">
    <w:name w:val="Normal12Hanging"/>
    <w:basedOn w:val="Normal"/>
    <w:rsid w:val="00847581"/>
    <w:pPr>
      <w:spacing w:after="240"/>
      <w:ind w:left="567" w:hanging="567"/>
    </w:pPr>
  </w:style>
  <w:style w:type="character" w:customStyle="1" w:styleId="normaltextrun">
    <w:name w:val="normaltextrun"/>
    <w:basedOn w:val="DefaultParagraphFont"/>
    <w:rsid w:val="00847581"/>
  </w:style>
  <w:style w:type="character" w:customStyle="1" w:styleId="NormalHanging12aChar">
    <w:name w:val="NormalHanging12a Char"/>
    <w:link w:val="NormalHanging12a"/>
    <w:locked/>
    <w:rsid w:val="00847581"/>
    <w:rPr>
      <w:sz w:val="24"/>
      <w:lang w:val="pt-PT"/>
    </w:rPr>
  </w:style>
  <w:style w:type="paragraph" w:styleId="Footer">
    <w:name w:val="footer"/>
    <w:basedOn w:val="Normal"/>
    <w:link w:val="FooterChar"/>
    <w:rsid w:val="00B94D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94DE1"/>
    <w:rPr>
      <w:sz w:val="24"/>
      <w:lang w:val="pt-PT"/>
    </w:rPr>
  </w:style>
  <w:style w:type="paragraph" w:styleId="BalloonText">
    <w:name w:val="Balloon Text"/>
    <w:basedOn w:val="Normal"/>
    <w:link w:val="BalloonTextChar"/>
    <w:rsid w:val="001718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71839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E085F-D3E7-4CA6-B1BA-E04217998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3577</Words>
  <Characters>19104</Characters>
  <Application>Microsoft Office Word</Application>
  <DocSecurity>0</DocSecurity>
  <Lines>159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Teresa_2</cp:lastModifiedBy>
  <cp:revision>2</cp:revision>
  <cp:lastPrinted>2004-11-19T15:42:00Z</cp:lastPrinted>
  <dcterms:created xsi:type="dcterms:W3CDTF">2024-04-11T17:16:00Z</dcterms:created>
  <dcterms:modified xsi:type="dcterms:W3CDTF">2024-04-11T17:16:00Z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A9-0114/2024</vt:lpwstr>
  </property>
  <property fmtid="{D5CDD505-2E9C-101B-9397-08002B2CF9AE}" pid="4" name="&lt;Type&gt;">
    <vt:lpwstr>RR</vt:lpwstr>
  </property>
</Properties>
</file>