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B7FD6" w:rsidTr="0010095E">
        <w:trPr>
          <w:trHeight w:hRule="exact" w:val="1418"/>
        </w:trPr>
        <w:tc>
          <w:tcPr>
            <w:tcW w:w="6804" w:type="dxa"/>
            <w:shd w:val="clear" w:color="auto" w:fill="auto"/>
            <w:vAlign w:val="center"/>
          </w:tcPr>
          <w:p w:rsidR="00751A4A" w:rsidRPr="000B7FD6" w:rsidRDefault="00303664" w:rsidP="0010095E">
            <w:pPr>
              <w:pStyle w:val="EPName"/>
            </w:pPr>
            <w:bookmarkStart w:id="0" w:name="_GoBack"/>
            <w:bookmarkEnd w:id="0"/>
            <w:r w:rsidRPr="000B7FD6">
              <w:t>Parlamentul European</w:t>
            </w:r>
          </w:p>
          <w:p w:rsidR="00751A4A" w:rsidRPr="000B7FD6" w:rsidRDefault="00817416" w:rsidP="00756632">
            <w:pPr>
              <w:pStyle w:val="EPTerm"/>
              <w:rPr>
                <w:rStyle w:val="HideTWBExt"/>
                <w:noProof w:val="0"/>
                <w:vanish w:val="0"/>
                <w:color w:val="auto"/>
              </w:rPr>
            </w:pPr>
            <w:r w:rsidRPr="000B7FD6">
              <w:t>2019-2024</w:t>
            </w:r>
          </w:p>
        </w:tc>
        <w:tc>
          <w:tcPr>
            <w:tcW w:w="2268" w:type="dxa"/>
            <w:shd w:val="clear" w:color="auto" w:fill="auto"/>
          </w:tcPr>
          <w:p w:rsidR="00751A4A" w:rsidRPr="000B7FD6" w:rsidRDefault="00187494" w:rsidP="0010095E">
            <w:pPr>
              <w:pStyle w:val="EPLogo"/>
            </w:pPr>
            <w:r w:rsidRPr="000B7FD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B7FD6" w:rsidRDefault="00D058B8" w:rsidP="004C5D52">
      <w:pPr>
        <w:pStyle w:val="LineTop"/>
      </w:pPr>
    </w:p>
    <w:p w:rsidR="00680577" w:rsidRPr="000B7FD6" w:rsidRDefault="00303664" w:rsidP="00680577">
      <w:pPr>
        <w:pStyle w:val="EPBodyTA1"/>
      </w:pPr>
      <w:r w:rsidRPr="000B7FD6">
        <w:t>TEXTE ADOPTATE</w:t>
      </w:r>
    </w:p>
    <w:p w:rsidR="00D058B8" w:rsidRPr="000B7FD6" w:rsidRDefault="00D058B8" w:rsidP="00D058B8">
      <w:pPr>
        <w:pStyle w:val="LineBottom"/>
      </w:pPr>
    </w:p>
    <w:p w:rsidR="00303664" w:rsidRPr="000B7FD6" w:rsidRDefault="00303664" w:rsidP="00303664">
      <w:pPr>
        <w:pStyle w:val="ATHeading1"/>
      </w:pPr>
      <w:bookmarkStart w:id="1" w:name="TANumber"/>
      <w:r w:rsidRPr="000B7FD6">
        <w:t>P9_TA(2024)</w:t>
      </w:r>
      <w:bookmarkEnd w:id="1"/>
      <w:r w:rsidR="000B7FD6" w:rsidRPr="000B7FD6">
        <w:t>0</w:t>
      </w:r>
      <w:r w:rsidR="000B7FD6" w:rsidRPr="000B7FD6">
        <w:t>247</w:t>
      </w:r>
    </w:p>
    <w:p w:rsidR="00303664" w:rsidRPr="000B7FD6" w:rsidRDefault="00303664" w:rsidP="00303664">
      <w:pPr>
        <w:pStyle w:val="ATHeading2"/>
      </w:pPr>
      <w:bookmarkStart w:id="2" w:name="title"/>
      <w:r w:rsidRPr="000B7FD6">
        <w:t>Descărcarea de gestiune 2022: Fundația Europeană de Formare</w:t>
      </w:r>
      <w:bookmarkEnd w:id="2"/>
    </w:p>
    <w:p w:rsidR="00303664" w:rsidRPr="000B7FD6" w:rsidRDefault="00303664" w:rsidP="00303664">
      <w:pPr>
        <w:rPr>
          <w:i/>
          <w:vanish/>
        </w:rPr>
      </w:pPr>
      <w:r w:rsidRPr="000B7FD6">
        <w:rPr>
          <w:i/>
        </w:rPr>
        <w:fldChar w:fldCharType="begin"/>
      </w:r>
      <w:r w:rsidRPr="000B7FD6">
        <w:rPr>
          <w:i/>
        </w:rPr>
        <w:instrText xml:space="preserve"> TC"(</w:instrText>
      </w:r>
      <w:bookmarkStart w:id="3" w:name="DocNumber"/>
      <w:r w:rsidRPr="000B7FD6">
        <w:rPr>
          <w:i/>
        </w:rPr>
        <w:instrText>A9-0114/2024</w:instrText>
      </w:r>
      <w:bookmarkEnd w:id="3"/>
      <w:r w:rsidRPr="000B7FD6">
        <w:rPr>
          <w:i/>
        </w:rPr>
        <w:instrText xml:space="preserve"> - Raportor: Petri </w:instrText>
      </w:r>
      <w:proofErr w:type="spellStart"/>
      <w:r w:rsidRPr="000B7FD6">
        <w:rPr>
          <w:i/>
        </w:rPr>
        <w:instrText>Sarvamaa</w:instrText>
      </w:r>
      <w:proofErr w:type="spellEnd"/>
      <w:r w:rsidRPr="000B7FD6">
        <w:rPr>
          <w:i/>
        </w:rPr>
        <w:instrText xml:space="preserve">)"\l3 \n&gt; \* MERGEFORMAT </w:instrText>
      </w:r>
      <w:r w:rsidRPr="000B7FD6">
        <w:rPr>
          <w:i/>
        </w:rPr>
        <w:fldChar w:fldCharType="end"/>
      </w:r>
    </w:p>
    <w:p w:rsidR="00303664" w:rsidRPr="000B7FD6" w:rsidRDefault="00303664" w:rsidP="00303664">
      <w:pPr>
        <w:rPr>
          <w:vanish/>
        </w:rPr>
      </w:pPr>
      <w:bookmarkStart w:id="4" w:name="Commission"/>
      <w:r w:rsidRPr="000B7FD6">
        <w:rPr>
          <w:vanish/>
        </w:rPr>
        <w:t>Comisia pentru control bugetar</w:t>
      </w:r>
      <w:bookmarkEnd w:id="4"/>
    </w:p>
    <w:p w:rsidR="00303664" w:rsidRPr="000B7FD6" w:rsidRDefault="00303664" w:rsidP="00303664">
      <w:pPr>
        <w:rPr>
          <w:vanish/>
        </w:rPr>
      </w:pPr>
      <w:bookmarkStart w:id="5" w:name="PE"/>
      <w:r w:rsidRPr="000B7FD6">
        <w:rPr>
          <w:vanish/>
        </w:rPr>
        <w:t>PE753.531</w:t>
      </w:r>
      <w:bookmarkEnd w:id="5"/>
    </w:p>
    <w:p w:rsidR="00303664" w:rsidRPr="000B7FD6" w:rsidRDefault="00303664" w:rsidP="00CC70E9">
      <w:pPr>
        <w:pStyle w:val="ATHeading3"/>
      </w:pPr>
      <w:bookmarkStart w:id="6" w:name="Sujet"/>
      <w:r w:rsidRPr="000B7FD6">
        <w:t>1. Decizia Parlamentului European din 11 aprilie 2024 privind descărcarea de gestiune pentru execuția bugetului Fundației Europene de Formare aferent exercițiului financiar</w:t>
      </w:r>
      <w:r w:rsidR="00427AC4" w:rsidRPr="000B7FD6">
        <w:t> </w:t>
      </w:r>
      <w:r w:rsidRPr="000B7FD6">
        <w:t>2022</w:t>
      </w:r>
      <w:bookmarkEnd w:id="6"/>
      <w:r w:rsidRPr="000B7FD6">
        <w:t xml:space="preserve"> </w:t>
      </w:r>
      <w:bookmarkStart w:id="7" w:name="References"/>
      <w:r w:rsidRPr="000B7FD6">
        <w:t>(2023/2163(DEC))</w:t>
      </w:r>
      <w:bookmarkEnd w:id="7"/>
    </w:p>
    <w:p w:rsidR="00020134" w:rsidRPr="000B7FD6" w:rsidRDefault="00020134" w:rsidP="00020134">
      <w:pPr>
        <w:pStyle w:val="EPComma"/>
      </w:pPr>
      <w:bookmarkStart w:id="8" w:name="TextBodyBegin"/>
      <w:bookmarkEnd w:id="8"/>
      <w:r w:rsidRPr="000B7FD6">
        <w:rPr>
          <w:i/>
          <w:iCs/>
        </w:rPr>
        <w:t>Parlamentul European</w:t>
      </w:r>
      <w:r w:rsidRPr="000B7FD6">
        <w:t>,</w:t>
      </w:r>
    </w:p>
    <w:p w:rsidR="00020134" w:rsidRPr="000B7FD6" w:rsidRDefault="00020134" w:rsidP="00020134">
      <w:pPr>
        <w:pStyle w:val="NormalHanging12a"/>
      </w:pPr>
      <w:r w:rsidRPr="000B7FD6">
        <w:t>–</w:t>
      </w:r>
      <w:r w:rsidRPr="000B7FD6">
        <w:tab/>
        <w:t>având în vedere conturile anuale finale ale Fundației Europene de Formare pentru exercițiul financiar 2022,</w:t>
      </w:r>
    </w:p>
    <w:p w:rsidR="00020134" w:rsidRPr="000B7FD6" w:rsidRDefault="00020134" w:rsidP="00020134">
      <w:pPr>
        <w:pStyle w:val="NormalHanging12a"/>
      </w:pPr>
      <w:r w:rsidRPr="000B7FD6">
        <w:t>–</w:t>
      </w:r>
      <w:r w:rsidRPr="000B7FD6">
        <w:tab/>
        <w:t>având în vedere Raportul anual al Curții de Conturi privind agențiile UE pentru exercițiul financiar 2022, însoțit de răspunsurile agențiilor</w:t>
      </w:r>
      <w:r w:rsidRPr="000B7FD6">
        <w:rPr>
          <w:rStyle w:val="FootnoteReference"/>
        </w:rPr>
        <w:footnoteReference w:id="1"/>
      </w:r>
      <w:r w:rsidRPr="000B7FD6">
        <w:t>,</w:t>
      </w:r>
    </w:p>
    <w:p w:rsidR="00020134" w:rsidRPr="000B7FD6" w:rsidRDefault="00020134" w:rsidP="00020134">
      <w:pPr>
        <w:pStyle w:val="NormalHanging12a"/>
      </w:pPr>
      <w:r w:rsidRPr="000B7FD6">
        <w:t>–</w:t>
      </w:r>
      <w:r w:rsidRPr="000B7FD6">
        <w:tab/>
        <w:t>având în vedere declarația de asigurare</w:t>
      </w:r>
      <w:r w:rsidRPr="000B7FD6">
        <w:rPr>
          <w:rStyle w:val="FootnoteReference"/>
        </w:rPr>
        <w:footnoteReference w:id="2"/>
      </w:r>
      <w:r w:rsidRPr="000B7FD6">
        <w:t xml:space="preserve"> privind fiabilitatea conturilor și legalitatea și regularitatea operațiunilor subiacente întocmită de Curtea de Conturi pentru exercițiul 2022 în temeiul articolului 287 din Tratatul privind funcționarea Uniunii Europene,</w:t>
      </w:r>
    </w:p>
    <w:p w:rsidR="00020134" w:rsidRPr="000B7FD6" w:rsidRDefault="00020134" w:rsidP="00020134">
      <w:pPr>
        <w:pStyle w:val="NormalHanging12a"/>
      </w:pPr>
      <w:r w:rsidRPr="000B7FD6">
        <w:t>–</w:t>
      </w:r>
      <w:r w:rsidRPr="000B7FD6">
        <w:tab/>
        <w:t>având în vedere Recomandarea Consiliului din 22 februarie 2024 privind descărcarea de gestiune a Agenției în ceea ce privește execuția bugetară pentru exercițiul financiar 2022 (</w:t>
      </w:r>
      <w:r w:rsidR="003D1BB5" w:rsidRPr="000B7FD6">
        <w:t>06180/2024 – C9</w:t>
      </w:r>
      <w:r w:rsidR="003D1BB5" w:rsidRPr="000B7FD6">
        <w:noBreakHyphen/>
        <w:t>0101/2024</w:t>
      </w:r>
      <w:r w:rsidRPr="000B7FD6">
        <w:t>),</w:t>
      </w:r>
    </w:p>
    <w:p w:rsidR="00020134" w:rsidRPr="000B7FD6" w:rsidRDefault="00020134" w:rsidP="00020134">
      <w:pPr>
        <w:pStyle w:val="NormalHanging12a"/>
      </w:pPr>
      <w:r w:rsidRPr="000B7FD6">
        <w:t>–</w:t>
      </w:r>
      <w:r w:rsidRPr="000B7FD6">
        <w:tab/>
        <w:t>având în vedere articolul 319 din Tratatul privind funcționarea Uniunii Europene,</w:t>
      </w:r>
    </w:p>
    <w:p w:rsidR="00020134" w:rsidRPr="000B7FD6" w:rsidRDefault="00020134" w:rsidP="00020134">
      <w:pPr>
        <w:pStyle w:val="NormalHanging12a"/>
      </w:pPr>
      <w:r w:rsidRPr="000B7FD6">
        <w:t>–</w:t>
      </w:r>
      <w:r w:rsidRPr="000B7FD6">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0B7FD6">
        <w:rPr>
          <w:rStyle w:val="FootnoteReference"/>
        </w:rPr>
        <w:footnoteReference w:id="3"/>
      </w:r>
      <w:r w:rsidRPr="000B7FD6">
        <w:t>, în special articolul 70,</w:t>
      </w:r>
    </w:p>
    <w:p w:rsidR="00020134" w:rsidRPr="000B7FD6" w:rsidRDefault="00020134" w:rsidP="00020134">
      <w:pPr>
        <w:pStyle w:val="NormalHanging12a"/>
      </w:pPr>
      <w:r w:rsidRPr="000B7FD6">
        <w:t>–</w:t>
      </w:r>
      <w:r w:rsidRPr="000B7FD6">
        <w:tab/>
        <w:t xml:space="preserve">având în vedere Regulamentul (CE) nr. 1339/2008 al Parlamentului European și al Consiliului din 16 decembrie 2008 privind înființarea unei Fundații Europene de </w:t>
      </w:r>
      <w:r w:rsidRPr="000B7FD6">
        <w:lastRenderedPageBreak/>
        <w:t>Formare</w:t>
      </w:r>
      <w:r w:rsidRPr="000B7FD6">
        <w:rPr>
          <w:rStyle w:val="FootnoteReference"/>
        </w:rPr>
        <w:footnoteReference w:id="4"/>
      </w:r>
      <w:r w:rsidRPr="000B7FD6">
        <w:t>, în special articolul 17,</w:t>
      </w:r>
    </w:p>
    <w:p w:rsidR="00020134" w:rsidRPr="000B7FD6" w:rsidRDefault="00020134" w:rsidP="00020134">
      <w:pPr>
        <w:pStyle w:val="NormalHanging12a"/>
      </w:pPr>
      <w:r w:rsidRPr="000B7FD6">
        <w:t>–</w:t>
      </w:r>
      <w:r w:rsidRPr="000B7FD6">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0B7FD6">
        <w:rPr>
          <w:rStyle w:val="FootnoteReference"/>
        </w:rPr>
        <w:footnoteReference w:id="5"/>
      </w:r>
      <w:r w:rsidRPr="000B7FD6">
        <w:t>, în special articolul 105,</w:t>
      </w:r>
    </w:p>
    <w:p w:rsidR="00020134" w:rsidRPr="000B7FD6" w:rsidRDefault="00020134" w:rsidP="00020134">
      <w:pPr>
        <w:pStyle w:val="NormalHanging12a"/>
      </w:pPr>
      <w:r w:rsidRPr="000B7FD6">
        <w:t>–</w:t>
      </w:r>
      <w:r w:rsidRPr="000B7FD6">
        <w:tab/>
        <w:t>având în vedere articolul 100 și anexa V la Regulamentul său de procedură,</w:t>
      </w:r>
    </w:p>
    <w:p w:rsidR="00020134" w:rsidRPr="000B7FD6" w:rsidRDefault="00020134" w:rsidP="00020134">
      <w:pPr>
        <w:pStyle w:val="NormalHanging12a"/>
      </w:pPr>
      <w:r w:rsidRPr="000B7FD6">
        <w:t>–</w:t>
      </w:r>
      <w:r w:rsidRPr="000B7FD6">
        <w:tab/>
        <w:t>având în vedere avizul Comisiei pentru ocuparea forței de muncă și afaceri sociale,</w:t>
      </w:r>
    </w:p>
    <w:p w:rsidR="00020134" w:rsidRPr="000B7FD6" w:rsidRDefault="00020134" w:rsidP="00020134">
      <w:pPr>
        <w:pStyle w:val="NormalHanging12a"/>
      </w:pPr>
      <w:r w:rsidRPr="000B7FD6">
        <w:t>–</w:t>
      </w:r>
      <w:r w:rsidRPr="000B7FD6">
        <w:tab/>
        <w:t>având în vedere raportul Comisiei pentru control bugetar (A9-0114/2024),</w:t>
      </w:r>
    </w:p>
    <w:p w:rsidR="00020134" w:rsidRPr="000B7FD6" w:rsidRDefault="00020134" w:rsidP="00020134">
      <w:pPr>
        <w:pStyle w:val="NormalHanging12a"/>
      </w:pPr>
      <w:r w:rsidRPr="000B7FD6">
        <w:t>1.</w:t>
      </w:r>
      <w:r w:rsidRPr="000B7FD6">
        <w:tab/>
        <w:t>acordă directoarei Fundației Europene de Formare descărcarea de gestiune pentru execuția bugetului Fundației aferent exercițiului financiar 2022;</w:t>
      </w:r>
    </w:p>
    <w:p w:rsidR="00020134" w:rsidRPr="000B7FD6" w:rsidRDefault="00020134" w:rsidP="00020134">
      <w:pPr>
        <w:pStyle w:val="NormalHanging12a"/>
      </w:pPr>
      <w:r w:rsidRPr="000B7FD6">
        <w:t>2.</w:t>
      </w:r>
      <w:r w:rsidRPr="000B7FD6">
        <w:tab/>
        <w:t>își prezintă observațiile în cadrul rezoluției de mai jos;</w:t>
      </w:r>
    </w:p>
    <w:p w:rsidR="00020134" w:rsidRPr="000B7FD6" w:rsidRDefault="00020134" w:rsidP="00020134">
      <w:pPr>
        <w:pStyle w:val="NormalHanging12a"/>
      </w:pPr>
      <w:r w:rsidRPr="000B7FD6">
        <w:t>3.</w:t>
      </w:r>
      <w:r w:rsidRPr="000B7FD6">
        <w:tab/>
        <w:t xml:space="preserve">încredințează Președintei sarcina de a transmite prezenta decizie împreună cu rezoluția Parlamentului, ca parte integrantă a acesteia, directoarei Fundației Europene de Formare, Consiliului, Comisiei și Curții de Conturi și de a asigura publicarea acestora în </w:t>
      </w:r>
      <w:r w:rsidRPr="000B7FD6">
        <w:rPr>
          <w:i/>
        </w:rPr>
        <w:t>Jurnalul Oficial al Uniunii Europene</w:t>
      </w:r>
      <w:r w:rsidRPr="000B7FD6">
        <w:t xml:space="preserve"> (seria L).</w:t>
      </w:r>
    </w:p>
    <w:p w:rsidR="00020134" w:rsidRPr="000B7FD6" w:rsidRDefault="00020134" w:rsidP="00020134"/>
    <w:p w:rsidR="00020134" w:rsidRPr="000B7FD6" w:rsidRDefault="00020134" w:rsidP="00020134">
      <w:pPr>
        <w:widowControl/>
        <w:rPr>
          <w:rFonts w:ascii="Arial" w:hAnsi="Arial" w:cs="Arial"/>
          <w:b/>
        </w:rPr>
        <w:sectPr w:rsidR="00020134" w:rsidRPr="000B7FD6" w:rsidSect="003909E5">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020134" w:rsidRPr="000B7FD6" w:rsidRDefault="00CC70E9" w:rsidP="00CC70E9">
      <w:pPr>
        <w:pStyle w:val="ATHeading3"/>
      </w:pPr>
      <w:r w:rsidRPr="000B7FD6">
        <w:lastRenderedPageBreak/>
        <w:t xml:space="preserve">2. Decizia Parlamentului European din 11 aprilie 2024 </w:t>
      </w:r>
      <w:r w:rsidR="00020134" w:rsidRPr="000B7FD6">
        <w:t>privind închiderea conturilor Fundației Europene de Formare pentru exercițiul financiar 2022</w:t>
      </w:r>
      <w:r w:rsidRPr="000B7FD6">
        <w:t xml:space="preserve"> </w:t>
      </w:r>
      <w:r w:rsidR="00020134" w:rsidRPr="000B7FD6">
        <w:t>(2023/2163(DEC))</w:t>
      </w:r>
    </w:p>
    <w:p w:rsidR="00020134" w:rsidRPr="000B7FD6" w:rsidRDefault="00020134" w:rsidP="00020134">
      <w:pPr>
        <w:pStyle w:val="EPComma"/>
      </w:pPr>
      <w:r w:rsidRPr="000B7FD6">
        <w:rPr>
          <w:i/>
          <w:iCs/>
        </w:rPr>
        <w:t>Parlamentul European</w:t>
      </w:r>
      <w:r w:rsidRPr="000B7FD6">
        <w:t>,</w:t>
      </w:r>
    </w:p>
    <w:p w:rsidR="00020134" w:rsidRPr="000B7FD6" w:rsidRDefault="00020134" w:rsidP="00020134">
      <w:pPr>
        <w:pStyle w:val="NormalHanging12a"/>
      </w:pPr>
      <w:r w:rsidRPr="000B7FD6">
        <w:t>–</w:t>
      </w:r>
      <w:r w:rsidRPr="000B7FD6">
        <w:tab/>
        <w:t>având în vedere conturile anuale finale ale Fundației Europene de Formare pentru exercițiul financiar 2022,</w:t>
      </w:r>
    </w:p>
    <w:p w:rsidR="00020134" w:rsidRPr="000B7FD6" w:rsidRDefault="00020134" w:rsidP="00020134">
      <w:pPr>
        <w:pStyle w:val="NormalHanging12a"/>
      </w:pPr>
      <w:r w:rsidRPr="000B7FD6">
        <w:t>–</w:t>
      </w:r>
      <w:r w:rsidRPr="000B7FD6">
        <w:tab/>
        <w:t>având în vedere Raportul anual al Curții de Conturi privind agențiile UE pentru exercițiul financiar 2022, însoțit de răspunsurile agențiilor</w:t>
      </w:r>
      <w:r w:rsidRPr="000B7FD6">
        <w:rPr>
          <w:rStyle w:val="FootnoteReference"/>
        </w:rPr>
        <w:footnoteReference w:id="6"/>
      </w:r>
      <w:r w:rsidRPr="000B7FD6">
        <w:t>,</w:t>
      </w:r>
    </w:p>
    <w:p w:rsidR="00020134" w:rsidRPr="000B7FD6" w:rsidRDefault="00020134" w:rsidP="00020134">
      <w:pPr>
        <w:pStyle w:val="NormalHanging12a"/>
      </w:pPr>
      <w:r w:rsidRPr="000B7FD6">
        <w:t>–</w:t>
      </w:r>
      <w:r w:rsidRPr="000B7FD6">
        <w:tab/>
        <w:t>având în vedere declarația de asigurare</w:t>
      </w:r>
      <w:r w:rsidRPr="000B7FD6">
        <w:rPr>
          <w:rStyle w:val="FootnoteReference"/>
        </w:rPr>
        <w:footnoteReference w:id="7"/>
      </w:r>
      <w:r w:rsidRPr="000B7FD6">
        <w:t xml:space="preserve"> privind fiabilitatea conturilor și legalitatea și regularitatea operațiunilor subiacente întocmită de Curtea de Conturi pentru exercițiul 2022 în temeiul articolului 287 din Tratatul privind funcționarea Uniunii Europene,</w:t>
      </w:r>
    </w:p>
    <w:p w:rsidR="00020134" w:rsidRPr="000B7FD6" w:rsidRDefault="00020134" w:rsidP="00020134">
      <w:pPr>
        <w:pStyle w:val="NormalHanging12a"/>
      </w:pPr>
      <w:r w:rsidRPr="000B7FD6">
        <w:t>–</w:t>
      </w:r>
      <w:r w:rsidRPr="000B7FD6">
        <w:tab/>
        <w:t>având în vedere Recomandarea Consiliului din 22 februarie 2024 privind descărcarea de gestiune a Agenției în ceea ce privește execuția bugetară pentru exercițiul financiar 2022 (</w:t>
      </w:r>
      <w:r w:rsidR="003D1BB5" w:rsidRPr="000B7FD6">
        <w:t>06180/2024 – C9</w:t>
      </w:r>
      <w:r w:rsidR="003D1BB5" w:rsidRPr="000B7FD6">
        <w:noBreakHyphen/>
        <w:t>0101/2024</w:t>
      </w:r>
      <w:r w:rsidRPr="000B7FD6">
        <w:t>),</w:t>
      </w:r>
    </w:p>
    <w:p w:rsidR="00020134" w:rsidRPr="000B7FD6" w:rsidRDefault="00020134" w:rsidP="00020134">
      <w:pPr>
        <w:pStyle w:val="NormalHanging12a"/>
      </w:pPr>
      <w:r w:rsidRPr="000B7FD6">
        <w:t>–</w:t>
      </w:r>
      <w:r w:rsidRPr="000B7FD6">
        <w:tab/>
        <w:t>având în vedere articolul 319 din Tratatul privind funcționarea Uniunii Europene,</w:t>
      </w:r>
    </w:p>
    <w:p w:rsidR="00020134" w:rsidRPr="000B7FD6" w:rsidRDefault="00020134" w:rsidP="00020134">
      <w:pPr>
        <w:pStyle w:val="NormalHanging12a"/>
      </w:pPr>
      <w:r w:rsidRPr="000B7FD6">
        <w:t>–</w:t>
      </w:r>
      <w:r w:rsidRPr="000B7FD6">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0B7FD6">
        <w:rPr>
          <w:rStyle w:val="FootnoteReference"/>
        </w:rPr>
        <w:footnoteReference w:id="8"/>
      </w:r>
      <w:r w:rsidRPr="000B7FD6">
        <w:t>, în special articolul 70,</w:t>
      </w:r>
    </w:p>
    <w:p w:rsidR="00020134" w:rsidRPr="000B7FD6" w:rsidRDefault="00020134" w:rsidP="00020134">
      <w:pPr>
        <w:pStyle w:val="NormalHanging12a"/>
      </w:pPr>
      <w:r w:rsidRPr="000B7FD6">
        <w:t>–</w:t>
      </w:r>
      <w:r w:rsidRPr="000B7FD6">
        <w:tab/>
        <w:t>având în vedere Regulamentul (CE) nr. 1339/2008 al Parlamentului European și al Consiliului din 16 decembrie 2008 privind înființarea unei Fundații Europene de Formare</w:t>
      </w:r>
      <w:r w:rsidRPr="000B7FD6">
        <w:rPr>
          <w:rStyle w:val="FootnoteReference"/>
        </w:rPr>
        <w:footnoteReference w:id="9"/>
      </w:r>
      <w:r w:rsidRPr="000B7FD6">
        <w:t>, în special articolul 17,</w:t>
      </w:r>
    </w:p>
    <w:p w:rsidR="00020134" w:rsidRPr="000B7FD6" w:rsidRDefault="00020134" w:rsidP="00020134">
      <w:pPr>
        <w:pStyle w:val="NormalHanging12a"/>
      </w:pPr>
      <w:r w:rsidRPr="000B7FD6">
        <w:t>–</w:t>
      </w:r>
      <w:r w:rsidRPr="000B7FD6">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0B7FD6">
        <w:rPr>
          <w:rStyle w:val="FootnoteReference"/>
        </w:rPr>
        <w:footnoteReference w:id="10"/>
      </w:r>
      <w:r w:rsidRPr="000B7FD6">
        <w:t>, în special articolul 105,</w:t>
      </w:r>
    </w:p>
    <w:p w:rsidR="00020134" w:rsidRPr="000B7FD6" w:rsidRDefault="00020134" w:rsidP="00020134">
      <w:pPr>
        <w:pStyle w:val="NormalHanging12a"/>
      </w:pPr>
      <w:r w:rsidRPr="000B7FD6">
        <w:t>–</w:t>
      </w:r>
      <w:r w:rsidRPr="000B7FD6">
        <w:tab/>
        <w:t>având în vedere articolul 100 și anexa V la Regulamentul său de procedură,</w:t>
      </w:r>
    </w:p>
    <w:p w:rsidR="00020134" w:rsidRPr="000B7FD6" w:rsidRDefault="00020134" w:rsidP="00020134">
      <w:pPr>
        <w:pStyle w:val="NormalHanging12a"/>
      </w:pPr>
      <w:r w:rsidRPr="000B7FD6">
        <w:t>–</w:t>
      </w:r>
      <w:r w:rsidRPr="000B7FD6">
        <w:tab/>
        <w:t>având în vedere avizul Comisiei pentru ocuparea forței de muncă și afaceri sociale,</w:t>
      </w:r>
    </w:p>
    <w:p w:rsidR="00020134" w:rsidRPr="000B7FD6" w:rsidRDefault="00020134" w:rsidP="00020134">
      <w:pPr>
        <w:pStyle w:val="NormalHanging12a"/>
      </w:pPr>
      <w:r w:rsidRPr="000B7FD6">
        <w:t>–</w:t>
      </w:r>
      <w:r w:rsidRPr="000B7FD6">
        <w:tab/>
        <w:t>având în vedere raportul Comisiei pentru control bugetar (A9-0114/2024),</w:t>
      </w:r>
    </w:p>
    <w:p w:rsidR="00020134" w:rsidRPr="000B7FD6" w:rsidRDefault="00020134" w:rsidP="00020134">
      <w:pPr>
        <w:pStyle w:val="NormalHanging12a"/>
      </w:pPr>
      <w:r w:rsidRPr="000B7FD6">
        <w:t>1.</w:t>
      </w:r>
      <w:r w:rsidRPr="000B7FD6">
        <w:tab/>
        <w:t>aprobă închiderea conturilor Fundației Europene de Formare pentru exercițiul financiar 2022;</w:t>
      </w:r>
    </w:p>
    <w:p w:rsidR="00020134" w:rsidRPr="000B7FD6" w:rsidRDefault="00020134" w:rsidP="00020134">
      <w:pPr>
        <w:pStyle w:val="NormalHanging12a"/>
      </w:pPr>
      <w:r w:rsidRPr="000B7FD6">
        <w:lastRenderedPageBreak/>
        <w:t>2.</w:t>
      </w:r>
      <w:r w:rsidRPr="000B7FD6">
        <w:tab/>
        <w:t xml:space="preserve">încredințează Președintei sarcina de a transmite prezenta decizie directoarei Fundației Europene de Formare, Consiliului, Comisiei și Curții de Conturi și de a asigura publicarea acesteia în </w:t>
      </w:r>
      <w:r w:rsidRPr="000B7FD6">
        <w:rPr>
          <w:i/>
          <w:iCs/>
        </w:rPr>
        <w:t>Jurnalul Oficial al Uniunii Europene</w:t>
      </w:r>
      <w:r w:rsidRPr="000B7FD6">
        <w:t xml:space="preserve"> (seria L).</w:t>
      </w:r>
    </w:p>
    <w:p w:rsidR="00020134" w:rsidRPr="000B7FD6" w:rsidRDefault="00020134" w:rsidP="00020134"/>
    <w:p w:rsidR="00020134" w:rsidRPr="000B7FD6" w:rsidRDefault="00020134" w:rsidP="00020134">
      <w:pPr>
        <w:widowControl/>
        <w:rPr>
          <w:rFonts w:ascii="Arial" w:hAnsi="Arial" w:cs="Arial"/>
          <w:b/>
        </w:rPr>
        <w:sectPr w:rsidR="00020134" w:rsidRPr="000B7FD6" w:rsidSect="003909E5">
          <w:footnotePr>
            <w:numRestart w:val="eachPage"/>
          </w:footnotePr>
          <w:endnotePr>
            <w:numFmt w:val="decimal"/>
          </w:endnotePr>
          <w:pgSz w:w="11906" w:h="16838"/>
          <w:pgMar w:top="1134" w:right="1418" w:bottom="1418" w:left="1418" w:header="567" w:footer="567" w:gutter="0"/>
          <w:cols w:space="720"/>
          <w:docGrid w:linePitch="326"/>
        </w:sectPr>
      </w:pPr>
    </w:p>
    <w:p w:rsidR="00020134" w:rsidRPr="000B7FD6" w:rsidRDefault="00CC70E9" w:rsidP="00CC70E9">
      <w:pPr>
        <w:pStyle w:val="ATHeading3"/>
      </w:pPr>
      <w:r w:rsidRPr="000B7FD6">
        <w:lastRenderedPageBreak/>
        <w:t xml:space="preserve">3. Rezoluția Parlamentului European din 11 aprilie 2024 </w:t>
      </w:r>
      <w:r w:rsidR="00020134" w:rsidRPr="000B7FD6">
        <w:t>conținând observațiile care fac parte integrantă din decizia privind descărcarea de gestiune pentru execuția bugetului Fundației Europene de Formare aferent exercițiului financiar 2022</w:t>
      </w:r>
      <w:r w:rsidRPr="000B7FD6">
        <w:t xml:space="preserve"> </w:t>
      </w:r>
      <w:r w:rsidR="00020134" w:rsidRPr="000B7FD6">
        <w:t>(2023/2163(DEC))</w:t>
      </w:r>
    </w:p>
    <w:p w:rsidR="00020134" w:rsidRPr="000B7FD6" w:rsidRDefault="00020134" w:rsidP="00020134">
      <w:pPr>
        <w:pStyle w:val="EPComma"/>
      </w:pPr>
      <w:r w:rsidRPr="000B7FD6">
        <w:rPr>
          <w:i/>
          <w:iCs/>
        </w:rPr>
        <w:t>Parlamentul European</w:t>
      </w:r>
      <w:r w:rsidRPr="000B7FD6">
        <w:t>,</w:t>
      </w:r>
    </w:p>
    <w:p w:rsidR="00020134" w:rsidRPr="000B7FD6" w:rsidRDefault="00020134" w:rsidP="00020134">
      <w:pPr>
        <w:pStyle w:val="NormalHanging12a"/>
      </w:pPr>
      <w:r w:rsidRPr="000B7FD6">
        <w:t>–</w:t>
      </w:r>
      <w:r w:rsidRPr="000B7FD6">
        <w:tab/>
        <w:t>având în vedere decizia sa privind descărcarea de gestiune pentru execuția bugetului Fundației Europene de Formare aferent exercițiului financiar 2022,</w:t>
      </w:r>
    </w:p>
    <w:p w:rsidR="00020134" w:rsidRPr="000B7FD6" w:rsidRDefault="00020134" w:rsidP="00020134">
      <w:pPr>
        <w:pStyle w:val="NormalHanging12a"/>
      </w:pPr>
      <w:r w:rsidRPr="000B7FD6">
        <w:t>–</w:t>
      </w:r>
      <w:r w:rsidRPr="000B7FD6">
        <w:tab/>
        <w:t>având în vedere articolul 100 și anexa V la Regulamentul său de procedură,</w:t>
      </w:r>
    </w:p>
    <w:p w:rsidR="00020134" w:rsidRPr="000B7FD6" w:rsidRDefault="00020134" w:rsidP="00020134">
      <w:pPr>
        <w:pStyle w:val="NormalHanging12a"/>
      </w:pPr>
      <w:r w:rsidRPr="000B7FD6">
        <w:t>–</w:t>
      </w:r>
      <w:r w:rsidRPr="000B7FD6">
        <w:tab/>
        <w:t>având în vedere avizul Comisiei pentru ocuparea forței de muncă și afaceri sociale,</w:t>
      </w:r>
    </w:p>
    <w:p w:rsidR="00020134" w:rsidRPr="000B7FD6" w:rsidRDefault="00020134" w:rsidP="00020134">
      <w:pPr>
        <w:pStyle w:val="NormalHanging12a"/>
      </w:pPr>
      <w:r w:rsidRPr="000B7FD6">
        <w:t>–</w:t>
      </w:r>
      <w:r w:rsidRPr="000B7FD6">
        <w:tab/>
        <w:t>având în vedere raportul Comisiei pentru control bugetar (A9-0114/2024),</w:t>
      </w:r>
    </w:p>
    <w:p w:rsidR="00020134" w:rsidRPr="000B7FD6" w:rsidRDefault="00020134" w:rsidP="00020134">
      <w:pPr>
        <w:pStyle w:val="Normal12Hanging"/>
        <w:rPr>
          <w:szCs w:val="24"/>
        </w:rPr>
      </w:pPr>
      <w:r w:rsidRPr="000B7FD6">
        <w:t>A.</w:t>
      </w:r>
      <w:r w:rsidRPr="000B7FD6">
        <w:tab/>
        <w:t>întrucât, potrivit situației veniturilor și cheltuielilor sale</w:t>
      </w:r>
      <w:r w:rsidRPr="000B7FD6">
        <w:rPr>
          <w:rStyle w:val="FootnoteReference"/>
          <w:szCs w:val="24"/>
        </w:rPr>
        <w:footnoteReference w:id="11"/>
      </w:r>
      <w:r w:rsidRPr="000B7FD6">
        <w:t>, bugetul definitiv al Fundației Europene de Formare (în continuare „Fundația”) aferent exercițiului financiar 2022 a fost de 25 051 848 EUR, ceea ce reprezintă o creștere cu 17,05 % față de bugetul pe 2021; întrucât bugetul Fundației provine integral de la bugetul Uniunii;</w:t>
      </w:r>
    </w:p>
    <w:p w:rsidR="00020134" w:rsidRPr="000B7FD6" w:rsidRDefault="00020134" w:rsidP="00020134">
      <w:pPr>
        <w:pStyle w:val="Normal12Hanging"/>
        <w:rPr>
          <w:szCs w:val="24"/>
        </w:rPr>
      </w:pPr>
      <w:r w:rsidRPr="000B7FD6">
        <w:t>B.</w:t>
      </w:r>
      <w:r w:rsidRPr="000B7FD6">
        <w:tab/>
        <w:t>întrucât în raportul său privind conturile anuale ale Fundației pentru exercițiul financiar 2022 („raportul Curții”), Curtea de Conturi („Curtea”) declară că a obținut asigurări rezonabile cu privire la fiabilitatea conturilor anuale ale Fundației și cu privire la legalitatea și regularitatea operațiunilor subiacente;</w:t>
      </w:r>
    </w:p>
    <w:p w:rsidR="00020134" w:rsidRPr="000B7FD6" w:rsidRDefault="00020134" w:rsidP="00020134">
      <w:pPr>
        <w:pStyle w:val="Normal12Hanging"/>
        <w:rPr>
          <w:b/>
          <w:i/>
          <w:szCs w:val="24"/>
        </w:rPr>
      </w:pPr>
      <w:r w:rsidRPr="000B7FD6">
        <w:rPr>
          <w:b/>
          <w:i/>
        </w:rPr>
        <w:t>Gestiunea bugetară și financiară</w:t>
      </w:r>
    </w:p>
    <w:p w:rsidR="00020134" w:rsidRPr="000B7FD6" w:rsidRDefault="00020134" w:rsidP="00020134">
      <w:pPr>
        <w:pStyle w:val="Normal12Hanging"/>
        <w:rPr>
          <w:szCs w:val="24"/>
        </w:rPr>
      </w:pPr>
      <w:r w:rsidRPr="000B7FD6">
        <w:t>1.</w:t>
      </w:r>
      <w:r w:rsidRPr="000B7FD6">
        <w:tab/>
        <w:t>ia act cu satisfacție că eforturile de monitorizare a bugetului în cursul exercițiului financiar 2022 au condus la o rată ridicată de execuție bugetară, de 99,98 %, ceea ce reprezintă o ușoară creștere cu 0,07 % față de exercițiul 2021; subliniază că rata de execuție a creditelor de plată a fost de 97,70 %, ceea ce reprezintă o creștere de 11,48 % în comparație cu 2021;</w:t>
      </w:r>
    </w:p>
    <w:p w:rsidR="00020134" w:rsidRPr="000B7FD6" w:rsidRDefault="00020134" w:rsidP="00020134">
      <w:pPr>
        <w:pStyle w:val="NormalHanging12a"/>
      </w:pPr>
      <w:r w:rsidRPr="000B7FD6">
        <w:t>2.</w:t>
      </w:r>
      <w:r w:rsidRPr="000B7FD6">
        <w:tab/>
        <w:t>salută faptul că, în pofida crizei bugetare cauzate de inflație și de prețurile utilităților în 2022, Fundația a fost în măsură să își gestioneze în mod eficace cheltuielile, să introducă măsuri de reducere a costurilor și să restabilească prioritățile fără perturbări majore ale programului de lucru;</w:t>
      </w:r>
    </w:p>
    <w:p w:rsidR="00020134" w:rsidRPr="000B7FD6" w:rsidRDefault="00020134" w:rsidP="00020134">
      <w:pPr>
        <w:widowControl/>
        <w:autoSpaceDE w:val="0"/>
        <w:autoSpaceDN w:val="0"/>
        <w:adjustRightInd w:val="0"/>
        <w:spacing w:after="240"/>
        <w:ind w:left="567" w:hanging="567"/>
        <w:rPr>
          <w:szCs w:val="24"/>
        </w:rPr>
      </w:pPr>
      <w:r w:rsidRPr="000B7FD6">
        <w:rPr>
          <w:b/>
          <w:i/>
        </w:rPr>
        <w:t>Performanță</w:t>
      </w:r>
    </w:p>
    <w:p w:rsidR="00020134" w:rsidRPr="000B7FD6" w:rsidRDefault="00020134" w:rsidP="00020134">
      <w:pPr>
        <w:pStyle w:val="Normal12Hanging"/>
        <w:rPr>
          <w:szCs w:val="24"/>
        </w:rPr>
      </w:pPr>
      <w:r w:rsidRPr="000B7FD6">
        <w:t>3.</w:t>
      </w:r>
      <w:r w:rsidRPr="000B7FD6">
        <w:tab/>
        <w:t>constată cu satisfacție că Fundația utilizează anumiți indicatori-cheie de performanță pentru a măsura valoarea adăugată oferită de activitățile sale și alte măsuri pentru a-și îmbunătăți gestiunea bugetară;</w:t>
      </w:r>
    </w:p>
    <w:p w:rsidR="00020134" w:rsidRPr="000B7FD6" w:rsidRDefault="00020134" w:rsidP="00020134">
      <w:pPr>
        <w:pStyle w:val="Normal12Hanging"/>
        <w:rPr>
          <w:szCs w:val="24"/>
        </w:rPr>
      </w:pPr>
      <w:r w:rsidRPr="000B7FD6">
        <w:t>4.</w:t>
      </w:r>
      <w:r w:rsidRPr="000B7FD6">
        <w:tab/>
        <w:t>ia act de faptul că Fundația a atins o rată de finalizare a activității de 93 %, ceea ce reprezintă o ușoară scădere față de 2021, și o rată de finalizare la timp de 89 %; salută faptul că Fundația a realizat toți indicatorii-cheie de performanță sau a depășit cu mult obiectivele stabilite;</w:t>
      </w:r>
    </w:p>
    <w:p w:rsidR="00020134" w:rsidRPr="000B7FD6" w:rsidRDefault="00020134" w:rsidP="00020134">
      <w:pPr>
        <w:pStyle w:val="Normal12Hanging"/>
      </w:pPr>
      <w:r w:rsidRPr="000B7FD6">
        <w:lastRenderedPageBreak/>
        <w:t>5.</w:t>
      </w:r>
      <w:r w:rsidRPr="000B7FD6">
        <w:tab/>
        <w:t>ia act de principalele realizări ale Fundației în 2022, care se bazează pe trei obiective strategice: relevanța și anticiparea competențelor, dezvoltarea și validarea competențelor, precum și performanța și calitatea politicilor în materie de educație și formare; observă că aceste obiective sunt îndeplinite de Fundație în cadrul a trei servicii principale: centrul de cunoștințe, monitorizarea și evaluarea, precum și consilierea în materie de politici;</w:t>
      </w:r>
    </w:p>
    <w:p w:rsidR="00020134" w:rsidRPr="000B7FD6" w:rsidRDefault="00020134" w:rsidP="00020134">
      <w:pPr>
        <w:pStyle w:val="Normal12Hanging"/>
      </w:pPr>
      <w:r w:rsidRPr="000B7FD6">
        <w:t>6.</w:t>
      </w:r>
      <w:r w:rsidRPr="000B7FD6">
        <w:tab/>
        <w:t xml:space="preserve">ia act de noile inițiative lansate de Fundație în 2022, cum ar fi noua inițiativă Echipa Europa în sudul și estul Mării Mediterane și reuniunea rețelei </w:t>
      </w:r>
      <w:proofErr w:type="spellStart"/>
      <w:r w:rsidRPr="000B7FD6">
        <w:t>Governance</w:t>
      </w:r>
      <w:proofErr w:type="spellEnd"/>
      <w:r w:rsidRPr="000B7FD6">
        <w:t xml:space="preserve"> </w:t>
      </w:r>
      <w:proofErr w:type="spellStart"/>
      <w:r w:rsidRPr="000B7FD6">
        <w:t>Learning</w:t>
      </w:r>
      <w:proofErr w:type="spellEnd"/>
      <w:r w:rsidRPr="000B7FD6">
        <w:t xml:space="preserve"> </w:t>
      </w:r>
      <w:proofErr w:type="spellStart"/>
      <w:r w:rsidRPr="000B7FD6">
        <w:t>Action</w:t>
      </w:r>
      <w:proofErr w:type="spellEnd"/>
      <w:r w:rsidRPr="000B7FD6">
        <w:t xml:space="preserve"> </w:t>
      </w:r>
      <w:proofErr w:type="spellStart"/>
      <w:r w:rsidRPr="000B7FD6">
        <w:t>and</w:t>
      </w:r>
      <w:proofErr w:type="spellEnd"/>
      <w:r w:rsidRPr="000B7FD6">
        <w:t xml:space="preserve"> </w:t>
      </w:r>
      <w:proofErr w:type="spellStart"/>
      <w:r w:rsidRPr="000B7FD6">
        <w:t>Dialogue</w:t>
      </w:r>
      <w:proofErr w:type="spellEnd"/>
      <w:r w:rsidRPr="000B7FD6">
        <w:t xml:space="preserve"> (GLAD); ia act de dezvoltarea rețelei sale de excelență și a conferinței online a rețelei de excelență a Fundației din noiembrie 2022, care a oferit participanților ocazia de a împărtăși evoluțiile și rezultatele activității parteneriatului tematic;</w:t>
      </w:r>
    </w:p>
    <w:p w:rsidR="00020134" w:rsidRPr="000B7FD6" w:rsidRDefault="00020134" w:rsidP="00020134">
      <w:pPr>
        <w:pStyle w:val="NormalHanging12a"/>
      </w:pPr>
      <w:r w:rsidRPr="000B7FD6">
        <w:t>7.</w:t>
      </w:r>
      <w:r w:rsidRPr="000B7FD6">
        <w:tab/>
        <w:t>subliniază că Fundația sprijină Moldova, Georgia și Ucraina, în calitate de țări candidate, în aspirațiile lor de a-și alinia politicile în materie de educație și ocupare a forței de muncă la cele ale Uniunii, oferind expertiză tehnică și consiliere cu privire la diverse aspecte autorităților naționale, în strânsă cooperare cu delegațiile Uniunii și cu serviciile Comisiei;</w:t>
      </w:r>
    </w:p>
    <w:p w:rsidR="00020134" w:rsidRPr="000B7FD6" w:rsidRDefault="00020134" w:rsidP="00020134">
      <w:pPr>
        <w:pStyle w:val="Normal12Hanging"/>
        <w:rPr>
          <w:szCs w:val="24"/>
        </w:rPr>
      </w:pPr>
      <w:r w:rsidRPr="000B7FD6">
        <w:t>8.</w:t>
      </w:r>
      <w:r w:rsidRPr="000B7FD6">
        <w:tab/>
        <w:t>salută faptul că măsurile luate de Fundație ca răspuns la șocuri, cum ar fi persistența efectelor pandemiei de COVID-19 și agresiunea Rusiei în Ucraina, au fost foarte eficace pentru a asigura un nivel continuu și foarte ridicat de realizare a programului anual de lucru; salută inițiativa Fundației de a sprijini Ucraina prin intermediul centrului de resurse online pentru recunoașterea calificărilor, a competențelor și a perioadelor de studiu ale refugiaților ucraineni și prin alte mijloace și de a răspunde, atunci când este posibil și pertinent, în strânsă legătură cu diferite servicii ale Comisiei, valorificând competența sa tematică și cunoștințele sale privind sistemele de educație și formare ale țării;</w:t>
      </w:r>
    </w:p>
    <w:p w:rsidR="00020134" w:rsidRPr="000B7FD6" w:rsidRDefault="00020134" w:rsidP="00020134">
      <w:pPr>
        <w:pStyle w:val="NormalHanging12a"/>
      </w:pPr>
      <w:r w:rsidRPr="000B7FD6">
        <w:t>9.</w:t>
      </w:r>
      <w:r w:rsidRPr="000B7FD6">
        <w:tab/>
        <w:t>subliniază că Fundația a suspendat toate activitățile și cooperarea cu autoritățile belaruse de la începutul anului 2022;</w:t>
      </w:r>
    </w:p>
    <w:p w:rsidR="00020134" w:rsidRPr="000B7FD6" w:rsidRDefault="00020134" w:rsidP="00020134">
      <w:pPr>
        <w:pStyle w:val="NormalHanging12a"/>
      </w:pPr>
      <w:r w:rsidRPr="000B7FD6">
        <w:t>10.</w:t>
      </w:r>
      <w:r w:rsidRPr="000B7FD6">
        <w:tab/>
        <w:t>salută activitățile Fundației care ajută țările partenere ale Uniunii să valorifice potențialul capitalului lor uman și să îmbunătățească perspectivele de încadrare în muncă ale cetățenilor lor prin reforma sistemelor de educație, formare profesională, competențe și ale piețelor muncii, în contextul politicilor de relații externe ale Uniunii;</w:t>
      </w:r>
    </w:p>
    <w:p w:rsidR="00020134" w:rsidRPr="000B7FD6" w:rsidRDefault="00020134" w:rsidP="00020134">
      <w:pPr>
        <w:pStyle w:val="NormalHanging12a"/>
        <w:rPr>
          <w:szCs w:val="24"/>
        </w:rPr>
      </w:pPr>
      <w:r w:rsidRPr="000B7FD6">
        <w:t>11.</w:t>
      </w:r>
      <w:r w:rsidRPr="000B7FD6">
        <w:tab/>
        <w:t>salută în special noul concept al Fundației de centre antreprenoriale de excelență profesională care au fost dezvoltate pentru a contribui la discuția internațională în comunitatea de studiu antreprenorial și pentru a inspira centrele de formare să răspundă mai bine nevoilor în schimbare ale cetățenilor, economiilor și societăților;</w:t>
      </w:r>
    </w:p>
    <w:p w:rsidR="00020134" w:rsidRPr="000B7FD6" w:rsidRDefault="00020134" w:rsidP="00020134">
      <w:pPr>
        <w:pStyle w:val="Normal12Hanging"/>
        <w:rPr>
          <w:b/>
          <w:i/>
          <w:szCs w:val="24"/>
        </w:rPr>
      </w:pPr>
      <w:r w:rsidRPr="000B7FD6">
        <w:rPr>
          <w:b/>
          <w:i/>
        </w:rPr>
        <w:t>Eficiența și realizările</w:t>
      </w:r>
    </w:p>
    <w:p w:rsidR="00020134" w:rsidRPr="000B7FD6" w:rsidRDefault="00020134" w:rsidP="00020134">
      <w:pPr>
        <w:pStyle w:val="Normal12Hanging"/>
        <w:rPr>
          <w:szCs w:val="24"/>
        </w:rPr>
      </w:pPr>
      <w:r w:rsidRPr="000B7FD6">
        <w:t>12.</w:t>
      </w:r>
      <w:r w:rsidRPr="000B7FD6">
        <w:tab/>
        <w:t xml:space="preserve">ia act de faptul că, în 2022, Fundația a continuat să identifice posibilități pentru a crește eficiența în operațiunile sale, de exemplu îmbunătățind fluxurile de lucru digitale și participând în mod </w:t>
      </w:r>
      <w:proofErr w:type="spellStart"/>
      <w:r w:rsidRPr="000B7FD6">
        <w:t>proactiv</w:t>
      </w:r>
      <w:proofErr w:type="spellEnd"/>
      <w:r w:rsidRPr="000B7FD6">
        <w:t xml:space="preserve"> la rețeaua agențiilor Uniunii și la diferitele grupuri de lucru ale sale; ia act, printre altele, de partajarea serviciilor contabile ale Fundației cu Agenția Europeană pentru Sănătate și Securitate în Muncă prin intermediul unui acord privind nivelul serviciilor semnat în 2022 și de evaluarea posibilității de a partaja cu Centrul </w:t>
      </w:r>
      <w:r w:rsidRPr="000B7FD6">
        <w:lastRenderedPageBreak/>
        <w:t>European pentru Dezvoltarea Formării Profesionale resursele în domeniile recrutării, securității cibernetice, EMAS, sustenabilității și ecologizării, achizițiilor publice și instrumentelor și sistemelor informatice;</w:t>
      </w:r>
    </w:p>
    <w:p w:rsidR="00020134" w:rsidRPr="000B7FD6" w:rsidRDefault="00020134" w:rsidP="00020134">
      <w:pPr>
        <w:pStyle w:val="Normal12Hanging"/>
        <w:rPr>
          <w:szCs w:val="24"/>
        </w:rPr>
      </w:pPr>
      <w:r w:rsidRPr="000B7FD6">
        <w:t>13.</w:t>
      </w:r>
      <w:r w:rsidRPr="000B7FD6">
        <w:tab/>
        <w:t>ia act de faptul că Fundația a pus în aplicare măsuri care includ domeniile consumului de energie și de gestionare a clădirilor, de exemplu închiderea birourilor în august 2022, senzori pentru iluminat și apă, temporizatoare pentru cazane, încălzire și aer condiționat; constată o creștere a eforturilor de gestionare a energiei, ceea ce a permis economii de 2 000 m</w:t>
      </w:r>
      <w:r w:rsidRPr="000B7FD6">
        <w:rPr>
          <w:vertAlign w:val="superscript"/>
        </w:rPr>
        <w:t>3</w:t>
      </w:r>
      <w:r w:rsidRPr="000B7FD6">
        <w:t xml:space="preserve"> de gaz și de 49 107 kWh de energie electrică în 2022, în pofida prezenței crescute a personalului în birouri pe tot parcursul anului, datorită formulelor de lucru hibride în vigoare;</w:t>
      </w:r>
    </w:p>
    <w:p w:rsidR="00020134" w:rsidRPr="000B7FD6" w:rsidRDefault="00020134" w:rsidP="00020134">
      <w:pPr>
        <w:pStyle w:val="Normal12Hanging"/>
        <w:rPr>
          <w:szCs w:val="24"/>
        </w:rPr>
      </w:pPr>
      <w:r w:rsidRPr="000B7FD6">
        <w:t>14.</w:t>
      </w:r>
      <w:r w:rsidRPr="000B7FD6">
        <w:tab/>
        <w:t>salută angajamentul Fundației de a adopta toate instrumentele de achiziții publice electronice ale Comisiei și faptul că procesul de achiziții publice al Fundației este complet digitalizat;</w:t>
      </w:r>
    </w:p>
    <w:p w:rsidR="00020134" w:rsidRPr="000B7FD6" w:rsidRDefault="00020134" w:rsidP="00020134">
      <w:pPr>
        <w:pStyle w:val="NormalHanging12a"/>
        <w:rPr>
          <w:szCs w:val="24"/>
        </w:rPr>
      </w:pPr>
      <w:r w:rsidRPr="000B7FD6">
        <w:t>15.</w:t>
      </w:r>
      <w:r w:rsidRPr="000B7FD6">
        <w:tab/>
        <w:t>felicită Fundația pentru faptul că a elaborat un plan instituțional de îmbunătățire a eficienței energetice și a neutralității climatice a operațiunilor sale;</w:t>
      </w:r>
    </w:p>
    <w:p w:rsidR="00020134" w:rsidRPr="000B7FD6" w:rsidRDefault="00020134" w:rsidP="00020134">
      <w:pPr>
        <w:pStyle w:val="Normal12Hanging"/>
        <w:rPr>
          <w:b/>
          <w:i/>
          <w:szCs w:val="24"/>
        </w:rPr>
      </w:pPr>
      <w:r w:rsidRPr="000B7FD6">
        <w:rPr>
          <w:b/>
          <w:i/>
        </w:rPr>
        <w:t>Politica de personal</w:t>
      </w:r>
    </w:p>
    <w:p w:rsidR="00020134" w:rsidRPr="000B7FD6" w:rsidRDefault="00020134" w:rsidP="00020134">
      <w:pPr>
        <w:spacing w:after="240"/>
        <w:ind w:left="567" w:hanging="567"/>
      </w:pPr>
      <w:r w:rsidRPr="000B7FD6">
        <w:t>16.</w:t>
      </w:r>
      <w:r w:rsidRPr="000B7FD6">
        <w:tab/>
        <w:t>observă că la 31 decembrie 2022 schema de personal era completată în proporție de 98,8 %, fiind ocupate 85 din cele 86 de posturi de funcționari și agenți temporari autorizate în cadrul bugetului Uniunii (același număr de posturi autorizate ca și în 2021); constată că în 2022 la Fundație au lucrat și 39 de agenți contractuali și un agent local;</w:t>
      </w:r>
    </w:p>
    <w:p w:rsidR="00020134" w:rsidRPr="000B7FD6" w:rsidRDefault="00020134" w:rsidP="00020134">
      <w:pPr>
        <w:pStyle w:val="NormalHanging12a"/>
      </w:pPr>
      <w:r w:rsidRPr="000B7FD6">
        <w:t>17.</w:t>
      </w:r>
      <w:r w:rsidRPr="000B7FD6">
        <w:tab/>
        <w:t>ia act de faptul că 21 state membre au fost reprezentate în rândul personalului Fundației în 2022; reamintește cu îngrijorare că echilibrul geografic reprezintă o provocare; observă că 42 % dintre membrii personalului Fundației sunt cetățeni ai statului membru în care se află Fundația; ia act de faptul că Fundația utilizează proceduri de selecție bazate pe merit, iar în prezența unor merite egale, Fundația acordă preferință candidaților din țările subreprezentate; reamintește importanța echilibrului geografic și invită Fundația să ia măsurile necesare pentru a avea o reprezentare geografică echilibrată și echitabilă, inclusiv în posturile de conducere de nivel mediu și superior, respectând, în același timp, competențele și meritele candidaților, și să informeze autoritatea care acordă descărcarea de gestiune cu privire la orice evoluție în acest sens;</w:t>
      </w:r>
    </w:p>
    <w:p w:rsidR="00020134" w:rsidRPr="000B7FD6" w:rsidRDefault="00020134" w:rsidP="00020134">
      <w:pPr>
        <w:pStyle w:val="NormalHanging12a"/>
      </w:pPr>
      <w:r w:rsidRPr="000B7FD6">
        <w:t>18.</w:t>
      </w:r>
      <w:r w:rsidRPr="000B7FD6">
        <w:tab/>
        <w:t>constată că echilibrul de gen în rândul personalului de conducere mediu și superior în 2022 a fost de patru femei din nouă persoane; observă că echilibrul de gen în rândul membrilor Consiliului de administrație este de 41 % bărbați și 59 % femei (11 și, respectiv, 16) și, în cadrul întregului personal, 33 % bărbați și 67 % femei (41 și, respectiv, 84); reamintește că este important să se asigure echilibrul de gen și invită Fundația să ia în considerare acest aspect cu ocazia viitoarelor recrutări de personal și numiri în posturile de conducere de nivel mediu și superior; solicită Comisiei și statelor membre să aibă în vedere că este important să se garanteze echilibrul de gen atunci când sunt desemnați membrii Consiliului de administrație al Fundației;</w:t>
      </w:r>
    </w:p>
    <w:p w:rsidR="00020134" w:rsidRPr="000B7FD6" w:rsidRDefault="00020134" w:rsidP="00020134">
      <w:pPr>
        <w:pStyle w:val="NormalHanging12a"/>
      </w:pPr>
      <w:r w:rsidRPr="000B7FD6">
        <w:t>19.</w:t>
      </w:r>
      <w:r w:rsidRPr="000B7FD6">
        <w:tab/>
        <w:t xml:space="preserve">constată că, potrivit observațiilor formulate în urma descărcării de gestiune pentru exercițiul financiar 2021, Fundația și-a revizuit anunțurile de posturi vacante pentru a spori atractivitatea locului de muncă și diversifică canalele de comunicare către țările </w:t>
      </w:r>
      <w:r w:rsidRPr="000B7FD6">
        <w:lastRenderedPageBreak/>
        <w:t xml:space="preserve">vizate care sunt mai puțin reprezentate prin </w:t>
      </w:r>
      <w:proofErr w:type="spellStart"/>
      <w:r w:rsidRPr="000B7FD6">
        <w:t>LinkedIn</w:t>
      </w:r>
      <w:proofErr w:type="spellEnd"/>
      <w:r w:rsidRPr="000B7FD6">
        <w:t>;</w:t>
      </w:r>
    </w:p>
    <w:p w:rsidR="00020134" w:rsidRPr="000B7FD6" w:rsidRDefault="00020134" w:rsidP="00020134">
      <w:pPr>
        <w:pStyle w:val="Normal12Hanging"/>
        <w:rPr>
          <w:szCs w:val="24"/>
        </w:rPr>
      </w:pPr>
      <w:r w:rsidRPr="000B7FD6">
        <w:t>20.</w:t>
      </w:r>
      <w:r w:rsidRPr="000B7FD6">
        <w:tab/>
        <w:t>ia act de faptul că Fundația a adoptat Carta privind diversitatea și incluziunea în decembrie 2022; constată că, în 2022, personalul a beneficiat de numeroase măsuri destinate să îmbunătățească starea de bine la locul de muncă și, în plus, au fost adoptate noi norme privind timpul de lucru și munca hibridă, care continuă să ofere personalului de a utiliza noi modalități flexibile de lucru;</w:t>
      </w:r>
    </w:p>
    <w:p w:rsidR="00020134" w:rsidRPr="000B7FD6" w:rsidRDefault="00020134" w:rsidP="00020134">
      <w:pPr>
        <w:pStyle w:val="Normal12Hanging"/>
        <w:rPr>
          <w:b/>
          <w:i/>
          <w:szCs w:val="24"/>
        </w:rPr>
      </w:pPr>
      <w:r w:rsidRPr="000B7FD6">
        <w:rPr>
          <w:b/>
          <w:i/>
        </w:rPr>
        <w:t>Achizițiile publice</w:t>
      </w:r>
    </w:p>
    <w:p w:rsidR="00020134" w:rsidRPr="000B7FD6" w:rsidRDefault="00020134" w:rsidP="00020134">
      <w:pPr>
        <w:pStyle w:val="Normal12Hanging"/>
        <w:rPr>
          <w:szCs w:val="24"/>
        </w:rPr>
      </w:pPr>
      <w:r w:rsidRPr="000B7FD6">
        <w:t>21.</w:t>
      </w:r>
      <w:r w:rsidRPr="000B7FD6">
        <w:tab/>
        <w:t>ia act de observația Curții privind atribuirea unui contract-cadru de un milion EUR pentru furnizarea de servicii de asistență pentru conținut, inițiat în 2021, potrivit căreia aceasta a fost neconformă din cauza unei abateri de la specificațiile tehnice; ia act de faptul că, pentru a-și demonstra capacitatea financiară, ofertanților li s-a solicitat să prezinte conturi închise și semnate care să indice o cifră de afaceri de cel puțin 250 000 EUR pentru ultimele două exerciții financiare (și anume 2019 și 2020); observă că cifra de afaceri a ofertantului câștigător pentru 2019 nu a atins pragul cerut, dar, cu toate acestea, Fundația a decis să nu respingă ofertantul, având în vedere cifra de afaceri mai ridicată care era indicată în conturile provizorii pentru 2021; subliniază concluzia Curții potrivit căreia procedura de evaluare și contractul conex sunt neconforme, la fel ca și toate plățile aferente, care, în 2022, s-au ridicat la 100 100 EUR. constată că în urma observației Curții, Fundația își va simplifica metodologia, care va continua să evalueze capacitatea financiară a contractanților, dar într-un mod mai adaptat la situația financiară actuală (post-pandemia de COVID-19 și războiul din Ucraina);</w:t>
      </w:r>
    </w:p>
    <w:p w:rsidR="00020134" w:rsidRPr="000B7FD6" w:rsidRDefault="00020134" w:rsidP="00020134">
      <w:pPr>
        <w:pStyle w:val="Normal12Hanging"/>
      </w:pPr>
      <w:r w:rsidRPr="000B7FD6">
        <w:t>22.</w:t>
      </w:r>
      <w:r w:rsidRPr="000B7FD6">
        <w:tab/>
        <w:t>subliniază că în cazul altei proceduri deschise de achiziție a unor servicii de sprijin în anumite țări, în valoare de patru milioane EUR, capacitatea financiară și economică a ofertanților urma să fie evaluată pe baza a două criterii: (i) o situație financiară stabilă, demonstrată printr-un set de parametri, inclusiv un profit net pozitiv; și (ii) o cifră de afaceri anuală de cel puțin un milion EUR în ultimele două exerciții financiare; observă că Fundația a atribuit contractul unui consorțiu format din cinci entități necomerciale, deși niciunul dintre membrii consorțiului nu a raportat profituri în ultimii doi ani și, în plus, a decis să nu țină seama de cerința privind cifra de afaceri, pe care ofertantul câștigător nu a îndeplinit-o, considerând-o neaplicabilă entităților necomerciale; subliniază concluzia Curții potrivit căreia Fundația a aplicat în mod incorect criteriile de selecție și că nu a fost demonstrată capacitatea economică și financiară a ofertantului câștigător; constată, în plus, că procedura de evaluare și contractul conex sunt, așadar, neconforme, la fel ca și toate plățile aferente, care, în 2022, s-au ridicat la 70 500 EUR; observă că procedura de achiziții publice în cauză viza dezvoltarea capitalului uman în Asia Centrală și că, în urma observației Curții, Fundația va continua discuțiile cu serviciile pertinente ale Comisiei cu privire la alte metode posibile de a pune în aplicare activitățile în țările sale partenere și, în paralel, își va simplifica metodologia privind evaluarea financiară pentru a viza, după caz, piața din afara Uniunii;</w:t>
      </w:r>
    </w:p>
    <w:p w:rsidR="00020134" w:rsidRPr="000B7FD6" w:rsidRDefault="00020134" w:rsidP="00020134">
      <w:pPr>
        <w:pStyle w:val="Normal12Hanging"/>
        <w:rPr>
          <w:szCs w:val="24"/>
        </w:rPr>
      </w:pPr>
      <w:r w:rsidRPr="000B7FD6">
        <w:t>23.</w:t>
      </w:r>
      <w:r w:rsidRPr="000B7FD6">
        <w:tab/>
        <w:t>reamintește că în toate procedurile de achiziții publice este important să se asigure condiții de concurență loială între ofertanți și să se procure bunuri și servicii la cel mai bun preț, respectând totodată principiile transparenței și utilizării corecte a resurselor publice, proporționalității, egalității de tratament și nediscriminării; invită Fundația să ia măsuri pentru a garanta că viitoarele proceduri de achiziții publice respectă pe deplin normele aplicabile, asigurând transparența, echitatea și integritatea procesului de licitație;</w:t>
      </w:r>
    </w:p>
    <w:p w:rsidR="00020134" w:rsidRPr="000B7FD6" w:rsidRDefault="00020134" w:rsidP="00020134">
      <w:pPr>
        <w:pStyle w:val="Normal12Hanging"/>
        <w:rPr>
          <w:szCs w:val="24"/>
        </w:rPr>
      </w:pPr>
      <w:r w:rsidRPr="000B7FD6">
        <w:lastRenderedPageBreak/>
        <w:t>24.</w:t>
      </w:r>
      <w:r w:rsidRPr="000B7FD6">
        <w:tab/>
        <w:t>ia act de faptul că, la sfârșitul anului 2022, Fundația avea deschisă o singură constatare a Curții cu privire la procedura de achiziții pentru lucrători interimari, emisă în 2018 și recunoscută anterior de Parlament în raportul său de descărcare de gestiune; constată, în plus, că Fundația a tratat această problemă la lansarea noului contract-cadru, care urmează să fie semnat în 2023;</w:t>
      </w:r>
    </w:p>
    <w:p w:rsidR="00020134" w:rsidRPr="000B7FD6" w:rsidRDefault="00020134" w:rsidP="00020134">
      <w:pPr>
        <w:pStyle w:val="Normal12Hanging"/>
        <w:rPr>
          <w:b/>
          <w:i/>
          <w:szCs w:val="24"/>
        </w:rPr>
      </w:pPr>
      <w:r w:rsidRPr="000B7FD6">
        <w:rPr>
          <w:b/>
          <w:i/>
        </w:rPr>
        <w:t>Prevenirea și gestionarea conflictelor de interese și transparența</w:t>
      </w:r>
    </w:p>
    <w:p w:rsidR="00020134" w:rsidRPr="000B7FD6" w:rsidRDefault="00020134" w:rsidP="00020134">
      <w:pPr>
        <w:pStyle w:val="Normal12Hanging"/>
        <w:rPr>
          <w:szCs w:val="24"/>
        </w:rPr>
      </w:pPr>
      <w:r w:rsidRPr="000B7FD6">
        <w:t>25.</w:t>
      </w:r>
      <w:r w:rsidRPr="000B7FD6">
        <w:tab/>
        <w:t>ia act de faptul că Fundația a publicat pe site-ul său toate declarațiile privind conflictele de interese și CV-urile membrilor consiliului de administrație și ale conducerii de nivel mediu și superior; constată, de asemenea, că Fundația publică pe site-ul său lista tuturor reuniunilor organizate de directoarea sa cu organizații și lucrători independenți;</w:t>
      </w:r>
    </w:p>
    <w:p w:rsidR="00020134" w:rsidRPr="000B7FD6" w:rsidRDefault="00020134" w:rsidP="00020134">
      <w:pPr>
        <w:pStyle w:val="Normal12Hanging"/>
        <w:rPr>
          <w:rStyle w:val="normaltextrun"/>
        </w:rPr>
      </w:pPr>
      <w:r w:rsidRPr="000B7FD6">
        <w:rPr>
          <w:rStyle w:val="normaltextrun"/>
        </w:rPr>
        <w:t>26.</w:t>
      </w:r>
      <w:r w:rsidRPr="000B7FD6">
        <w:rPr>
          <w:rStyle w:val="normaltextrun"/>
        </w:rPr>
        <w:tab/>
        <w:t>ia act de faptul că Fundația dispune de o strategie internă antifraudă, care este actualizată periodic, și ar putea avea în vedere să completeze această strategie cu o secțiune anticorupție; constată, de asemenea, că în prezent elaborează o politică privind chestiuni legate de conflictele de interese;</w:t>
      </w:r>
    </w:p>
    <w:p w:rsidR="00020134" w:rsidRPr="000B7FD6" w:rsidRDefault="00020134" w:rsidP="00020134">
      <w:pPr>
        <w:pStyle w:val="Normal12Hanging"/>
        <w:rPr>
          <w:b/>
          <w:i/>
          <w:szCs w:val="24"/>
        </w:rPr>
      </w:pPr>
      <w:r w:rsidRPr="000B7FD6">
        <w:rPr>
          <w:b/>
          <w:i/>
        </w:rPr>
        <w:t>Controalele interne</w:t>
      </w:r>
    </w:p>
    <w:p w:rsidR="00020134" w:rsidRPr="000B7FD6" w:rsidRDefault="00020134" w:rsidP="00020134">
      <w:pPr>
        <w:pStyle w:val="Normal12Hanging"/>
        <w:rPr>
          <w:b/>
          <w:i/>
          <w:szCs w:val="24"/>
        </w:rPr>
      </w:pPr>
      <w:r w:rsidRPr="000B7FD6">
        <w:t>27.</w:t>
      </w:r>
      <w:r w:rsidRPr="000B7FD6">
        <w:tab/>
        <w:t>salută avizul pozitiv emis de Serviciul de Audit Intern în raportul său final de audit din decembrie 2022 cu privire la mecanismele de complementaritate și de cooperare dintre Fundație și Comisie, subliniind competența personalului Fundației și stabilirea unui dialog structurat bianual cu scopul de a asigura o mai bună coordonare pentru pregătirea reuniunilor Consiliului de administrație; observă totuși că Serviciul de Audit Intern atrage atenția asupra a două aspecte foarte importante privind mandatul Fundației și monitorizarea indicatorilor, precum și asupra a două aspecte importante legate de alinierea priorităților și baza de date a cererilor Uniunii și îmbunătățirea procedurilor; ia act de faptul că, drept răspuns, Fundația, în colaborare cu DG EMPL, a elaborat un plan de acțiune pentru a da curs acestor recomandări, care va fi pus în aplicare în 2023;</w:t>
      </w:r>
    </w:p>
    <w:p w:rsidR="00020134" w:rsidRPr="000B7FD6" w:rsidRDefault="00020134" w:rsidP="00020134">
      <w:pPr>
        <w:pStyle w:val="Normal12Hanging"/>
        <w:rPr>
          <w:b/>
          <w:i/>
          <w:szCs w:val="24"/>
        </w:rPr>
      </w:pPr>
      <w:r w:rsidRPr="000B7FD6">
        <w:rPr>
          <w:b/>
          <w:i/>
        </w:rPr>
        <w:t>Alte observații</w:t>
      </w:r>
    </w:p>
    <w:p w:rsidR="00020134" w:rsidRPr="000B7FD6" w:rsidRDefault="00020134" w:rsidP="00020134">
      <w:pPr>
        <w:pStyle w:val="Normal12Hanging"/>
        <w:rPr>
          <w:szCs w:val="24"/>
        </w:rPr>
      </w:pPr>
      <w:r w:rsidRPr="000B7FD6">
        <w:t>28.</w:t>
      </w:r>
      <w:r w:rsidRPr="000B7FD6">
        <w:tab/>
        <w:t xml:space="preserve">ia act de atenția specială acordată de Fundație securității cibernetice și gestionării evidențelor digitale și a datelor, precum și de acțiunile întreprinse pentru a respecta orientările pertinente ale Uniunii, cum ar fi îmbunătățirea </w:t>
      </w:r>
      <w:proofErr w:type="spellStart"/>
      <w:r w:rsidRPr="000B7FD6">
        <w:t>backupului</w:t>
      </w:r>
      <w:proofErr w:type="spellEnd"/>
      <w:r w:rsidRPr="000B7FD6">
        <w:t xml:space="preserve"> și testele de penetrare a principalelor site-uri web ale Fundației; constată, în plus, că, în urma unei evaluări a riscurilor în materie de securitate a informațiilor la nivelul întregii fundații, efectuată în 2021, în 2022 a fost elaborat și convenit un plan de tratare a riscurilor;</w:t>
      </w:r>
    </w:p>
    <w:p w:rsidR="00020134" w:rsidRPr="000B7FD6" w:rsidRDefault="00020134" w:rsidP="00020134">
      <w:pPr>
        <w:pStyle w:val="Normal12Hanging"/>
        <w:rPr>
          <w:szCs w:val="24"/>
        </w:rPr>
      </w:pPr>
      <w:r w:rsidRPr="000B7FD6">
        <w:t>29.</w:t>
      </w:r>
      <w:r w:rsidRPr="000B7FD6">
        <w:tab/>
        <w:t>constată că, în 2022, Fundația a menținut atât certificarea EMAS, cât și certificarea ISO 14001 în urma unui audit de mediu efectuat în martie 2022 (și 2023);</w:t>
      </w:r>
    </w:p>
    <w:p w:rsidR="00020134" w:rsidRPr="000B7FD6" w:rsidRDefault="00020134" w:rsidP="00020134">
      <w:pPr>
        <w:pStyle w:val="NormalHanging12a"/>
      </w:pPr>
      <w:r w:rsidRPr="000B7FD6">
        <w:t>30.</w:t>
      </w:r>
      <w:r w:rsidRPr="000B7FD6">
        <w:tab/>
        <w:t xml:space="preserve">salută faptul că Fundația a continuat să pună în aplicare diferite măsuri pentru a-și spori prezența publică și online, și anume prin producerea și promovarea a 10 </w:t>
      </w:r>
      <w:proofErr w:type="spellStart"/>
      <w:r w:rsidRPr="000B7FD6">
        <w:t>podcasturi</w:t>
      </w:r>
      <w:proofErr w:type="spellEnd"/>
      <w:r w:rsidRPr="000B7FD6">
        <w:t xml:space="preserve">, a două premii internaționale și a 10 comunicări comune, prin transmiterea în direct a șapte interviuri </w:t>
      </w:r>
      <w:proofErr w:type="spellStart"/>
      <w:r w:rsidRPr="000B7FD6">
        <w:t>LearningConnects</w:t>
      </w:r>
      <w:proofErr w:type="spellEnd"/>
      <w:r w:rsidRPr="000B7FD6">
        <w:t xml:space="preserve"> și prin participarea la conferința COP a ONU pentru a-și prezenta activitatea privind competențele verzi; constată, în acest context, că prezența Fundației pe platformele de comunicare socială a fost mai marcată în 2022 față de 2021;</w:t>
      </w:r>
    </w:p>
    <w:p w:rsidR="00020134" w:rsidRPr="000B7FD6" w:rsidRDefault="00020134" w:rsidP="00020134">
      <w:pPr>
        <w:pStyle w:val="NormalHanging12a"/>
      </w:pPr>
      <w:r w:rsidRPr="000B7FD6">
        <w:t>31.</w:t>
      </w:r>
      <w:r w:rsidRPr="000B7FD6">
        <w:tab/>
        <w:t>invită din nou Fundația să asigure o mai mare transparență și răspundere publică printr-</w:t>
      </w:r>
      <w:r w:rsidRPr="000B7FD6">
        <w:lastRenderedPageBreak/>
        <w:t>o mai bună utilizare a mass-mediei și a canalelor de comunicare socială;</w:t>
      </w:r>
    </w:p>
    <w:p w:rsidR="00020134" w:rsidRPr="000B7FD6" w:rsidRDefault="00020134" w:rsidP="00020134">
      <w:pPr>
        <w:pStyle w:val="NormalCenter12a"/>
        <w:rPr>
          <w:color w:val="000000" w:themeColor="text1"/>
        </w:rPr>
      </w:pPr>
      <w:r w:rsidRPr="000B7FD6">
        <w:rPr>
          <w:color w:val="000000" w:themeColor="text1"/>
        </w:rPr>
        <w:t>°</w:t>
      </w:r>
    </w:p>
    <w:p w:rsidR="00020134" w:rsidRPr="000B7FD6" w:rsidRDefault="00020134" w:rsidP="00020134">
      <w:pPr>
        <w:pStyle w:val="NormalCenter12a"/>
      </w:pPr>
      <w:r w:rsidRPr="000B7FD6">
        <w:t>°</w:t>
      </w:r>
      <w:r w:rsidRPr="000B7FD6">
        <w:tab/>
        <w:t>°</w:t>
      </w:r>
    </w:p>
    <w:p w:rsidR="00020134" w:rsidRPr="000B7FD6" w:rsidRDefault="00020134" w:rsidP="00020134">
      <w:pPr>
        <w:pStyle w:val="NormalHanging12a"/>
        <w:widowControl/>
      </w:pPr>
      <w:r w:rsidRPr="000B7FD6">
        <w:t>32.</w:t>
      </w:r>
      <w:r w:rsidRPr="000B7FD6">
        <w:tab/>
        <w:t xml:space="preserve">face trimitere, pentru alte observații cu caracter orizontal care însoțesc decizia privind descărcarea de gestiune, la Rezoluția sa din </w:t>
      </w:r>
      <w:r w:rsidR="003D1BB5" w:rsidRPr="000B7FD6">
        <w:t>11 aprilie 2024</w:t>
      </w:r>
      <w:r w:rsidRPr="000B7FD6">
        <w:rPr>
          <w:vertAlign w:val="superscript"/>
        </w:rPr>
        <w:footnoteReference w:id="12"/>
      </w:r>
      <w:r w:rsidRPr="000B7FD6">
        <w:t xml:space="preserve"> referitoare la performanțele, gestiunea financiară și controlul agențiilor.</w:t>
      </w:r>
    </w:p>
    <w:sectPr w:rsidR="00020134" w:rsidRPr="000B7FD6" w:rsidSect="003909E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3664" w:rsidRPr="003909E5" w:rsidRDefault="00303664">
      <w:r w:rsidRPr="003909E5">
        <w:separator/>
      </w:r>
    </w:p>
  </w:endnote>
  <w:endnote w:type="continuationSeparator" w:id="0">
    <w:p w:rsidR="00303664" w:rsidRPr="003909E5" w:rsidRDefault="00303664">
      <w:r w:rsidRPr="003909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134" w:rsidRPr="003909E5" w:rsidRDefault="00020134" w:rsidP="00B67021">
    <w:pPr>
      <w:pStyle w:val="EPFooter"/>
    </w:pPr>
    <w:r w:rsidRPr="003909E5">
      <w:t>PE</w:t>
    </w:r>
    <w:r w:rsidRPr="003909E5">
      <w:rPr>
        <w:rStyle w:val="HideTWBExt"/>
      </w:rPr>
      <w:t>&lt;</w:t>
    </w:r>
    <w:proofErr w:type="spellStart"/>
    <w:r w:rsidRPr="003909E5">
      <w:rPr>
        <w:rStyle w:val="HideTWBExt"/>
      </w:rPr>
      <w:t>NoPE</w:t>
    </w:r>
    <w:proofErr w:type="spellEnd"/>
    <w:r w:rsidRPr="003909E5">
      <w:rPr>
        <w:rStyle w:val="HideTWBExt"/>
      </w:rPr>
      <w:t>&gt;</w:t>
    </w:r>
    <w:r w:rsidRPr="003909E5">
      <w:t>753.531</w:t>
    </w:r>
    <w:r w:rsidRPr="003909E5">
      <w:rPr>
        <w:rStyle w:val="HideTWBExt"/>
      </w:rPr>
      <w:t>&lt;/</w:t>
    </w:r>
    <w:proofErr w:type="spellStart"/>
    <w:r w:rsidRPr="003909E5">
      <w:rPr>
        <w:rStyle w:val="HideTWBExt"/>
      </w:rPr>
      <w:t>NoPE</w:t>
    </w:r>
    <w:proofErr w:type="spellEnd"/>
    <w:r w:rsidRPr="003909E5">
      <w:rPr>
        <w:rStyle w:val="HideTWBExt"/>
      </w:rPr>
      <w:t>&gt;&lt;Version&gt;</w:t>
    </w:r>
    <w:r w:rsidRPr="003909E5">
      <w:t>v02-00</w:t>
    </w:r>
    <w:r w:rsidRPr="003909E5">
      <w:rPr>
        <w:rStyle w:val="HideTWBExt"/>
      </w:rPr>
      <w:t>&lt;/</w:t>
    </w:r>
    <w:proofErr w:type="spellStart"/>
    <w:r w:rsidRPr="003909E5">
      <w:rPr>
        <w:rStyle w:val="HideTWBExt"/>
      </w:rPr>
      <w:t>Version</w:t>
    </w:r>
    <w:proofErr w:type="spellEnd"/>
    <w:r w:rsidRPr="003909E5">
      <w:rPr>
        <w:rStyle w:val="HideTWBExt"/>
      </w:rPr>
      <w:t>&gt;</w:t>
    </w:r>
    <w:r w:rsidRPr="003909E5">
      <w:tab/>
    </w:r>
    <w:r w:rsidRPr="003909E5">
      <w:fldChar w:fldCharType="begin"/>
    </w:r>
    <w:r w:rsidRPr="003909E5">
      <w:instrText xml:space="preserve"> PAGE  \* MERGEFORMAT </w:instrText>
    </w:r>
    <w:r w:rsidRPr="003909E5">
      <w:fldChar w:fldCharType="separate"/>
    </w:r>
    <w:r w:rsidR="003909E5" w:rsidRPr="003909E5">
      <w:rPr>
        <w:noProof/>
      </w:rPr>
      <w:t>2</w:t>
    </w:r>
    <w:r w:rsidRPr="003909E5">
      <w:fldChar w:fldCharType="end"/>
    </w:r>
    <w:r w:rsidRPr="003909E5">
      <w:t>/</w:t>
    </w:r>
    <w:r w:rsidR="000B7FD6">
      <w:fldChar w:fldCharType="begin"/>
    </w:r>
    <w:r w:rsidR="000B7FD6">
      <w:instrText xml:space="preserve"> NUMPAGES  \* MERGEFORMAT </w:instrText>
    </w:r>
    <w:r w:rsidR="000B7FD6">
      <w:fldChar w:fldCharType="separate"/>
    </w:r>
    <w:r w:rsidR="003909E5" w:rsidRPr="003909E5">
      <w:rPr>
        <w:noProof/>
      </w:rPr>
      <w:t>5</w:t>
    </w:r>
    <w:r w:rsidR="000B7FD6">
      <w:rPr>
        <w:noProof/>
      </w:rPr>
      <w:fldChar w:fldCharType="end"/>
    </w:r>
    <w:r w:rsidRPr="003909E5">
      <w:tab/>
    </w:r>
    <w:r w:rsidRPr="003909E5">
      <w:rPr>
        <w:rStyle w:val="HideTWBExt"/>
      </w:rPr>
      <w:t>&lt;PathFdR&gt;</w:t>
    </w:r>
    <w:r w:rsidRPr="003909E5">
      <w:t>RR\1298972RO.docx</w:t>
    </w:r>
    <w:r w:rsidRPr="003909E5">
      <w:rPr>
        <w:rStyle w:val="HideTWBExt"/>
      </w:rPr>
      <w:t>&lt;/</w:t>
    </w:r>
    <w:proofErr w:type="spellStart"/>
    <w:r w:rsidRPr="003909E5">
      <w:rPr>
        <w:rStyle w:val="HideTWBExt"/>
      </w:rPr>
      <w:t>PathFdR</w:t>
    </w:r>
    <w:proofErr w:type="spellEnd"/>
    <w:r w:rsidRPr="003909E5">
      <w:rPr>
        <w:rStyle w:val="HideTWBExt"/>
      </w:rPr>
      <w:t>&gt;</w:t>
    </w:r>
  </w:p>
  <w:p w:rsidR="00020134" w:rsidRPr="003909E5" w:rsidRDefault="00020134" w:rsidP="00B67021">
    <w:pPr>
      <w:pStyle w:val="EPFooter2"/>
    </w:pPr>
    <w:r w:rsidRPr="003909E5">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134" w:rsidRPr="003909E5" w:rsidRDefault="00020134" w:rsidP="00B67021">
    <w:pPr>
      <w:pStyle w:val="EPFooter"/>
    </w:pPr>
    <w:r w:rsidRPr="003909E5">
      <w:rPr>
        <w:rStyle w:val="HideTWBExt"/>
      </w:rPr>
      <w:t>&lt;PathFdR&gt;</w:t>
    </w:r>
    <w:r w:rsidRPr="003909E5">
      <w:t>RR\1298972RO.docx</w:t>
    </w:r>
    <w:r w:rsidRPr="003909E5">
      <w:rPr>
        <w:rStyle w:val="HideTWBExt"/>
      </w:rPr>
      <w:t>&lt;/</w:t>
    </w:r>
    <w:proofErr w:type="spellStart"/>
    <w:r w:rsidRPr="003909E5">
      <w:rPr>
        <w:rStyle w:val="HideTWBExt"/>
      </w:rPr>
      <w:t>PathFdR</w:t>
    </w:r>
    <w:proofErr w:type="spellEnd"/>
    <w:r w:rsidRPr="003909E5">
      <w:rPr>
        <w:rStyle w:val="HideTWBExt"/>
      </w:rPr>
      <w:t>&gt;</w:t>
    </w:r>
    <w:r w:rsidRPr="003909E5">
      <w:tab/>
    </w:r>
    <w:r w:rsidRPr="003909E5">
      <w:tab/>
      <w:t>PE</w:t>
    </w:r>
    <w:r w:rsidRPr="003909E5">
      <w:rPr>
        <w:rStyle w:val="HideTWBExt"/>
      </w:rPr>
      <w:t>&lt;</w:t>
    </w:r>
    <w:proofErr w:type="spellStart"/>
    <w:r w:rsidRPr="003909E5">
      <w:rPr>
        <w:rStyle w:val="HideTWBExt"/>
      </w:rPr>
      <w:t>NoPE</w:t>
    </w:r>
    <w:proofErr w:type="spellEnd"/>
    <w:r w:rsidRPr="003909E5">
      <w:rPr>
        <w:rStyle w:val="HideTWBExt"/>
      </w:rPr>
      <w:t>&gt;</w:t>
    </w:r>
    <w:r w:rsidRPr="003909E5">
      <w:t>753.531</w:t>
    </w:r>
    <w:r w:rsidRPr="003909E5">
      <w:rPr>
        <w:rStyle w:val="HideTWBExt"/>
      </w:rPr>
      <w:t>&lt;/</w:t>
    </w:r>
    <w:proofErr w:type="spellStart"/>
    <w:r w:rsidRPr="003909E5">
      <w:rPr>
        <w:rStyle w:val="HideTWBExt"/>
      </w:rPr>
      <w:t>NoPE</w:t>
    </w:r>
    <w:proofErr w:type="spellEnd"/>
    <w:r w:rsidRPr="003909E5">
      <w:rPr>
        <w:rStyle w:val="HideTWBExt"/>
      </w:rPr>
      <w:t>&gt;&lt;Version&gt;</w:t>
    </w:r>
    <w:r w:rsidRPr="003909E5">
      <w:t>v02-00</w:t>
    </w:r>
    <w:r w:rsidRPr="003909E5">
      <w:rPr>
        <w:rStyle w:val="HideTWBExt"/>
      </w:rPr>
      <w:t>&lt;/</w:t>
    </w:r>
    <w:proofErr w:type="spellStart"/>
    <w:r w:rsidRPr="003909E5">
      <w:rPr>
        <w:rStyle w:val="HideTWBExt"/>
      </w:rPr>
      <w:t>Version</w:t>
    </w:r>
    <w:proofErr w:type="spellEnd"/>
    <w:r w:rsidRPr="003909E5">
      <w:rPr>
        <w:rStyle w:val="HideTWBExt"/>
      </w:rPr>
      <w:t>&gt;</w:t>
    </w:r>
  </w:p>
  <w:p w:rsidR="00020134" w:rsidRPr="003909E5" w:rsidRDefault="00020134" w:rsidP="00B67021">
    <w:pPr>
      <w:pStyle w:val="EPFooter2"/>
    </w:pPr>
    <w:r w:rsidRPr="003909E5">
      <w:t>RO</w:t>
    </w:r>
    <w:r w:rsidRPr="003909E5">
      <w:tab/>
    </w:r>
    <w:r w:rsidRPr="003909E5">
      <w:rPr>
        <w:b w:val="0"/>
        <w:i/>
        <w:color w:val="C0C0C0"/>
        <w:sz w:val="22"/>
      </w:rPr>
      <w:t>Unită în diversitate</w:t>
    </w:r>
    <w:r w:rsidRPr="003909E5">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09E5"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09E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09E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3664" w:rsidRPr="003909E5" w:rsidRDefault="00303664">
      <w:r w:rsidRPr="003909E5">
        <w:separator/>
      </w:r>
    </w:p>
  </w:footnote>
  <w:footnote w:type="continuationSeparator" w:id="0">
    <w:p w:rsidR="00303664" w:rsidRPr="003909E5" w:rsidRDefault="00303664">
      <w:r w:rsidRPr="003909E5">
        <w:continuationSeparator/>
      </w:r>
    </w:p>
  </w:footnote>
  <w:footnote w:id="1">
    <w:p w:rsidR="00020134" w:rsidRPr="000B7FD6" w:rsidRDefault="00020134" w:rsidP="003909E5">
      <w:pPr>
        <w:pStyle w:val="FootnoteText"/>
        <w:ind w:left="567" w:hanging="567"/>
        <w:rPr>
          <w:sz w:val="24"/>
          <w:lang w:val="ro-RO"/>
        </w:rPr>
      </w:pPr>
      <w:r w:rsidRPr="000B7FD6">
        <w:rPr>
          <w:rStyle w:val="FootnoteReference"/>
          <w:sz w:val="24"/>
          <w:lang w:val="ro-RO"/>
        </w:rPr>
        <w:footnoteRef/>
      </w:r>
      <w:r w:rsidR="003909E5" w:rsidRPr="000B7FD6">
        <w:rPr>
          <w:sz w:val="24"/>
          <w:lang w:val="ro-RO"/>
        </w:rPr>
        <w:t xml:space="preserve"> </w:t>
      </w:r>
      <w:r w:rsidR="003909E5" w:rsidRPr="000B7FD6">
        <w:rPr>
          <w:sz w:val="24"/>
          <w:lang w:val="ro-RO"/>
        </w:rPr>
        <w:tab/>
      </w:r>
      <w:r w:rsidRPr="000B7FD6">
        <w:rPr>
          <w:sz w:val="24"/>
          <w:lang w:val="ro-RO"/>
        </w:rPr>
        <w:t>JO C, C/2023/594, 27.10.2023.</w:t>
      </w:r>
    </w:p>
  </w:footnote>
  <w:footnote w:id="2">
    <w:p w:rsidR="00020134" w:rsidRPr="000B7FD6" w:rsidRDefault="00020134" w:rsidP="003909E5">
      <w:pPr>
        <w:pStyle w:val="FootnoteText"/>
        <w:ind w:left="567" w:hanging="567"/>
        <w:rPr>
          <w:sz w:val="24"/>
          <w:lang w:val="ro-RO"/>
        </w:rPr>
      </w:pPr>
      <w:r w:rsidRPr="000B7FD6">
        <w:rPr>
          <w:rStyle w:val="FootnoteReference"/>
          <w:sz w:val="24"/>
          <w:lang w:val="ro-RO"/>
        </w:rPr>
        <w:footnoteRef/>
      </w:r>
      <w:r w:rsidR="003909E5" w:rsidRPr="000B7FD6">
        <w:rPr>
          <w:sz w:val="24"/>
          <w:lang w:val="ro-RO"/>
        </w:rPr>
        <w:t xml:space="preserve"> </w:t>
      </w:r>
      <w:r w:rsidR="003909E5" w:rsidRPr="000B7FD6">
        <w:rPr>
          <w:sz w:val="24"/>
          <w:lang w:val="ro-RO"/>
        </w:rPr>
        <w:tab/>
      </w:r>
      <w:r w:rsidRPr="000B7FD6">
        <w:rPr>
          <w:sz w:val="24"/>
          <w:lang w:val="ro-RO"/>
        </w:rPr>
        <w:t>JO C, C/2023/112, 12.10.2023.</w:t>
      </w:r>
    </w:p>
  </w:footnote>
  <w:footnote w:id="3">
    <w:p w:rsidR="00020134" w:rsidRPr="000B7FD6" w:rsidRDefault="00020134" w:rsidP="003909E5">
      <w:pPr>
        <w:pStyle w:val="FootnoteText"/>
        <w:ind w:left="567" w:hanging="567"/>
        <w:rPr>
          <w:sz w:val="24"/>
          <w:lang w:val="ro-RO"/>
        </w:rPr>
      </w:pPr>
      <w:r w:rsidRPr="000B7FD6">
        <w:rPr>
          <w:rStyle w:val="FootnoteReference"/>
          <w:sz w:val="24"/>
          <w:lang w:val="ro-RO"/>
        </w:rPr>
        <w:footnoteRef/>
      </w:r>
      <w:r w:rsidR="003909E5" w:rsidRPr="000B7FD6">
        <w:rPr>
          <w:sz w:val="24"/>
          <w:lang w:val="ro-RO"/>
        </w:rPr>
        <w:t xml:space="preserve"> </w:t>
      </w:r>
      <w:r w:rsidR="003909E5" w:rsidRPr="000B7FD6">
        <w:rPr>
          <w:sz w:val="24"/>
          <w:lang w:val="ro-RO"/>
        </w:rPr>
        <w:tab/>
      </w:r>
      <w:r w:rsidRPr="000B7FD6">
        <w:rPr>
          <w:sz w:val="24"/>
          <w:lang w:val="ro-RO"/>
        </w:rPr>
        <w:t>JO L 193, 30.7.2018, p. 1.</w:t>
      </w:r>
    </w:p>
  </w:footnote>
  <w:footnote w:id="4">
    <w:p w:rsidR="00020134" w:rsidRPr="000B7FD6" w:rsidRDefault="00020134" w:rsidP="003909E5">
      <w:pPr>
        <w:pStyle w:val="FootnoteText"/>
        <w:ind w:left="567" w:hanging="567"/>
        <w:rPr>
          <w:sz w:val="24"/>
          <w:lang w:val="ro-RO"/>
        </w:rPr>
      </w:pPr>
      <w:r w:rsidRPr="000B7FD6">
        <w:rPr>
          <w:rStyle w:val="FootnoteReference"/>
          <w:sz w:val="24"/>
          <w:lang w:val="ro-RO"/>
        </w:rPr>
        <w:footnoteRef/>
      </w:r>
      <w:r w:rsidR="003909E5" w:rsidRPr="000B7FD6">
        <w:rPr>
          <w:sz w:val="24"/>
          <w:lang w:val="ro-RO"/>
        </w:rPr>
        <w:t xml:space="preserve"> </w:t>
      </w:r>
      <w:r w:rsidR="003909E5" w:rsidRPr="000B7FD6">
        <w:rPr>
          <w:sz w:val="24"/>
          <w:lang w:val="ro-RO"/>
        </w:rPr>
        <w:tab/>
      </w:r>
      <w:r w:rsidRPr="000B7FD6">
        <w:rPr>
          <w:sz w:val="24"/>
          <w:lang w:val="ro-RO"/>
        </w:rPr>
        <w:t>JO L 354, 31.12.2008, p. 82.</w:t>
      </w:r>
    </w:p>
  </w:footnote>
  <w:footnote w:id="5">
    <w:p w:rsidR="00020134" w:rsidRPr="000B7FD6" w:rsidRDefault="00020134" w:rsidP="003909E5">
      <w:pPr>
        <w:pStyle w:val="FootnoteText"/>
        <w:ind w:left="567" w:hanging="567"/>
        <w:rPr>
          <w:sz w:val="24"/>
          <w:szCs w:val="24"/>
          <w:lang w:val="ro-RO"/>
        </w:rPr>
      </w:pPr>
      <w:r w:rsidRPr="000B7FD6">
        <w:rPr>
          <w:rStyle w:val="FootnoteReference"/>
          <w:sz w:val="24"/>
          <w:lang w:val="ro-RO"/>
        </w:rPr>
        <w:footnoteRef/>
      </w:r>
      <w:r w:rsidR="003909E5" w:rsidRPr="000B7FD6">
        <w:rPr>
          <w:sz w:val="24"/>
          <w:lang w:val="ro-RO"/>
        </w:rPr>
        <w:t xml:space="preserve"> </w:t>
      </w:r>
      <w:r w:rsidR="003909E5" w:rsidRPr="000B7FD6">
        <w:rPr>
          <w:sz w:val="24"/>
          <w:lang w:val="ro-RO"/>
        </w:rPr>
        <w:tab/>
      </w:r>
      <w:r w:rsidRPr="000B7FD6">
        <w:rPr>
          <w:sz w:val="24"/>
          <w:lang w:val="ro-RO"/>
        </w:rPr>
        <w:t>JO L 122, 10.5.2019, p. 1.</w:t>
      </w:r>
    </w:p>
  </w:footnote>
  <w:footnote w:id="6">
    <w:p w:rsidR="00020134" w:rsidRPr="000B7FD6" w:rsidRDefault="00020134" w:rsidP="003909E5">
      <w:pPr>
        <w:pStyle w:val="FootnoteText"/>
        <w:ind w:left="567" w:hanging="567"/>
        <w:rPr>
          <w:sz w:val="24"/>
          <w:lang w:val="ro-RO"/>
        </w:rPr>
      </w:pPr>
      <w:r w:rsidRPr="000B7FD6">
        <w:rPr>
          <w:rStyle w:val="FootnoteReference"/>
          <w:sz w:val="24"/>
          <w:lang w:val="ro-RO"/>
        </w:rPr>
        <w:footnoteRef/>
      </w:r>
      <w:r w:rsidR="003909E5" w:rsidRPr="000B7FD6">
        <w:rPr>
          <w:sz w:val="24"/>
          <w:lang w:val="ro-RO"/>
        </w:rPr>
        <w:t xml:space="preserve"> </w:t>
      </w:r>
      <w:r w:rsidR="003909E5" w:rsidRPr="000B7FD6">
        <w:rPr>
          <w:sz w:val="24"/>
          <w:lang w:val="ro-RO"/>
        </w:rPr>
        <w:tab/>
      </w:r>
      <w:r w:rsidRPr="000B7FD6">
        <w:rPr>
          <w:sz w:val="24"/>
          <w:lang w:val="ro-RO"/>
        </w:rPr>
        <w:t>JO C, C/2023/594, 27.10.2023.</w:t>
      </w:r>
    </w:p>
  </w:footnote>
  <w:footnote w:id="7">
    <w:p w:rsidR="00020134" w:rsidRPr="000B7FD6" w:rsidRDefault="00020134" w:rsidP="003909E5">
      <w:pPr>
        <w:pStyle w:val="FootnoteText"/>
        <w:ind w:left="567" w:hanging="567"/>
        <w:rPr>
          <w:sz w:val="24"/>
          <w:lang w:val="ro-RO"/>
        </w:rPr>
      </w:pPr>
      <w:r w:rsidRPr="000B7FD6">
        <w:rPr>
          <w:rStyle w:val="FootnoteReference"/>
          <w:sz w:val="24"/>
          <w:lang w:val="ro-RO"/>
        </w:rPr>
        <w:footnoteRef/>
      </w:r>
      <w:r w:rsidR="003909E5" w:rsidRPr="000B7FD6">
        <w:rPr>
          <w:sz w:val="24"/>
          <w:lang w:val="ro-RO"/>
        </w:rPr>
        <w:t xml:space="preserve"> </w:t>
      </w:r>
      <w:r w:rsidR="003909E5" w:rsidRPr="000B7FD6">
        <w:rPr>
          <w:sz w:val="24"/>
          <w:lang w:val="ro-RO"/>
        </w:rPr>
        <w:tab/>
      </w:r>
      <w:r w:rsidRPr="000B7FD6">
        <w:rPr>
          <w:sz w:val="24"/>
          <w:lang w:val="ro-RO"/>
        </w:rPr>
        <w:t>JO C, C/2023/112, 12.10.2023.</w:t>
      </w:r>
    </w:p>
  </w:footnote>
  <w:footnote w:id="8">
    <w:p w:rsidR="00020134" w:rsidRPr="000B7FD6" w:rsidRDefault="00020134" w:rsidP="003909E5">
      <w:pPr>
        <w:pStyle w:val="FootnoteText"/>
        <w:ind w:left="567" w:hanging="567"/>
        <w:rPr>
          <w:sz w:val="24"/>
          <w:lang w:val="ro-RO"/>
        </w:rPr>
      </w:pPr>
      <w:r w:rsidRPr="000B7FD6">
        <w:rPr>
          <w:rStyle w:val="FootnoteReference"/>
          <w:sz w:val="24"/>
          <w:lang w:val="ro-RO"/>
        </w:rPr>
        <w:footnoteRef/>
      </w:r>
      <w:r w:rsidR="003909E5" w:rsidRPr="000B7FD6">
        <w:rPr>
          <w:sz w:val="24"/>
          <w:lang w:val="ro-RO"/>
        </w:rPr>
        <w:t xml:space="preserve"> </w:t>
      </w:r>
      <w:r w:rsidR="003909E5" w:rsidRPr="000B7FD6">
        <w:rPr>
          <w:sz w:val="24"/>
          <w:lang w:val="ro-RO"/>
        </w:rPr>
        <w:tab/>
      </w:r>
      <w:r w:rsidRPr="000B7FD6">
        <w:rPr>
          <w:sz w:val="24"/>
          <w:lang w:val="ro-RO"/>
        </w:rPr>
        <w:t>JO L 193, 30.7.2018, p. 1.</w:t>
      </w:r>
    </w:p>
  </w:footnote>
  <w:footnote w:id="9">
    <w:p w:rsidR="00020134" w:rsidRPr="000B7FD6" w:rsidRDefault="00020134" w:rsidP="003909E5">
      <w:pPr>
        <w:pStyle w:val="FootnoteText"/>
        <w:ind w:left="567" w:hanging="567"/>
        <w:rPr>
          <w:sz w:val="24"/>
          <w:lang w:val="ro-RO"/>
        </w:rPr>
      </w:pPr>
      <w:r w:rsidRPr="000B7FD6">
        <w:rPr>
          <w:rStyle w:val="FootnoteReference"/>
          <w:sz w:val="24"/>
          <w:lang w:val="ro-RO"/>
        </w:rPr>
        <w:footnoteRef/>
      </w:r>
      <w:r w:rsidR="003909E5" w:rsidRPr="000B7FD6">
        <w:rPr>
          <w:sz w:val="24"/>
          <w:lang w:val="ro-RO"/>
        </w:rPr>
        <w:t xml:space="preserve"> </w:t>
      </w:r>
      <w:r w:rsidR="003909E5" w:rsidRPr="000B7FD6">
        <w:rPr>
          <w:sz w:val="24"/>
          <w:lang w:val="ro-RO"/>
        </w:rPr>
        <w:tab/>
      </w:r>
      <w:r w:rsidRPr="000B7FD6">
        <w:rPr>
          <w:sz w:val="24"/>
          <w:lang w:val="ro-RO"/>
        </w:rPr>
        <w:t>JO L 354, 31.12.2008, p. 82.</w:t>
      </w:r>
    </w:p>
  </w:footnote>
  <w:footnote w:id="10">
    <w:p w:rsidR="00020134" w:rsidRPr="000B7FD6" w:rsidRDefault="00020134" w:rsidP="003909E5">
      <w:pPr>
        <w:pStyle w:val="FootnoteText"/>
        <w:ind w:left="567" w:hanging="567"/>
        <w:rPr>
          <w:sz w:val="24"/>
          <w:szCs w:val="24"/>
          <w:lang w:val="ro-RO"/>
        </w:rPr>
      </w:pPr>
      <w:r w:rsidRPr="000B7FD6">
        <w:rPr>
          <w:rStyle w:val="FootnoteReference"/>
          <w:sz w:val="24"/>
          <w:lang w:val="ro-RO"/>
        </w:rPr>
        <w:footnoteRef/>
      </w:r>
      <w:r w:rsidR="003909E5" w:rsidRPr="000B7FD6">
        <w:rPr>
          <w:sz w:val="24"/>
          <w:lang w:val="ro-RO"/>
        </w:rPr>
        <w:t xml:space="preserve"> </w:t>
      </w:r>
      <w:r w:rsidR="003909E5" w:rsidRPr="000B7FD6">
        <w:rPr>
          <w:sz w:val="24"/>
          <w:lang w:val="ro-RO"/>
        </w:rPr>
        <w:tab/>
      </w:r>
      <w:r w:rsidRPr="000B7FD6">
        <w:rPr>
          <w:sz w:val="24"/>
          <w:lang w:val="ro-RO"/>
        </w:rPr>
        <w:t>JO L 122, 10.5.2019, p. 1.</w:t>
      </w:r>
    </w:p>
  </w:footnote>
  <w:footnote w:id="11">
    <w:p w:rsidR="00020134" w:rsidRPr="000B7FD6" w:rsidRDefault="00020134" w:rsidP="003909E5">
      <w:pPr>
        <w:pStyle w:val="FootnoteText"/>
        <w:ind w:left="567" w:hanging="567"/>
        <w:rPr>
          <w:sz w:val="24"/>
          <w:lang w:val="ro-RO"/>
        </w:rPr>
      </w:pPr>
      <w:r w:rsidRPr="000B7FD6">
        <w:rPr>
          <w:rStyle w:val="FootnoteReference"/>
          <w:sz w:val="24"/>
          <w:lang w:val="ro-RO"/>
        </w:rPr>
        <w:footnoteRef/>
      </w:r>
      <w:r w:rsidR="003909E5" w:rsidRPr="000B7FD6">
        <w:rPr>
          <w:sz w:val="24"/>
          <w:lang w:val="ro-RO"/>
        </w:rPr>
        <w:t xml:space="preserve"> </w:t>
      </w:r>
      <w:r w:rsidR="003909E5" w:rsidRPr="000B7FD6">
        <w:rPr>
          <w:sz w:val="24"/>
          <w:lang w:val="ro-RO"/>
        </w:rPr>
        <w:tab/>
      </w:r>
      <w:r w:rsidRPr="000B7FD6">
        <w:rPr>
          <w:sz w:val="24"/>
          <w:lang w:val="ro-RO"/>
        </w:rPr>
        <w:t>JO C 38, 31.1.2023</w:t>
      </w:r>
      <w:r w:rsidRPr="000B7FD6">
        <w:rPr>
          <w:color w:val="000000"/>
          <w:sz w:val="24"/>
          <w:lang w:val="ro-RO"/>
        </w:rPr>
        <w:t>, p. 13.</w:t>
      </w:r>
    </w:p>
  </w:footnote>
  <w:footnote w:id="12">
    <w:p w:rsidR="00020134" w:rsidRPr="003909E5" w:rsidRDefault="00020134" w:rsidP="003909E5">
      <w:pPr>
        <w:pStyle w:val="FootnoteText"/>
        <w:ind w:left="567" w:hanging="567"/>
        <w:rPr>
          <w:sz w:val="24"/>
          <w:lang w:val="ro-RO"/>
        </w:rPr>
      </w:pPr>
      <w:r w:rsidRPr="000B7FD6">
        <w:rPr>
          <w:rStyle w:val="FootnoteReference"/>
          <w:sz w:val="24"/>
          <w:lang w:val="ro-RO"/>
        </w:rPr>
        <w:footnoteRef/>
      </w:r>
      <w:r w:rsidR="003909E5" w:rsidRPr="000B7FD6">
        <w:rPr>
          <w:sz w:val="24"/>
          <w:lang w:val="ro-RO"/>
        </w:rPr>
        <w:t xml:space="preserve"> </w:t>
      </w:r>
      <w:r w:rsidR="003909E5" w:rsidRPr="000B7FD6">
        <w:rPr>
          <w:sz w:val="24"/>
          <w:lang w:val="ro-RO"/>
        </w:rPr>
        <w:tab/>
      </w:r>
      <w:r w:rsidRPr="000B7FD6">
        <w:rPr>
          <w:sz w:val="24"/>
          <w:lang w:val="ro-RO"/>
        </w:rPr>
        <w:t>Texte adoptate, P9_TA(2024)</w:t>
      </w:r>
      <w:r w:rsidR="000B7FD6" w:rsidRPr="000B7FD6">
        <w:rPr>
          <w:sz w:val="24"/>
          <w:lang w:val="ro-RO"/>
        </w:rPr>
        <w:t>0</w:t>
      </w:r>
      <w:r w:rsidR="000B7FD6" w:rsidRPr="000B7FD6">
        <w:rPr>
          <w:sz w:val="24"/>
          <w:lang w:val="ro-RO"/>
        </w:rPr>
        <w:t>280</w:t>
      </w:r>
      <w:r w:rsidRPr="000B7FD6">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09E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09E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09E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4/2024"/>
    <w:docVar w:name="dvlangue" w:val="RO"/>
    <w:docVar w:name="dvnumam" w:val="0"/>
    <w:docVar w:name="dvpe" w:val="753.531"/>
    <w:docVar w:name="dvrapporteur" w:val="Raportor: "/>
    <w:docVar w:name="dvtitre" w:val="1. Decizia Parlamentului European din 11 aprilie 2024 privind descărcarea de gestiune pentru execuția bugetului Fundației Europene de Formare aferent exercițiului financiar 2022(2023/2163(DEC))"/>
  </w:docVars>
  <w:rsids>
    <w:rsidRoot w:val="00303664"/>
    <w:rsid w:val="00002272"/>
    <w:rsid w:val="00020134"/>
    <w:rsid w:val="00064002"/>
    <w:rsid w:val="000677B9"/>
    <w:rsid w:val="000831BA"/>
    <w:rsid w:val="000A42CC"/>
    <w:rsid w:val="000B7FD6"/>
    <w:rsid w:val="000E7DD9"/>
    <w:rsid w:val="0010095E"/>
    <w:rsid w:val="00125B37"/>
    <w:rsid w:val="00187494"/>
    <w:rsid w:val="001F32AE"/>
    <w:rsid w:val="002767FF"/>
    <w:rsid w:val="002B18FE"/>
    <w:rsid w:val="002B5493"/>
    <w:rsid w:val="00303664"/>
    <w:rsid w:val="00343214"/>
    <w:rsid w:val="00361C00"/>
    <w:rsid w:val="003909E5"/>
    <w:rsid w:val="00395FA1"/>
    <w:rsid w:val="003D1BB5"/>
    <w:rsid w:val="003E15D4"/>
    <w:rsid w:val="00411CCE"/>
    <w:rsid w:val="0041666E"/>
    <w:rsid w:val="00421060"/>
    <w:rsid w:val="00427AC4"/>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70E9"/>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2B5C4C"/>
  <w15:chartTrackingRefBased/>
  <w15:docId w15:val="{9BEDDD63-8785-483B-BA15-7B9E15FD7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2013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20134"/>
    <w:pPr>
      <w:spacing w:before="480" w:after="240"/>
    </w:pPr>
  </w:style>
  <w:style w:type="paragraph" w:customStyle="1" w:styleId="PageHeading">
    <w:name w:val="PageHeading"/>
    <w:basedOn w:val="Normal"/>
    <w:rsid w:val="00020134"/>
    <w:pPr>
      <w:keepNext/>
      <w:spacing w:after="480"/>
      <w:jc w:val="center"/>
    </w:pPr>
    <w:rPr>
      <w:rFonts w:ascii="Arial" w:hAnsi="Arial" w:cs="Arial"/>
      <w:b/>
    </w:rPr>
  </w:style>
  <w:style w:type="paragraph" w:customStyle="1" w:styleId="NormalBold">
    <w:name w:val="NormalBold"/>
    <w:basedOn w:val="Normal"/>
    <w:rsid w:val="00020134"/>
    <w:rPr>
      <w:b/>
    </w:rPr>
  </w:style>
  <w:style w:type="paragraph" w:customStyle="1" w:styleId="NormalHanging12a">
    <w:name w:val="NormalHanging12a"/>
    <w:basedOn w:val="Normal"/>
    <w:link w:val="NormalHanging12aChar"/>
    <w:rsid w:val="00020134"/>
    <w:pPr>
      <w:spacing w:after="240"/>
      <w:ind w:left="567" w:hanging="567"/>
    </w:pPr>
  </w:style>
  <w:style w:type="paragraph" w:customStyle="1" w:styleId="NormalCenter12a">
    <w:name w:val="NormalCenter12a"/>
    <w:basedOn w:val="Normal"/>
    <w:rsid w:val="00020134"/>
    <w:pPr>
      <w:spacing w:after="240"/>
      <w:jc w:val="center"/>
    </w:pPr>
  </w:style>
  <w:style w:type="paragraph" w:styleId="Header">
    <w:name w:val="header"/>
    <w:basedOn w:val="Normal"/>
    <w:link w:val="HeaderChar"/>
    <w:rsid w:val="00020134"/>
    <w:pPr>
      <w:tabs>
        <w:tab w:val="center" w:pos="4513"/>
        <w:tab w:val="right" w:pos="9026"/>
      </w:tabs>
    </w:pPr>
  </w:style>
  <w:style w:type="character" w:customStyle="1" w:styleId="HeaderChar">
    <w:name w:val="Header Char"/>
    <w:basedOn w:val="DefaultParagraphFont"/>
    <w:link w:val="Header"/>
    <w:rsid w:val="00020134"/>
    <w:rPr>
      <w:sz w:val="24"/>
      <w:lang w:val="ro-RO"/>
    </w:rPr>
  </w:style>
  <w:style w:type="paragraph" w:customStyle="1" w:styleId="EPFooter">
    <w:name w:val="EPFooter"/>
    <w:basedOn w:val="Normal"/>
    <w:rsid w:val="00020134"/>
    <w:pPr>
      <w:tabs>
        <w:tab w:val="center" w:pos="4535"/>
        <w:tab w:val="right" w:pos="9071"/>
      </w:tabs>
      <w:spacing w:before="240" w:after="240"/>
    </w:pPr>
    <w:rPr>
      <w:color w:val="010000"/>
      <w:sz w:val="22"/>
    </w:rPr>
  </w:style>
  <w:style w:type="paragraph" w:customStyle="1" w:styleId="Normal12Hanging">
    <w:name w:val="Normal12Hanging"/>
    <w:basedOn w:val="Normal"/>
    <w:rsid w:val="00020134"/>
    <w:pPr>
      <w:spacing w:after="240"/>
      <w:ind w:left="567" w:hanging="567"/>
    </w:pPr>
  </w:style>
  <w:style w:type="character" w:customStyle="1" w:styleId="normaltextrun">
    <w:name w:val="normaltextrun"/>
    <w:basedOn w:val="DefaultParagraphFont"/>
    <w:rsid w:val="00020134"/>
  </w:style>
  <w:style w:type="character" w:customStyle="1" w:styleId="NormalHanging12aChar">
    <w:name w:val="NormalHanging12a Char"/>
    <w:link w:val="NormalHanging12a"/>
    <w:locked/>
    <w:rsid w:val="00020134"/>
    <w:rPr>
      <w:sz w:val="24"/>
      <w:lang w:val="ro-RO"/>
    </w:rPr>
  </w:style>
  <w:style w:type="paragraph" w:customStyle="1" w:styleId="Normal24a">
    <w:name w:val="Normal24a"/>
    <w:basedOn w:val="Normal"/>
    <w:rsid w:val="00020134"/>
    <w:pPr>
      <w:spacing w:after="480"/>
    </w:pPr>
  </w:style>
  <w:style w:type="paragraph" w:customStyle="1" w:styleId="Normal12a">
    <w:name w:val="Normal12a"/>
    <w:basedOn w:val="Normal"/>
    <w:rsid w:val="00020134"/>
    <w:pPr>
      <w:spacing w:after="240"/>
    </w:pPr>
  </w:style>
  <w:style w:type="paragraph" w:customStyle="1" w:styleId="PageHeadingNotTOC">
    <w:name w:val="PageHeadingNotTOC"/>
    <w:basedOn w:val="Normal"/>
    <w:rsid w:val="00020134"/>
    <w:pPr>
      <w:keepNext/>
      <w:spacing w:after="480"/>
      <w:jc w:val="center"/>
    </w:pPr>
    <w:rPr>
      <w:rFonts w:ascii="Arial" w:hAnsi="Arial" w:cs="Arial"/>
      <w:b/>
    </w:rPr>
  </w:style>
  <w:style w:type="paragraph" w:customStyle="1" w:styleId="RollCallSymbols14pt">
    <w:name w:val="RollCallSymbols14pt"/>
    <w:basedOn w:val="Normal"/>
    <w:rsid w:val="00020134"/>
    <w:pPr>
      <w:spacing w:before="120" w:after="120"/>
      <w:jc w:val="center"/>
    </w:pPr>
    <w:rPr>
      <w:rFonts w:ascii="Arial" w:hAnsi="Arial"/>
      <w:b/>
      <w:bCs/>
      <w:snapToGrid w:val="0"/>
      <w:sz w:val="28"/>
      <w:lang w:eastAsia="en-US"/>
    </w:rPr>
  </w:style>
  <w:style w:type="paragraph" w:customStyle="1" w:styleId="RollCallVotes">
    <w:name w:val="RollCallVotes"/>
    <w:basedOn w:val="Normal"/>
    <w:rsid w:val="00020134"/>
    <w:pPr>
      <w:spacing w:before="120" w:after="120"/>
      <w:jc w:val="center"/>
    </w:pPr>
    <w:rPr>
      <w:b/>
      <w:bCs/>
      <w:snapToGrid w:val="0"/>
      <w:sz w:val="16"/>
      <w:lang w:eastAsia="en-US"/>
    </w:rPr>
  </w:style>
  <w:style w:type="paragraph" w:customStyle="1" w:styleId="RollCallTable">
    <w:name w:val="RollCallTable"/>
    <w:basedOn w:val="Normal"/>
    <w:rsid w:val="00020134"/>
    <w:pPr>
      <w:spacing w:before="120" w:after="120"/>
    </w:pPr>
    <w:rPr>
      <w:snapToGrid w:val="0"/>
      <w:sz w:val="16"/>
      <w:lang w:eastAsia="en-US"/>
    </w:rPr>
  </w:style>
  <w:style w:type="paragraph" w:styleId="Footer">
    <w:name w:val="footer"/>
    <w:basedOn w:val="Normal"/>
    <w:link w:val="FooterChar"/>
    <w:rsid w:val="00CC70E9"/>
    <w:pPr>
      <w:tabs>
        <w:tab w:val="center" w:pos="4513"/>
        <w:tab w:val="right" w:pos="9026"/>
      </w:tabs>
    </w:pPr>
  </w:style>
  <w:style w:type="character" w:customStyle="1" w:styleId="FooterChar">
    <w:name w:val="Footer Char"/>
    <w:basedOn w:val="DefaultParagraphFont"/>
    <w:link w:val="Footer"/>
    <w:rsid w:val="00CC70E9"/>
    <w:rPr>
      <w:sz w:val="24"/>
      <w:lang w:val="ro-RO"/>
    </w:rPr>
  </w:style>
  <w:style w:type="paragraph" w:styleId="BalloonText">
    <w:name w:val="Balloon Text"/>
    <w:basedOn w:val="Normal"/>
    <w:link w:val="BalloonTextChar"/>
    <w:rsid w:val="003D1BB5"/>
    <w:rPr>
      <w:rFonts w:ascii="Segoe UI" w:hAnsi="Segoe UI" w:cs="Segoe UI"/>
      <w:sz w:val="18"/>
      <w:szCs w:val="18"/>
    </w:rPr>
  </w:style>
  <w:style w:type="character" w:customStyle="1" w:styleId="BalloonTextChar">
    <w:name w:val="Balloon Text Char"/>
    <w:basedOn w:val="DefaultParagraphFont"/>
    <w:link w:val="BalloonText"/>
    <w:rsid w:val="003D1BB5"/>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865E27-9643-413E-BB44-91F1B1C81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3300</Words>
  <Characters>19229</Characters>
  <Application>Microsoft Office Word</Application>
  <DocSecurity>0</DocSecurity>
  <Lines>160</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2024-04-11T13:29:00Z</dcterms:created>
  <dcterms:modified xsi:type="dcterms:W3CDTF">2024-04-11T13:29:00Z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A9-0114/2024</vt:lpwstr>
  </property>
  <property fmtid="{D5CDD505-2E9C-101B-9397-08002B2CF9AE}" pid="4" name="&lt;Type&gt;">
    <vt:lpwstr>RR</vt:lpwstr>
  </property>
</Properties>
</file>