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39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39A1" w:rsidRDefault="008E56ED" w:rsidP="0010095E">
            <w:pPr>
              <w:pStyle w:val="EPName"/>
            </w:pPr>
            <w:r w:rsidRPr="00B339A1">
              <w:t>Európsky parlament</w:t>
            </w:r>
          </w:p>
          <w:p w:rsidR="00751A4A" w:rsidRPr="00B339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39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339A1" w:rsidRDefault="00187494" w:rsidP="0010095E">
            <w:pPr>
              <w:pStyle w:val="EPLogo"/>
            </w:pPr>
            <w:r w:rsidRPr="00B339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39A1" w:rsidRDefault="00D058B8" w:rsidP="004C5D52">
      <w:pPr>
        <w:pStyle w:val="LineTop"/>
      </w:pPr>
    </w:p>
    <w:p w:rsidR="00680577" w:rsidRPr="00B339A1" w:rsidRDefault="008E56ED" w:rsidP="00680577">
      <w:pPr>
        <w:pStyle w:val="EPBodyTA1"/>
      </w:pPr>
      <w:r w:rsidRPr="00B339A1">
        <w:t>PRIJATÉ TEXTY</w:t>
      </w:r>
    </w:p>
    <w:p w:rsidR="00D058B8" w:rsidRPr="00B339A1" w:rsidRDefault="00D058B8" w:rsidP="00D058B8">
      <w:pPr>
        <w:pStyle w:val="LineBottom"/>
      </w:pPr>
    </w:p>
    <w:p w:rsidR="008E56ED" w:rsidRPr="00B339A1" w:rsidRDefault="008E56ED" w:rsidP="008E56ED">
      <w:pPr>
        <w:pStyle w:val="ATHeading1"/>
      </w:pPr>
      <w:bookmarkStart w:id="0" w:name="TANumber"/>
      <w:r w:rsidRPr="00B339A1">
        <w:t>P9_TA(2024)0</w:t>
      </w:r>
      <w:r w:rsidR="002B32A0" w:rsidRPr="00B339A1">
        <w:t>247</w:t>
      </w:r>
      <w:bookmarkEnd w:id="0"/>
    </w:p>
    <w:p w:rsidR="008E56ED" w:rsidRPr="00B339A1" w:rsidRDefault="008E56ED" w:rsidP="008E56ED">
      <w:pPr>
        <w:pStyle w:val="ATHeading2"/>
      </w:pPr>
      <w:bookmarkStart w:id="1" w:name="title"/>
      <w:r w:rsidRPr="00B339A1">
        <w:t>Absolutórium za rok 2022: Európska nadácia pre odborné vzdelávanie</w:t>
      </w:r>
      <w:bookmarkEnd w:id="1"/>
    </w:p>
    <w:p w:rsidR="008E56ED" w:rsidRPr="00B339A1" w:rsidRDefault="008E56ED" w:rsidP="008E56ED">
      <w:pPr>
        <w:rPr>
          <w:i/>
          <w:vanish/>
        </w:rPr>
      </w:pPr>
      <w:r w:rsidRPr="00B339A1">
        <w:rPr>
          <w:i/>
        </w:rPr>
        <w:fldChar w:fldCharType="begin"/>
      </w:r>
      <w:r w:rsidRPr="00B339A1">
        <w:rPr>
          <w:i/>
        </w:rPr>
        <w:instrText xml:space="preserve"> TC"(</w:instrText>
      </w:r>
      <w:bookmarkStart w:id="2" w:name="DocNumber"/>
      <w:r w:rsidRPr="00B339A1">
        <w:rPr>
          <w:i/>
        </w:rPr>
        <w:instrText>A9-0114/2024</w:instrText>
      </w:r>
      <w:bookmarkEnd w:id="2"/>
      <w:r w:rsidRPr="00B339A1">
        <w:rPr>
          <w:i/>
        </w:rPr>
        <w:instrText xml:space="preserve"> - Spravodajca: Petri Sarvamaa)"\l3 \n&gt; \* MERGEFORMAT </w:instrText>
      </w:r>
      <w:r w:rsidRPr="00B339A1">
        <w:rPr>
          <w:i/>
        </w:rPr>
        <w:fldChar w:fldCharType="end"/>
      </w:r>
    </w:p>
    <w:p w:rsidR="008E56ED" w:rsidRPr="00B339A1" w:rsidRDefault="008E56ED" w:rsidP="008E56ED">
      <w:pPr>
        <w:rPr>
          <w:vanish/>
        </w:rPr>
      </w:pPr>
      <w:bookmarkStart w:id="3" w:name="Commission"/>
      <w:r w:rsidRPr="00B339A1">
        <w:rPr>
          <w:vanish/>
        </w:rPr>
        <w:t>Výbor pre kontrolu rozpočtu</w:t>
      </w:r>
      <w:bookmarkEnd w:id="3"/>
    </w:p>
    <w:p w:rsidR="008E56ED" w:rsidRPr="00B339A1" w:rsidRDefault="008E56ED" w:rsidP="008E56ED">
      <w:pPr>
        <w:rPr>
          <w:vanish/>
        </w:rPr>
      </w:pPr>
      <w:bookmarkStart w:id="4" w:name="PE"/>
      <w:r w:rsidRPr="00B339A1">
        <w:rPr>
          <w:vanish/>
        </w:rPr>
        <w:t>PE753.531</w:t>
      </w:r>
      <w:bookmarkEnd w:id="4"/>
    </w:p>
    <w:p w:rsidR="008E56ED" w:rsidRPr="00B339A1" w:rsidRDefault="00A124E8" w:rsidP="008E56ED">
      <w:pPr>
        <w:pStyle w:val="ATHeading3"/>
      </w:pPr>
      <w:bookmarkStart w:id="5" w:name="Sujet"/>
      <w:r w:rsidRPr="00B339A1">
        <w:t>1. R</w:t>
      </w:r>
      <w:r w:rsidR="008E56ED" w:rsidRPr="00B339A1">
        <w:t>ozhodnutie Európskeho parlamentu z</w:t>
      </w:r>
      <w:r w:rsidR="009D3FEF" w:rsidRPr="00B339A1">
        <w:t> 11</w:t>
      </w:r>
      <w:r w:rsidR="008E56ED" w:rsidRPr="00B339A1">
        <w:t>. apríla 2024 o absolutóriu za plnenie rozpočtu Európskej nadácie pre odborné vzdelávanie za rozpočtový rok 2022</w:t>
      </w:r>
      <w:bookmarkEnd w:id="5"/>
      <w:r w:rsidR="008E56ED" w:rsidRPr="00B339A1">
        <w:t xml:space="preserve"> </w:t>
      </w:r>
      <w:bookmarkStart w:id="6" w:name="References"/>
      <w:r w:rsidR="008E56ED" w:rsidRPr="00B339A1">
        <w:t>(2023/2163(DEC))</w:t>
      </w:r>
      <w:bookmarkEnd w:id="6"/>
    </w:p>
    <w:p w:rsidR="008E64D5" w:rsidRPr="00B339A1" w:rsidRDefault="008E64D5" w:rsidP="008E64D5">
      <w:pPr>
        <w:pStyle w:val="EPComma"/>
      </w:pPr>
      <w:bookmarkStart w:id="7" w:name="TextBodyBegin"/>
      <w:bookmarkEnd w:id="7"/>
      <w:r w:rsidRPr="00B339A1">
        <w:rPr>
          <w:i/>
          <w:iCs/>
        </w:rPr>
        <w:t>Európsky parlament</w:t>
      </w:r>
      <w:r w:rsidRPr="00B339A1">
        <w:t>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konečnú ročnú účtovnú závierku Európskej nadácie pre odborné vzdelávanie za rozpočtový rok 2022,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výročnú správu Dvora audítorov o agentúrach EÚ za rozpočtový rok 2022 spolu s odpoveďami agentúr</w:t>
      </w:r>
      <w:r w:rsidRPr="00B339A1">
        <w:rPr>
          <w:rStyle w:val="FootnoteReference"/>
        </w:rPr>
        <w:footnoteReference w:id="1"/>
      </w:r>
      <w:r w:rsidRPr="00B339A1">
        <w:t>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vyhlásenie o vierohodnosti</w:t>
      </w:r>
      <w:r w:rsidRPr="00B339A1">
        <w:rPr>
          <w:rStyle w:val="FootnoteReference"/>
        </w:rPr>
        <w:footnoteReference w:id="2"/>
      </w:r>
      <w:r w:rsidRPr="00B339A1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odporúčanie Rady z 22. februára 2024 o udelení absolutória nadácii za plnenie rozpočtu za rozpočtový rok 2022 (</w:t>
      </w:r>
      <w:r w:rsidR="009D3FEF" w:rsidRPr="00B339A1">
        <w:t>06180</w:t>
      </w:r>
      <w:r w:rsidRPr="00B339A1">
        <w:t>/2024 – C9</w:t>
      </w:r>
      <w:r w:rsidRPr="00B339A1">
        <w:noBreakHyphen/>
      </w:r>
      <w:r w:rsidR="009D3FEF" w:rsidRPr="00B339A1">
        <w:t>0101</w:t>
      </w:r>
      <w:r w:rsidRPr="00B339A1">
        <w:t>/2024),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článok 319 Zmluvy o fungovaní Európskej únie,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 xml:space="preserve">so zreteľom na nariadenie Európskeho parlamentu a Rady (EÚ, </w:t>
      </w:r>
      <w:proofErr w:type="spellStart"/>
      <w:r w:rsidRPr="00B339A1">
        <w:t>Euratom</w:t>
      </w:r>
      <w:proofErr w:type="spellEnd"/>
      <w:r w:rsidRPr="00B339A1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B339A1">
        <w:t>Euratom</w:t>
      </w:r>
      <w:proofErr w:type="spellEnd"/>
      <w:r w:rsidRPr="00B339A1">
        <w:t>) č. 966/2012</w:t>
      </w:r>
      <w:r w:rsidRPr="00B339A1">
        <w:rPr>
          <w:rStyle w:val="FootnoteReference"/>
        </w:rPr>
        <w:footnoteReference w:id="3"/>
      </w:r>
      <w:r w:rsidRPr="00B339A1">
        <w:t>, a najmä na jeho článok 70,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nariadenie Európskeho parlamentu a Rady (ES) č. 1339/2008 zo 16. decembra 2008 o zriadení Európskej nadácie pre odborné vzdelávanie</w:t>
      </w:r>
      <w:r w:rsidRPr="00B339A1">
        <w:rPr>
          <w:rStyle w:val="FootnoteReference"/>
        </w:rPr>
        <w:footnoteReference w:id="4"/>
      </w:r>
      <w:r w:rsidRPr="00B339A1">
        <w:t xml:space="preserve">, a najmä </w:t>
      </w:r>
      <w:r w:rsidRPr="00B339A1">
        <w:lastRenderedPageBreak/>
        <w:t>na jeho článok 17,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B339A1">
        <w:t>Euratome</w:t>
      </w:r>
      <w:proofErr w:type="spellEnd"/>
      <w:r w:rsidRPr="00B339A1">
        <w:t xml:space="preserve"> a uvedené v článku 70 nariadenia Európskeho parlamentu a Rady (EÚ, </w:t>
      </w:r>
      <w:proofErr w:type="spellStart"/>
      <w:r w:rsidRPr="00B339A1">
        <w:t>Euratom</w:t>
      </w:r>
      <w:proofErr w:type="spellEnd"/>
      <w:r w:rsidRPr="00B339A1">
        <w:t>) 2018/1046</w:t>
      </w:r>
      <w:r w:rsidRPr="00B339A1">
        <w:rPr>
          <w:rStyle w:val="FootnoteReference"/>
        </w:rPr>
        <w:footnoteReference w:id="5"/>
      </w:r>
      <w:r w:rsidRPr="00B339A1">
        <w:t>, a najmä na jeho článok 105,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článok 100 a prílohu V k rokovaciemu poriadku,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stanovisko Výboru pre zamestnanosť a sociálne veci,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správu Výboru pre kontrolu rozpočtu (A9-0114/2024),</w:t>
      </w:r>
    </w:p>
    <w:p w:rsidR="008E64D5" w:rsidRPr="00B339A1" w:rsidRDefault="008E64D5" w:rsidP="008E64D5">
      <w:pPr>
        <w:pStyle w:val="NormalHanging12a"/>
      </w:pPr>
      <w:r w:rsidRPr="00B339A1">
        <w:t>1.</w:t>
      </w:r>
      <w:r w:rsidRPr="00B339A1">
        <w:tab/>
        <w:t>udeľuje riaditeľke Európskej nadácie pre odborné vzdelávanie absolutórium za plnenie rozpočtu nadácie za rozpočtový rok 2022;</w:t>
      </w:r>
    </w:p>
    <w:p w:rsidR="008E64D5" w:rsidRPr="00B339A1" w:rsidRDefault="008E64D5" w:rsidP="008E64D5">
      <w:pPr>
        <w:pStyle w:val="NormalHanging12a"/>
      </w:pPr>
      <w:r w:rsidRPr="00B339A1">
        <w:t>2.</w:t>
      </w:r>
      <w:r w:rsidRPr="00B339A1">
        <w:tab/>
        <w:t>uvádza svoje poznámky v priloženom uznesení;</w:t>
      </w:r>
    </w:p>
    <w:p w:rsidR="008E64D5" w:rsidRPr="00B339A1" w:rsidRDefault="008E64D5" w:rsidP="008E64D5">
      <w:pPr>
        <w:pStyle w:val="NormalHanging12a"/>
      </w:pPr>
      <w:r w:rsidRPr="00B339A1">
        <w:t>3.</w:t>
      </w:r>
      <w:r w:rsidRPr="00B339A1">
        <w:tab/>
        <w:t>poveruje svoju predsedníčku, aby postúpila toto rozhodnutie a uznesenie, ktoré je jeho neoddeliteľnou súčasťou, riaditeľke Európskej nadácie pre odborné vzdelávanie, Rade, Komisii a Dvoru audítorov a aby zabezpečila ich uverejnenie v </w:t>
      </w:r>
      <w:r w:rsidRPr="00B339A1">
        <w:rPr>
          <w:i/>
          <w:iCs/>
        </w:rPr>
        <w:t>Úradnom vestníku Európskej únie</w:t>
      </w:r>
      <w:r w:rsidRPr="00B339A1">
        <w:t xml:space="preserve"> (v sérii L).</w:t>
      </w:r>
    </w:p>
    <w:p w:rsidR="008E64D5" w:rsidRPr="00B339A1" w:rsidRDefault="008E64D5" w:rsidP="008E64D5"/>
    <w:p w:rsidR="008E64D5" w:rsidRPr="00B339A1" w:rsidRDefault="008E64D5" w:rsidP="008E64D5">
      <w:pPr>
        <w:widowControl/>
        <w:rPr>
          <w:rFonts w:ascii="Arial" w:hAnsi="Arial" w:cs="Arial"/>
          <w:b/>
        </w:rPr>
        <w:sectPr w:rsidR="008E64D5" w:rsidRPr="00B339A1" w:rsidSect="00B716F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E64D5" w:rsidRPr="00B339A1" w:rsidRDefault="008E64D5" w:rsidP="00A124E8">
      <w:pPr>
        <w:pStyle w:val="ATHeading3"/>
      </w:pPr>
      <w:bookmarkStart w:id="8" w:name="_Toc161999347"/>
      <w:r w:rsidRPr="00B339A1">
        <w:lastRenderedPageBreak/>
        <w:t xml:space="preserve">2. </w:t>
      </w:r>
      <w:bookmarkEnd w:id="8"/>
      <w:r w:rsidR="00A124E8" w:rsidRPr="00B339A1">
        <w:t>Rozhodnutie Európskeho parlamentu z</w:t>
      </w:r>
      <w:r w:rsidR="009D3FEF" w:rsidRPr="00B339A1">
        <w:t> 11</w:t>
      </w:r>
      <w:r w:rsidR="00A124E8" w:rsidRPr="00B339A1">
        <w:t xml:space="preserve">. apríla 2024 </w:t>
      </w:r>
      <w:r w:rsidRPr="00B339A1">
        <w:t>o účtovnej závierke Európskej nadácie pre odborné vzdelávanie za rozpočtový rok 2022</w:t>
      </w:r>
      <w:r w:rsidR="00A124E8" w:rsidRPr="00B339A1">
        <w:t xml:space="preserve"> </w:t>
      </w:r>
      <w:r w:rsidRPr="00B339A1">
        <w:t>(2023/2163(DEC))</w:t>
      </w:r>
    </w:p>
    <w:p w:rsidR="008E64D5" w:rsidRPr="00B339A1" w:rsidRDefault="008E64D5" w:rsidP="008E64D5">
      <w:pPr>
        <w:pStyle w:val="EPComma"/>
      </w:pPr>
      <w:r w:rsidRPr="00B339A1">
        <w:rPr>
          <w:i/>
          <w:iCs/>
        </w:rPr>
        <w:t>Európsky parlament</w:t>
      </w:r>
      <w:r w:rsidRPr="00B339A1">
        <w:t>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konečnú ročnú účtovnú závierku Európskej nadácie pre odborné vzdelávanie za rozpočtový rok 2022,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výročnú správu Dvora audítorov o agentúrach EÚ za rozpočtový rok 2022 spolu s odpoveďami agentúr</w:t>
      </w:r>
      <w:r w:rsidRPr="00B339A1">
        <w:rPr>
          <w:rStyle w:val="FootnoteReference"/>
        </w:rPr>
        <w:footnoteReference w:id="6"/>
      </w:r>
      <w:r w:rsidRPr="00B339A1">
        <w:t>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vyhlásenie o vierohodnosti</w:t>
      </w:r>
      <w:r w:rsidRPr="00B339A1">
        <w:rPr>
          <w:rStyle w:val="FootnoteReference"/>
        </w:rPr>
        <w:footnoteReference w:id="7"/>
      </w:r>
      <w:r w:rsidRPr="00B339A1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odporúčanie Rady z 22. februára 2024 o udelení absolutória nadácii za plnenie rozpočtu za rozpočtový rok 2022 (</w:t>
      </w:r>
      <w:r w:rsidR="009D3FEF" w:rsidRPr="00B339A1">
        <w:t>06180</w:t>
      </w:r>
      <w:r w:rsidRPr="00B339A1">
        <w:t>/2024 – C9</w:t>
      </w:r>
      <w:r w:rsidRPr="00B339A1">
        <w:noBreakHyphen/>
      </w:r>
      <w:r w:rsidR="009D3FEF" w:rsidRPr="00B339A1">
        <w:t>0101</w:t>
      </w:r>
      <w:r w:rsidRPr="00B339A1">
        <w:t>/2024),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článok 319 Zmluvy o fungovaní Európskej únie,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 xml:space="preserve">so zreteľom na nariadenie Európskeho parlamentu a Rady (EÚ, </w:t>
      </w:r>
      <w:proofErr w:type="spellStart"/>
      <w:r w:rsidRPr="00B339A1">
        <w:t>Euratom</w:t>
      </w:r>
      <w:proofErr w:type="spellEnd"/>
      <w:r w:rsidRPr="00B339A1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B339A1">
        <w:t>Euratom</w:t>
      </w:r>
      <w:proofErr w:type="spellEnd"/>
      <w:r w:rsidRPr="00B339A1">
        <w:t>) č. 966/2012</w:t>
      </w:r>
      <w:r w:rsidRPr="00B339A1">
        <w:rPr>
          <w:rStyle w:val="FootnoteReference"/>
        </w:rPr>
        <w:footnoteReference w:id="8"/>
      </w:r>
      <w:r w:rsidRPr="00B339A1">
        <w:t>, a najmä na jeho článok 70,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nariadenie Európskeho parlamentu a Rady (ES) č. 1339/2008 zo 16. decembra 2008 o zriadení Európskej nadácie pre odborné vzdelávanie</w:t>
      </w:r>
      <w:r w:rsidRPr="00B339A1">
        <w:rPr>
          <w:rStyle w:val="FootnoteReference"/>
        </w:rPr>
        <w:footnoteReference w:id="9"/>
      </w:r>
      <w:r w:rsidRPr="00B339A1">
        <w:t>, a najmä na jeho článok 17,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B339A1">
        <w:t>Euratome</w:t>
      </w:r>
      <w:proofErr w:type="spellEnd"/>
      <w:r w:rsidRPr="00B339A1">
        <w:t xml:space="preserve"> a uvedené v článku 70 nariadenia Európskeho parlamentu a Rady (EÚ, </w:t>
      </w:r>
      <w:proofErr w:type="spellStart"/>
      <w:r w:rsidRPr="00B339A1">
        <w:t>Euratom</w:t>
      </w:r>
      <w:proofErr w:type="spellEnd"/>
      <w:r w:rsidRPr="00B339A1">
        <w:t xml:space="preserve">) </w:t>
      </w:r>
      <w:bookmarkStart w:id="9" w:name="_GoBack"/>
      <w:bookmarkEnd w:id="9"/>
      <w:r w:rsidRPr="00B339A1">
        <w:t>2018/1046</w:t>
      </w:r>
      <w:r w:rsidRPr="00B339A1">
        <w:rPr>
          <w:rStyle w:val="FootnoteReference"/>
        </w:rPr>
        <w:footnoteReference w:id="10"/>
      </w:r>
      <w:r w:rsidRPr="00B339A1">
        <w:t>, a najmä na jeho článok 105,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článok 100 a prílohu V k rokovaciemu poriadku,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stanovisko Výboru pre zamestnanosť a sociálne veci,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správu Výboru pre kontrolu rozpočtu (A9-0114/2024),</w:t>
      </w:r>
    </w:p>
    <w:p w:rsidR="008E64D5" w:rsidRPr="00B339A1" w:rsidRDefault="008E64D5" w:rsidP="008E64D5">
      <w:pPr>
        <w:pStyle w:val="NormalHanging12a"/>
      </w:pPr>
      <w:r w:rsidRPr="00B339A1">
        <w:t>1.</w:t>
      </w:r>
      <w:r w:rsidRPr="00B339A1">
        <w:tab/>
        <w:t>schvaľuje účtovnú závierku Európskej nadácie pre odborné vzdelávanie za rozpočtový rok 2022;</w:t>
      </w:r>
    </w:p>
    <w:p w:rsidR="008E64D5" w:rsidRPr="00B339A1" w:rsidRDefault="008E64D5" w:rsidP="008E64D5">
      <w:pPr>
        <w:pStyle w:val="NormalHanging12a"/>
      </w:pPr>
      <w:r w:rsidRPr="00B339A1">
        <w:t>2.</w:t>
      </w:r>
      <w:r w:rsidRPr="00B339A1">
        <w:tab/>
        <w:t>poveruje svoju predsedníčku, aby postúpila toto rozhodnutie riaditeľke Európskej nadácie pre odborné vzdelávanie, Rade, Komisii a Dvoru audítorov a aby zabezpečila jeho uverejnenie v </w:t>
      </w:r>
      <w:r w:rsidRPr="00B339A1">
        <w:rPr>
          <w:i/>
          <w:iCs/>
        </w:rPr>
        <w:t>Úradnom vestníku Európskej únie</w:t>
      </w:r>
      <w:r w:rsidRPr="00B339A1">
        <w:t xml:space="preserve"> (v sérii L).</w:t>
      </w:r>
    </w:p>
    <w:p w:rsidR="008E64D5" w:rsidRPr="00B339A1" w:rsidRDefault="008E64D5" w:rsidP="008E64D5"/>
    <w:p w:rsidR="008E64D5" w:rsidRPr="00B339A1" w:rsidRDefault="008E64D5" w:rsidP="008E64D5">
      <w:pPr>
        <w:widowControl/>
        <w:rPr>
          <w:rFonts w:ascii="Arial" w:hAnsi="Arial" w:cs="Arial"/>
          <w:b/>
        </w:rPr>
        <w:sectPr w:rsidR="008E64D5" w:rsidRPr="00B339A1" w:rsidSect="00B716F0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8E64D5" w:rsidRPr="00B339A1" w:rsidRDefault="008E64D5" w:rsidP="00A124E8">
      <w:pPr>
        <w:pStyle w:val="ATHeading3"/>
      </w:pPr>
      <w:bookmarkStart w:id="10" w:name="_Toc161999348"/>
      <w:r w:rsidRPr="00B339A1">
        <w:t xml:space="preserve">3. </w:t>
      </w:r>
      <w:bookmarkEnd w:id="10"/>
      <w:r w:rsidR="00A124E8" w:rsidRPr="00B339A1">
        <w:t>Uznesenie Európskeho parlamentu z</w:t>
      </w:r>
      <w:r w:rsidR="009D3FEF" w:rsidRPr="00B339A1">
        <w:t> 11</w:t>
      </w:r>
      <w:r w:rsidR="00A124E8" w:rsidRPr="00B339A1">
        <w:t xml:space="preserve">. apríla 2024 </w:t>
      </w:r>
      <w:r w:rsidRPr="00B339A1">
        <w:t xml:space="preserve">s poznámkami, ktoré </w:t>
      </w:r>
      <w:r w:rsidR="00A124E8" w:rsidRPr="00B339A1">
        <w:t xml:space="preserve">je </w:t>
      </w:r>
      <w:r w:rsidRPr="00B339A1">
        <w:t>neoddeliteľnou súčasťou rozhodnutia o absolutóriu za plnenie rozpočtu Európskej nadácie pre odborné vzdelávanie za rozpočtový rok 2022</w:t>
      </w:r>
      <w:r w:rsidR="00A124E8" w:rsidRPr="00B339A1">
        <w:t xml:space="preserve"> </w:t>
      </w:r>
      <w:r w:rsidRPr="00B339A1">
        <w:t>(2023/2163(DEC))</w:t>
      </w:r>
    </w:p>
    <w:p w:rsidR="008E64D5" w:rsidRPr="00B339A1" w:rsidRDefault="008E64D5" w:rsidP="008E64D5">
      <w:pPr>
        <w:pStyle w:val="EPComma"/>
      </w:pPr>
      <w:r w:rsidRPr="00B339A1">
        <w:rPr>
          <w:i/>
          <w:iCs/>
        </w:rPr>
        <w:t>Európsky parlament</w:t>
      </w:r>
      <w:r w:rsidRPr="00B339A1">
        <w:t>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svoje rozhodnutie o absolutóriu za plnenie rozpočtu Európskej nadácie pre odborné vzdelávanie za rozpočtový rok 2022,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článok 100 a prílohu V k rokovaciemu poriadku,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stanovisko Výboru pre zamestnanosť a sociálne veci,</w:t>
      </w:r>
    </w:p>
    <w:p w:rsidR="008E64D5" w:rsidRPr="00B339A1" w:rsidRDefault="008E64D5" w:rsidP="008E64D5">
      <w:pPr>
        <w:pStyle w:val="NormalHanging12a"/>
      </w:pPr>
      <w:r w:rsidRPr="00B339A1">
        <w:t>–</w:t>
      </w:r>
      <w:r w:rsidRPr="00B339A1">
        <w:tab/>
        <w:t>so zreteľom na správu Výboru pre kontrolu rozpočtu (A9-0114/2024),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A.</w:t>
      </w:r>
      <w:r w:rsidRPr="00B339A1">
        <w:tab/>
        <w:t>keďže podľa výkazu príjmov a výdavkov</w:t>
      </w:r>
      <w:r w:rsidRPr="00B339A1">
        <w:rPr>
          <w:rStyle w:val="FootnoteReference"/>
          <w:szCs w:val="24"/>
        </w:rPr>
        <w:footnoteReference w:id="11"/>
      </w:r>
      <w:r w:rsidRPr="00B339A1">
        <w:t xml:space="preserve"> konečný rozpočet Európskej nadácie pre odborné vzdelávanie (ďalej len „nadácia“) na rozpočtový rok 2022 predstavoval 25 051 848 EUR, čo v porovnaní s rokom 2021 predstavuje nárast o 17,05 %; keďže rozpočet nadácie pochádza výlučne z rozpočtu Únie;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B.</w:t>
      </w:r>
      <w:r w:rsidRPr="00B339A1">
        <w:tab/>
        <w:t>keďže Dvor audítorov vo svojej správe o overení ročnej účtovnej závierky nadácie za rozpočtový rok 2022 (ďalej len „správa Dvora audítorov“) uvádza, že získal primeranú istotu o tom, že ročná účtovná závierka agentúry je spoľahlivá a že príslušné operácie sú zákonné a správne;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Rozpočtové a finančné riadenie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1.</w:t>
      </w:r>
      <w:r w:rsidRPr="00B339A1">
        <w:tab/>
        <w:t>konštatuje s uznaním, že úsilie o monitorovanie rozpočtu v priebehu rozpočtového roka 2022 prinieslo vysokú mieru plnenia rozpočtu na úrovni 99,98 %, čo v porovnaní s rokom 2021 predstavuje mierne zvýšenie o 0,07 %; poukazuje na to, že miera čerpania platobných rozpočtových prostriedkov bola 97,70 %, čo v porovnaní s rokom 2021 predstavuje zvýšenie o 11,48 %;</w:t>
      </w:r>
    </w:p>
    <w:p w:rsidR="008E64D5" w:rsidRPr="00B339A1" w:rsidRDefault="008E64D5" w:rsidP="008E64D5">
      <w:pPr>
        <w:pStyle w:val="NormalHanging12a"/>
      </w:pPr>
      <w:r w:rsidRPr="00B339A1">
        <w:t>2.</w:t>
      </w:r>
      <w:r w:rsidRPr="00B339A1">
        <w:tab/>
        <w:t>víta, že napriek rozpočtovej kríze spôsobenej infláciou a cenami za verejnoprospešné služby v roku 2022 dokázala nadácia efektívne spravovať svoje výdavky, zaviesť opatrenia na úsporu nákladov a zmeniť priority bez toho, aby sa výrazne narušil jej pracovný program;</w:t>
      </w:r>
    </w:p>
    <w:p w:rsidR="008E64D5" w:rsidRPr="00B339A1" w:rsidRDefault="008E64D5" w:rsidP="008E64D5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B339A1">
        <w:rPr>
          <w:b/>
          <w:i/>
        </w:rPr>
        <w:t>Výkonnosť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3.</w:t>
      </w:r>
      <w:r w:rsidRPr="00B339A1">
        <w:tab/>
        <w:t>s uspokojením konštatuje, že nadácia používa určité opatrenia, ako sú kľúčové ukazovatele výkonnosti, s cieľom posúdiť pridanú hodnotu, ktorú poskytujú jej činnosti a ďalšie opatrenia, aby mohla zlepšiť svoje rozpočtové riadenie;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4.</w:t>
      </w:r>
      <w:r w:rsidRPr="00B339A1">
        <w:tab/>
        <w:t>konštatuje, že nadácia dosiahla 93 % mieru dokončenia činností, čo je mierny pokles v porovnaní s rokom 2021, pričom včas bolo dokončených 89 % z nich; oceňuje, že nadácia dosiahla všetky kľúčové ukazovatele výkonnosti nad stanovenými cieľmi alebo výrazne nad týmito cieľmi;</w:t>
      </w:r>
    </w:p>
    <w:p w:rsidR="008E64D5" w:rsidRPr="00B339A1" w:rsidRDefault="008E64D5" w:rsidP="008E64D5">
      <w:pPr>
        <w:pStyle w:val="Normal12Hanging"/>
      </w:pPr>
      <w:r w:rsidRPr="00B339A1">
        <w:t>5.</w:t>
      </w:r>
      <w:r w:rsidRPr="00B339A1">
        <w:tab/>
        <w:t>berie na vedomie kľúčové úspechy nadácie v roku 2022, ktoré vychádzajú z troch strategických cieľov: relevantnosť a predvídanie zručností, rozvoj a overovanie zručností a výkonnosť a kvalita politík vzdelávania a odbornej prípravy; konštatuje, že tieto ciele plní nadácia v rámci troch základných služieb: znalostné centrum, monitorovanie a hodnotenie a politické poradenstvo;</w:t>
      </w:r>
    </w:p>
    <w:p w:rsidR="008E64D5" w:rsidRPr="00B339A1" w:rsidRDefault="008E64D5" w:rsidP="008E64D5">
      <w:pPr>
        <w:pStyle w:val="Normal12Hanging"/>
      </w:pPr>
      <w:r w:rsidRPr="00B339A1">
        <w:t>6.</w:t>
      </w:r>
      <w:r w:rsidRPr="00B339A1">
        <w:tab/>
        <w:t xml:space="preserve">berie na vedomie nové iniciatívy, ktoré nadácia začala v roku 2022, ako napríklad novú iniciatívu Tímu Európa v južnom a východnom Stredozemí a vytvorenie siete </w:t>
      </w:r>
      <w:proofErr w:type="spellStart"/>
      <w:r w:rsidRPr="00B339A1">
        <w:t>Governance</w:t>
      </w:r>
      <w:proofErr w:type="spellEnd"/>
      <w:r w:rsidRPr="00B339A1">
        <w:t xml:space="preserve"> </w:t>
      </w:r>
      <w:proofErr w:type="spellStart"/>
      <w:r w:rsidRPr="00B339A1">
        <w:t>Learning</w:t>
      </w:r>
      <w:proofErr w:type="spellEnd"/>
      <w:r w:rsidRPr="00B339A1">
        <w:t xml:space="preserve"> </w:t>
      </w:r>
      <w:proofErr w:type="spellStart"/>
      <w:r w:rsidRPr="00B339A1">
        <w:t>Action</w:t>
      </w:r>
      <w:proofErr w:type="spellEnd"/>
      <w:r w:rsidRPr="00B339A1">
        <w:t xml:space="preserve"> and </w:t>
      </w:r>
      <w:proofErr w:type="spellStart"/>
      <w:r w:rsidRPr="00B339A1">
        <w:t>Dialogue</w:t>
      </w:r>
      <w:proofErr w:type="spellEnd"/>
      <w:r w:rsidRPr="00B339A1">
        <w:t xml:space="preserve"> (GLAD) (Akcia a dialóg v oblasti riadenia vzdelávania); berie na vedomie rozvoj jej siete </w:t>
      </w:r>
      <w:proofErr w:type="spellStart"/>
      <w:r w:rsidRPr="00B339A1">
        <w:t>excelentnosti</w:t>
      </w:r>
      <w:proofErr w:type="spellEnd"/>
      <w:r w:rsidRPr="00B339A1">
        <w:t xml:space="preserve"> a online konferenciu tejto siete v novembri, ktorá poskytla účastníkom príležitosť podeliť sa o informácie o vývoji a výsledkoch práce tohto tematického partnerstva;</w:t>
      </w:r>
    </w:p>
    <w:p w:rsidR="008E64D5" w:rsidRPr="00B339A1" w:rsidRDefault="008E64D5" w:rsidP="008E64D5">
      <w:pPr>
        <w:pStyle w:val="NormalHanging12a"/>
      </w:pPr>
      <w:r w:rsidRPr="00B339A1">
        <w:t>7.</w:t>
      </w:r>
      <w:r w:rsidRPr="00B339A1">
        <w:tab/>
        <w:t>zdôrazňuje, že nadácia podporuje Moldavsko, Gruzínsko a Ukrajinu ako kandidátske krajiny v ich úsilí zosúladiť svoje politiky v oblasti vzdelávania a zamestnanosti s politikami Únie poskytovaním technických odborných znalostí a poradenstva v rôznych otázkach vnútroštátnym orgánom v úzkej spolupráci s delegáciami Únie a útvarmi Komisie;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8.</w:t>
      </w:r>
      <w:r w:rsidRPr="00B339A1">
        <w:tab/>
        <w:t xml:space="preserve">víta, že opatrenia prijaté nadáciou v reakcii na otrasy, ako napríklad pretrvávajúce dôsledky pandémie </w:t>
      </w:r>
      <w:r w:rsidR="00A124E8" w:rsidRPr="00B339A1">
        <w:t xml:space="preserve">ochorenia </w:t>
      </w:r>
      <w:r w:rsidRPr="00B339A1">
        <w:t>COVID-19 a ruská agresia na Ukrajine, boli veľmi účinné, pokiaľ ide o zabezpečenie nepretržitej a veľmi vysokej úrovne plnenia ročného pracovného programu; oceňuje iniciatívu nadácie podporovať Ukrajinu svojím online centrom zdrojov na uznávanie kvalifikácií, zručností a dĺžky štúdia ukrajinských utečencov, ako aj ďalšími prostriedkami a, ak je to možné a relevantné, reagovať v úzkej spolupráci s rôznymi útvarmi Komisie, pričom využívala svoje tematické odborné znalosti a znalosti systémov vzdelávania a odbornej prípravy v krajine;</w:t>
      </w:r>
    </w:p>
    <w:p w:rsidR="008E64D5" w:rsidRPr="00B339A1" w:rsidRDefault="008E64D5" w:rsidP="008E64D5">
      <w:pPr>
        <w:pStyle w:val="NormalHanging12a"/>
      </w:pPr>
      <w:r w:rsidRPr="00B339A1">
        <w:t>9.</w:t>
      </w:r>
      <w:r w:rsidRPr="00B339A1">
        <w:tab/>
        <w:t>zdôrazňuje, že nadácia od začiatku roka 2022 pozastavila všetky činnosti a spoluprácu s bieloruskými orgánmi;</w:t>
      </w:r>
    </w:p>
    <w:p w:rsidR="008E64D5" w:rsidRPr="00B339A1" w:rsidRDefault="008E64D5" w:rsidP="008E64D5">
      <w:pPr>
        <w:pStyle w:val="NormalHanging12a"/>
      </w:pPr>
      <w:r w:rsidRPr="00B339A1">
        <w:t>10.</w:t>
      </w:r>
      <w:r w:rsidRPr="00B339A1">
        <w:tab/>
        <w:t>víta činnosti nadácie, ktoré pomáhajú partnerským krajinám Únie využiť potenciál ich ľudského kapitálu a zlepšiť vyhliadky ich občanov na zamestnanie prostredníctvom reformy systémov vzdelávania, odbornej prípravy, zručností a trhu práce v rámci politík Únie v oblasti vonkajších vzťahov;</w:t>
      </w:r>
    </w:p>
    <w:p w:rsidR="008E64D5" w:rsidRPr="00B339A1" w:rsidRDefault="008E64D5" w:rsidP="008E64D5">
      <w:pPr>
        <w:pStyle w:val="NormalHanging12a"/>
        <w:rPr>
          <w:szCs w:val="24"/>
        </w:rPr>
      </w:pPr>
      <w:r w:rsidRPr="00B339A1">
        <w:t>11.</w:t>
      </w:r>
      <w:r w:rsidRPr="00B339A1">
        <w:tab/>
        <w:t xml:space="preserve">víta najmä novú koncepciu nadácie, a to podnikateľské centrá </w:t>
      </w:r>
      <w:proofErr w:type="spellStart"/>
      <w:r w:rsidRPr="00B339A1">
        <w:t>excelentnosti</w:t>
      </w:r>
      <w:proofErr w:type="spellEnd"/>
      <w:r w:rsidRPr="00B339A1">
        <w:t xml:space="preserve"> odborného vzdelávania a prípravy, ktoré boli vyvinuté s cieľom prispieť k medzinárodnej diskusii v komunite podnikateľského vzdelávania a inšpirovať strediská odbornej prípravy, aby lepšie reagovali na meniace sa potreby občanov, hospodárstiev a spoločností;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Efektívnosť a prínosy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12.</w:t>
      </w:r>
      <w:r w:rsidRPr="00B339A1">
        <w:tab/>
        <w:t>konštatuje, že nadácia sa aj v roku 2022 usilovala nájsť možnosti zvyšovania efektívnosti svojich operácií, napríklad zlepšovaním digitálnych pracovných postupov a aktívnym zapojením do siete agentúr Únie a jej rôznych pracovných skupín; v tejto súvislosti berie okrem iného na vedomie spoločné využívanie účtovných služieb nadácie s Európskou agentúrou pre bezpečnosť a ochranu zdravia pri práci na základe dohody o úrovni poskytovaných služieb z roku 2022 a preskúmanie možnosti spoločného využívania zdrojov v oblasti náboru, kybernetickej bezpečnosti, EMAS, udržateľnosti a ekologizácie, verejného obstarávania a IT nástrojov a systémov s Európskym strediskom pre rozvoj odborného vzdelávania;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13.</w:t>
      </w:r>
      <w:r w:rsidRPr="00B339A1">
        <w:tab/>
        <w:t>berie na vedomie opatrenia nadácie, a to aj v oblasti spotreby energie a správy budov, napríklad zatvorenie kancelárií v auguste 2022 a zavedenie senzorov osvetlenia a vody a časovačov kotlov, vykurovania a klimatizácie; berie na vedomie zvýšené úsilie v oblasti hospodárenia s energiami, ktoré v roku 2022 viedlo k úsporám 2 000 m3 plynu a 49 107 kWh elektrickej energie, a to napriek zvýšenej prítomnosti zamestnancov v kanceláriách počas celého roka v dôsledku zavedených hybridných pracovných postupov;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14.</w:t>
      </w:r>
      <w:r w:rsidRPr="00B339A1">
        <w:tab/>
        <w:t>víta záväzok nadácie zaviesť všetky nástroje Komisie v oblasti elektronického obstarávania a tiež to, že proces verejného obstarávania nadácie je plne digitalizovaný;</w:t>
      </w:r>
    </w:p>
    <w:p w:rsidR="008E64D5" w:rsidRPr="00B339A1" w:rsidRDefault="008E64D5" w:rsidP="008E64D5">
      <w:pPr>
        <w:pStyle w:val="NormalHanging12a"/>
        <w:rPr>
          <w:szCs w:val="24"/>
        </w:rPr>
      </w:pPr>
      <w:r w:rsidRPr="00B339A1">
        <w:t>15.</w:t>
      </w:r>
      <w:r w:rsidRPr="00B339A1">
        <w:tab/>
        <w:t>oceňuje, že nadácia vypracovala organizačný plán na zlepšenie energetickej efektívnosti a klimatickej neutrality svojich operácií;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Personálna politika</w:t>
      </w:r>
    </w:p>
    <w:p w:rsidR="008E64D5" w:rsidRPr="00B339A1" w:rsidRDefault="008E64D5" w:rsidP="008E64D5">
      <w:pPr>
        <w:spacing w:after="240"/>
        <w:ind w:left="567" w:hanging="567"/>
      </w:pPr>
      <w:r w:rsidRPr="00B339A1">
        <w:t>16.</w:t>
      </w:r>
      <w:r w:rsidRPr="00B339A1">
        <w:tab/>
        <w:t>konštatuje, že k 31. decembru 2022 bol plán pracovných miest naplnený na 98,8 %, pričom zo 86 úradníkov a dočasných zamestnancov schválených v rámci rozpočtu Únie bolo vymenovaných 85 (rovnaký počet schválených miest ako v roku 2021); okrem toho poznamenáva, že v roku 2022 nadácia zamestnávala 39 zmluvných zamestnancov a jedného miestneho zástupcu;</w:t>
      </w:r>
    </w:p>
    <w:p w:rsidR="008E64D5" w:rsidRPr="00B339A1" w:rsidRDefault="008E64D5" w:rsidP="008E64D5">
      <w:pPr>
        <w:pStyle w:val="NormalHanging12a"/>
      </w:pPr>
      <w:r w:rsidRPr="00B339A1">
        <w:t>17.</w:t>
      </w:r>
      <w:r w:rsidRPr="00B339A1">
        <w:tab/>
        <w:t>konštatuje, že v roku 2022 bolo medzi zamestnancami nadácie zastúpených 21 členských štátov; konštatuje so znepokojením, že pretrváva problém s geografickou rovnováhou; konštatuje, že 42 % zamestnancov nadácie sú štátni príslušníci členského štátu, v ktorom má nadácia sídlo; uznáva, že nadácia prihliada pri výberových konaniach na zásluhy, pričom v prípade rovnakých zásluh zvykne uprednostniť nedostatočne zastúpené štátne príslušnosti; pripomína dôležitosť geografickej rovnováhy a vyzýva nadáciu, aby prijala potrebné opatrenia s cieľom dosiahnuť vyvážené a spravodlivé geografické zastúpenie, a to aj na pozíciách stredného a vyššieho manažmentu, a zároveň rešpektovala kompetencie a zásluhy kandidátov, a aby informovala orgán udeľujúci absolutórium o akomkoľvek vývoji v tejto oblasti;</w:t>
      </w:r>
    </w:p>
    <w:p w:rsidR="008E64D5" w:rsidRPr="00B339A1" w:rsidRDefault="008E64D5" w:rsidP="008E64D5">
      <w:pPr>
        <w:pStyle w:val="NormalHanging12a"/>
      </w:pPr>
      <w:r w:rsidRPr="00B339A1">
        <w:t>18.</w:t>
      </w:r>
      <w:r w:rsidRPr="00B339A1">
        <w:tab/>
        <w:t>konštatuje, že, pokiaľ ide o rodové zastúpenie, z deviatich členov stredného a vyššieho manažmentu boli v roku 2022 štyri ženy; konštatuje, že medzi členmi správnej rady je 41 % mužov (11) a 59 % žien (16) a celkovo medzi zamestnancami je 33 % mužov (41) a 67 % žien (84); pripomína, že je dôležité zabezpečiť rodovú rovnováhu, a vyzýva nadáciu, aby tento aspekt zohľadnila pri budúcom prijímaní zamestnancov a menovaní do stredného a vyššieho manažmentu; žiada Komisiu a členské štáty, aby pri menovaní svojich členov do správnej rady nadácie zohľadňovali význam zabezpečenia rodovej rovnováhy;</w:t>
      </w:r>
    </w:p>
    <w:p w:rsidR="008E64D5" w:rsidRPr="00B339A1" w:rsidRDefault="008E64D5" w:rsidP="008E64D5">
      <w:pPr>
        <w:pStyle w:val="NormalHanging12a"/>
      </w:pPr>
      <w:r w:rsidRPr="00B339A1">
        <w:t>19.</w:t>
      </w:r>
      <w:r w:rsidRPr="00B339A1">
        <w:tab/>
        <w:t xml:space="preserve">konštatuje, že podľa následných pripomienok k absolutóriu za rok 2021 nadácia zrevidovala svoje oznámenia o voľných pracovných miestach s cieľom zvýšiť atraktívnosť miesta zamestnania a </w:t>
      </w:r>
      <w:proofErr w:type="spellStart"/>
      <w:r w:rsidRPr="00B339A1">
        <w:t>diverzifikuje</w:t>
      </w:r>
      <w:proofErr w:type="spellEnd"/>
      <w:r w:rsidRPr="00B339A1">
        <w:t xml:space="preserve"> komunikačné kanály smerom k cieľovým krajinám, ktoré sú menej zastúpené prostredníctvom platformy LinkedIn;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20.</w:t>
      </w:r>
      <w:r w:rsidRPr="00B339A1">
        <w:tab/>
        <w:t>konštatuje, že nadácia prijala v decembri 2022 Chartu rozmanitosti a začlenenia; konštatuje, že v roku 2022 mohli zamestnanci využívať mnoho výhod na zlepšenie svojich pracovných podmienok a okrem toho boli prijaté nové pravidlá týkajúce sa pracovného času a hybridnej práce, ktoré naďalej poskytujú zamestnancom príležitosti na nové flexibilné spôsoby práce;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Verejné obstarávanie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21.</w:t>
      </w:r>
      <w:r w:rsidRPr="00B339A1">
        <w:tab/>
        <w:t xml:space="preserve">berie na vedomie pripomienku Dvora audítorov, že uzavretie rámcovej v roku 2021 vo výške jedného milióna EUR na služby na podporu obsahu bolo v rozpore s pravidlami z dôvodu odchýlky od technických špecifikácií; konštatuje, že na preukázanie finančnej spôsobilosti boli uchádzači povinní predložiť uzavretú a podpísanú účtovnú závierku preukazujúcu za posledné dva rozpočtové roky, </w:t>
      </w:r>
      <w:proofErr w:type="spellStart"/>
      <w:r w:rsidRPr="00B339A1">
        <w:t>t.j</w:t>
      </w:r>
      <w:proofErr w:type="spellEnd"/>
      <w:r w:rsidRPr="00B339A1">
        <w:t xml:space="preserve">. roky 2019 a 2020 obrat vo výške najmenej 250 000 EUR; konštatuje, že napriek tomu, že obrat víťazného uchádzača za rok 2019 nedosiahol požadovanú prahovú hodnotu, nadácia sa rozhodla uchádzača nevyradiť z výberového konania, keďže na základe predbežnej účtovnej závierky dosiahol tento uchádzač vyšší obrat v roku 2021; upozorňuje na závery Dvora audítorov, že postup hodnotenia a výsledná zmluva sú v rozpore s pravidlami, rovnako ako všetky súvisiace platby, ktoré v roku 2022 dosiahli výšku 100 100 EUR; berie na vedomie, že v nadväznosti na pripomienku Dvora audítorov zjednoduší nadácia svoju metodiku, a to tak, že bude i naďalej posudzovať finančnú spoľahlivosť dodávateľov, avšak bude viac prihliadať na aktuálnu finančnú situáciu (obdobie po pandémii </w:t>
      </w:r>
      <w:r w:rsidR="00A124E8" w:rsidRPr="00B339A1">
        <w:t xml:space="preserve">ochorenia </w:t>
      </w:r>
      <w:r w:rsidRPr="00B339A1">
        <w:t>COVID-19 a vojne na Ukrajine);</w:t>
      </w:r>
    </w:p>
    <w:p w:rsidR="008E64D5" w:rsidRPr="00B339A1" w:rsidRDefault="008E64D5" w:rsidP="008E64D5">
      <w:pPr>
        <w:pStyle w:val="Normal12Hanging"/>
      </w:pPr>
      <w:r w:rsidRPr="00B339A1">
        <w:t>22.</w:t>
      </w:r>
      <w:r w:rsidRPr="00B339A1">
        <w:tab/>
        <w:t>konštatuje, že v rámci iného otvoreného postupu verejného obstarávania na vnútroštátne podporné služby vo výške 4 mil. EUR sa finančné a hospodárske kapacity uchádzačov posudzovali na základe dvoch kritérií: (i) stabilná finančná situácia preukázaná súborom parametrov vrátane kladného čistého zisku; a (ii) ročný obrat najmenej 1 milión EUR počas posledných dvoch finančných rokov; konštatuje, že nadácia zadala zákazku konzorciu piatich nekomerčných subjektov, hoci žiaden z členov konzorcia za posledné dva roky nepreukázal zisk, a okrem toho sa rozhodla neprihliadnuť na požiadavku na obrat – ktorú víťazný uchádzač nesplnil – z dôvodu jej údajnej neuplatniteľnosti na nekomerčné subjekty; podčiarkuje záver Dvora audítorov, že nadácia uplatnila podmienky účasti na obstarávaní nesprávne a že hospodárska a finančná spôsobilosť víťazného uchádzača nebola preukázaná; ďalej konštatuje, že postup hodnotenia a výsledná zmluva sú preto v rozpore s pravidlami, rovnako ako všetky súvisiace platby, ktoré v roku 2022 dosiahli výšku 70 500 EUR; konštatuje, že príslušný postup verejného obstarávania bol zameraný na rozvoj ľudského kapitálu v Strednej Ázii a v nadväznosti na pripomienku Dvora audítorov nadácia s príslušnými útvarmi Komisie prediskutuje možné alternatívne metódy vykonávania činností v partnerských krajinách a zároveň zjednoduší metodiku finančného posudzovania s cieľom zamerať sa v prípade potreby na trh mimo Únie;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23.</w:t>
      </w:r>
      <w:r w:rsidRPr="00B339A1">
        <w:tab/>
        <w:t>pripomína, že vo všetkých postupoch verejného obstarávania je dôležité zabezpečiť spravodlivú hospodársku súťaž medzi uchádzačmi a obstarávať tovar a služby za najlepšiu cenu pri dodržiavaní zásad transparentnosti a hospodárneho využívania verejných zdrojov, proporcionality, rovnakého zaobchádzania a nediskriminácie; vyzýva nadáciu, aby prijala opatrenia s cieľom zaručiť, aby sa v budúcich postupoch verejného obstarávania v plnej miere dodržiavali platné pravidlá zabezpečujúce transparentnosť, spravodlivosť a integritu postupu verejného obstarávania;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24.</w:t>
      </w:r>
      <w:r w:rsidRPr="00B339A1">
        <w:tab/>
        <w:t xml:space="preserve">konštatuje, že koncom roka 2022 mala nadácia nevyriešené len jedno zistenie Dvora audítorov týkajúce sa postupu verejného obstarávania dočasných zamestnancov, vydané v roku 2018, na ktoré </w:t>
      </w:r>
      <w:r w:rsidR="00A124E8" w:rsidRPr="00B339A1">
        <w:t>Európsky p</w:t>
      </w:r>
      <w:r w:rsidRPr="00B339A1">
        <w:t>arlament v minulosti upozornil vo svojej správe o absolutóriu; okrem toho konštatuje, že nadácia sa touto otázkou zaoberala pri uzatváraní novej rámcovej zmluvy, ktorá mala byť podpísaná v roku 2023;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Prevencia, riešenie konfliktov záujmov a transparentnosť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25.</w:t>
      </w:r>
      <w:r w:rsidRPr="00B339A1">
        <w:tab/>
        <w:t>konštatuje, že nadácia na svojom webovom sídle zverejnila všetky vyhlásenia o konflikte záujmov a životopisy členov správnej rady a vyššieho a stredného manažmentu; ďalej konštatuje, že nadácia na svojom webovom sídle uvádza všetky stretnutia svojej riaditeľky a organizácií a samostatne zárobkovo činných osôb;</w:t>
      </w:r>
    </w:p>
    <w:p w:rsidR="008E64D5" w:rsidRPr="00B339A1" w:rsidRDefault="008E64D5" w:rsidP="008E64D5">
      <w:pPr>
        <w:pStyle w:val="Normal12Hanging"/>
        <w:rPr>
          <w:rStyle w:val="normaltextrun"/>
        </w:rPr>
      </w:pPr>
      <w:r w:rsidRPr="00B339A1">
        <w:rPr>
          <w:rStyle w:val="normaltextrun"/>
        </w:rPr>
        <w:t>26.</w:t>
      </w:r>
      <w:r w:rsidRPr="00B339A1">
        <w:rPr>
          <w:rStyle w:val="normaltextrun"/>
        </w:rPr>
        <w:tab/>
        <w:t>konštatuje, že nadácia má zavedenú vnútornú stratégiu boja proti podvodom, ktorá sa pravidelne aktualizuje, a môže zvážiť jej doplnenie o protikorupčnú časť; ďalej konštatuje, že v súčasnosti vypracúva politiku týkajúcu sa otázok konfliktu záujmov;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Vnútorná kontrola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t>27.</w:t>
      </w:r>
      <w:r w:rsidRPr="00B339A1">
        <w:tab/>
        <w:t>víta kladné stanovisko útvaru pre vnútorný audit k mechanizmom komplementárnosti a spolupráce medzi nadáciou a Komisiou, vydané v jeho záverečnej audítorskej správe v decembri 2022, v ktorom podčiarkol odborné znalosti zamestnancov nadácie a zavedenie štruktúrovaného polročného dialógu zameraného na lepšiu koordináciu prípravy zasadnutí správnej rady; konštatuje však, že stanovisko útvaru pre vnútorný audit poukazuje aj na dve veľmi dôležité otázky týkajúce sa mandátu nadácie a monitorovania ukazovateľov, ako aj na dve dôležité otázky týkajúce sa zosúladenia priorít a databázy žiadostí Únie a zlepšenia postupov; berie na vedomie, že v reakcii na to nadácia v spolupráci s GR EMPL vypracovala akčný plán riešenia týchto odporúčaní, ktorý sa mal začať používať v roku 2023;</w:t>
      </w:r>
    </w:p>
    <w:p w:rsidR="008E64D5" w:rsidRPr="00B339A1" w:rsidRDefault="008E64D5" w:rsidP="008E64D5">
      <w:pPr>
        <w:pStyle w:val="Normal12Hanging"/>
        <w:rPr>
          <w:b/>
          <w:i/>
          <w:szCs w:val="24"/>
        </w:rPr>
      </w:pPr>
      <w:r w:rsidRPr="00B339A1">
        <w:rPr>
          <w:b/>
          <w:i/>
        </w:rPr>
        <w:t>Ďalšie pripomienky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28.</w:t>
      </w:r>
      <w:r w:rsidRPr="00B339A1">
        <w:tab/>
        <w:t>berie na vedomie, že nadácia venuje osobitnú pozornosť kybernetickej bezpečnosti a digitálnym záznamom a riadeniu dát a tiež opatreniam prijatým s cieľom dodržiavať príslušné usmernenia Únie, ako sú zlepšenia zálohovania a penetračné testy hlavných webových stránok nadácie; okrem toho konštatuje, že v nadväznosti na posúdenie rizika v oblasti informačnej bezpečnosti v celej nadácii v roku 2021 bol v roku 2022 vypracovaný a schválený rizikový plán;</w:t>
      </w:r>
    </w:p>
    <w:p w:rsidR="008E64D5" w:rsidRPr="00B339A1" w:rsidRDefault="008E64D5" w:rsidP="008E64D5">
      <w:pPr>
        <w:pStyle w:val="Normal12Hanging"/>
        <w:rPr>
          <w:szCs w:val="24"/>
        </w:rPr>
      </w:pPr>
      <w:r w:rsidRPr="00B339A1">
        <w:t>29.</w:t>
      </w:r>
      <w:r w:rsidRPr="00B339A1">
        <w:tab/>
        <w:t>konštatuje, že v roku 2022 si nadácia udržala certifikáty EMAS i ISO 14001 v nadväznosti na environmentálny audit z marca 2022 (a 2023);</w:t>
      </w:r>
    </w:p>
    <w:p w:rsidR="008E64D5" w:rsidRPr="00B339A1" w:rsidRDefault="008E64D5" w:rsidP="008E64D5">
      <w:pPr>
        <w:pStyle w:val="NormalHanging12a"/>
      </w:pPr>
      <w:r w:rsidRPr="00B339A1">
        <w:t>30.</w:t>
      </w:r>
      <w:r w:rsidRPr="00B339A1">
        <w:tab/>
        <w:t xml:space="preserve">víta skutočnosť, že nadácia pokračovala vo vykonávaní rôznych opatrení na zvýšenie svojej verejnej a online prítomnosti, a to aj prostredníctvom výroby a propagácie 10 podcastov, dvoch medzinárodných ocenení a 10 spoločných oznámení, vysielania siedmich rozhovorov LIVE </w:t>
      </w:r>
      <w:proofErr w:type="spellStart"/>
      <w:r w:rsidRPr="00B339A1">
        <w:t>LearningConnects</w:t>
      </w:r>
      <w:proofErr w:type="spellEnd"/>
      <w:r w:rsidRPr="00B339A1">
        <w:t xml:space="preserve"> a účasti na konferencii COP OSN s cieľom predstaviť svoju prácu v oblasti ekologických zručností; v tejto súvislosti berie na vedomie výrazné zvýšenie metriky nadácie v sociálnych médiách v roku 2022 v porovnaní s rokom 2021;</w:t>
      </w:r>
    </w:p>
    <w:p w:rsidR="008E64D5" w:rsidRPr="00B339A1" w:rsidRDefault="008E64D5" w:rsidP="008E64D5">
      <w:pPr>
        <w:pStyle w:val="NormalHanging12a"/>
      </w:pPr>
      <w:r w:rsidRPr="00B339A1">
        <w:t>31.</w:t>
      </w:r>
      <w:r w:rsidRPr="00B339A1">
        <w:tab/>
        <w:t>opakovane žiada nadáciu, aby zabezpečila väčšiu transparentnosť a verejnú zodpovednosť lepším využívaním médií a kanálov sociálnych médií;</w:t>
      </w:r>
    </w:p>
    <w:p w:rsidR="00A124E8" w:rsidRPr="00B339A1" w:rsidRDefault="00A124E8" w:rsidP="00A124E8">
      <w:pPr>
        <w:pStyle w:val="NormalHanging12a"/>
        <w:widowControl/>
        <w:ind w:left="0" w:firstLine="0"/>
        <w:jc w:val="center"/>
      </w:pPr>
      <w:r w:rsidRPr="00B339A1">
        <w:t>°</w:t>
      </w:r>
    </w:p>
    <w:p w:rsidR="00A124E8" w:rsidRPr="00B339A1" w:rsidRDefault="00A124E8" w:rsidP="00A124E8">
      <w:pPr>
        <w:pStyle w:val="NormalHanging12a"/>
        <w:widowControl/>
        <w:ind w:left="0" w:firstLine="0"/>
        <w:jc w:val="center"/>
      </w:pPr>
      <w:r w:rsidRPr="00B339A1">
        <w:t>°     °</w:t>
      </w:r>
    </w:p>
    <w:p w:rsidR="008E64D5" w:rsidRPr="00B339A1" w:rsidRDefault="008E64D5" w:rsidP="008E64D5">
      <w:pPr>
        <w:pStyle w:val="NormalHanging12a"/>
        <w:widowControl/>
      </w:pPr>
      <w:r w:rsidRPr="00B339A1">
        <w:t>32.</w:t>
      </w:r>
      <w:r w:rsidRPr="00B339A1">
        <w:tab/>
        <w:t>pokiaľ ide o ďalšie poznámky horizontálnej povahy, ktoré sú súčasťou rozhodnutia o absolutóriu, odvoláva sa na svoje uznesenie z</w:t>
      </w:r>
      <w:r w:rsidR="00A124E8" w:rsidRPr="00B339A1">
        <w:t> </w:t>
      </w:r>
      <w:r w:rsidR="009D3FEF" w:rsidRPr="00B339A1">
        <w:t>11</w:t>
      </w:r>
      <w:r w:rsidR="00A124E8" w:rsidRPr="00B339A1">
        <w:t>. apríla 2024</w:t>
      </w:r>
      <w:r w:rsidRPr="00B339A1">
        <w:rPr>
          <w:vertAlign w:val="superscript"/>
        </w:rPr>
        <w:footnoteReference w:id="12"/>
      </w:r>
      <w:r w:rsidRPr="00B339A1">
        <w:t xml:space="preserve"> o výkonnosti, finančnom hospodárení a kontrole agentúr.</w:t>
      </w:r>
    </w:p>
    <w:sectPr w:rsidR="008E64D5" w:rsidRPr="00B339A1" w:rsidSect="00B716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6ED" w:rsidRPr="00B716F0" w:rsidRDefault="008E56ED">
      <w:r w:rsidRPr="00B716F0">
        <w:separator/>
      </w:r>
    </w:p>
  </w:endnote>
  <w:endnote w:type="continuationSeparator" w:id="0">
    <w:p w:rsidR="008E56ED" w:rsidRPr="00B716F0" w:rsidRDefault="008E56ED">
      <w:r w:rsidRPr="00B716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D5" w:rsidRPr="00B716F0" w:rsidRDefault="008E64D5" w:rsidP="00BE3891">
    <w:pPr>
      <w:pStyle w:val="EPFooter"/>
    </w:pPr>
    <w:r w:rsidRPr="00B716F0">
      <w:t>PE</w:t>
    </w:r>
    <w:r w:rsidRPr="00B716F0">
      <w:rPr>
        <w:rStyle w:val="HideTWBExt"/>
      </w:rPr>
      <w:t>&lt;NoPE&gt;</w:t>
    </w:r>
    <w:r w:rsidRPr="00B716F0">
      <w:t>753.531</w:t>
    </w:r>
    <w:r w:rsidRPr="00B716F0">
      <w:rPr>
        <w:rStyle w:val="HideTWBExt"/>
      </w:rPr>
      <w:t>&lt;/NoPE&gt;&lt;Version&gt;</w:t>
    </w:r>
    <w:r w:rsidRPr="00B716F0">
      <w:t>v02-00</w:t>
    </w:r>
    <w:r w:rsidRPr="00B716F0">
      <w:rPr>
        <w:rStyle w:val="HideTWBExt"/>
      </w:rPr>
      <w:t>&lt;/Version&gt;</w:t>
    </w:r>
    <w:r w:rsidRPr="00B716F0">
      <w:tab/>
    </w:r>
    <w:r w:rsidRPr="00B716F0">
      <w:fldChar w:fldCharType="begin"/>
    </w:r>
    <w:r w:rsidRPr="00B716F0">
      <w:instrText xml:space="preserve"> PAGE  \* MERGEFORMAT </w:instrText>
    </w:r>
    <w:r w:rsidRPr="00B716F0">
      <w:fldChar w:fldCharType="separate"/>
    </w:r>
    <w:r w:rsidR="00B716F0" w:rsidRPr="00B716F0">
      <w:rPr>
        <w:noProof/>
      </w:rPr>
      <w:t>2</w:t>
    </w:r>
    <w:r w:rsidRPr="00B716F0">
      <w:fldChar w:fldCharType="end"/>
    </w:r>
    <w:r w:rsidRPr="00B716F0">
      <w:t>/</w:t>
    </w:r>
    <w:r w:rsidR="00BC5951">
      <w:fldChar w:fldCharType="begin"/>
    </w:r>
    <w:r w:rsidR="00BC5951">
      <w:instrText xml:space="preserve"> NUMPAGES  \* MERGEFORMAT </w:instrText>
    </w:r>
    <w:r w:rsidR="00BC5951">
      <w:fldChar w:fldCharType="separate"/>
    </w:r>
    <w:r w:rsidR="00B716F0" w:rsidRPr="00B716F0">
      <w:rPr>
        <w:noProof/>
      </w:rPr>
      <w:t>4</w:t>
    </w:r>
    <w:r w:rsidR="00BC5951">
      <w:rPr>
        <w:noProof/>
      </w:rPr>
      <w:fldChar w:fldCharType="end"/>
    </w:r>
    <w:r w:rsidRPr="00B716F0">
      <w:tab/>
    </w:r>
    <w:r w:rsidRPr="00B716F0">
      <w:rPr>
        <w:rStyle w:val="HideTWBExt"/>
      </w:rPr>
      <w:t>&lt;PathFdR&gt;</w:t>
    </w:r>
    <w:r w:rsidRPr="00B716F0">
      <w:t>RR\1298972SK.docx</w:t>
    </w:r>
    <w:r w:rsidRPr="00B716F0">
      <w:rPr>
        <w:rStyle w:val="HideTWBExt"/>
      </w:rPr>
      <w:t>&lt;/PathFdR&gt;</w:t>
    </w:r>
  </w:p>
  <w:p w:rsidR="008E64D5" w:rsidRPr="00B716F0" w:rsidRDefault="008E64D5" w:rsidP="00BE3891">
    <w:pPr>
      <w:pStyle w:val="EPFooter2"/>
    </w:pPr>
    <w:r w:rsidRPr="00B716F0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D5" w:rsidRPr="00B716F0" w:rsidRDefault="008E64D5" w:rsidP="00BE3891">
    <w:pPr>
      <w:pStyle w:val="EPFooter"/>
    </w:pPr>
    <w:r w:rsidRPr="00B716F0">
      <w:rPr>
        <w:rStyle w:val="HideTWBExt"/>
      </w:rPr>
      <w:t>&lt;PathFdR&gt;</w:t>
    </w:r>
    <w:r w:rsidRPr="00B716F0">
      <w:t>RR\1298972SK.docx</w:t>
    </w:r>
    <w:r w:rsidRPr="00B716F0">
      <w:rPr>
        <w:rStyle w:val="HideTWBExt"/>
      </w:rPr>
      <w:t>&lt;/PathFdR&gt;</w:t>
    </w:r>
    <w:r w:rsidRPr="00B716F0">
      <w:tab/>
    </w:r>
    <w:r w:rsidRPr="00B716F0">
      <w:tab/>
      <w:t>PE</w:t>
    </w:r>
    <w:r w:rsidRPr="00B716F0">
      <w:rPr>
        <w:rStyle w:val="HideTWBExt"/>
      </w:rPr>
      <w:t>&lt;NoPE&gt;</w:t>
    </w:r>
    <w:r w:rsidRPr="00B716F0">
      <w:t>753.531</w:t>
    </w:r>
    <w:r w:rsidRPr="00B716F0">
      <w:rPr>
        <w:rStyle w:val="HideTWBExt"/>
      </w:rPr>
      <w:t>&lt;/NoPE&gt;&lt;Version&gt;</w:t>
    </w:r>
    <w:r w:rsidRPr="00B716F0">
      <w:t>v02-00</w:t>
    </w:r>
    <w:r w:rsidRPr="00B716F0">
      <w:rPr>
        <w:rStyle w:val="HideTWBExt"/>
      </w:rPr>
      <w:t>&lt;/Version&gt;</w:t>
    </w:r>
  </w:p>
  <w:p w:rsidR="008E64D5" w:rsidRPr="00B716F0" w:rsidRDefault="008E64D5" w:rsidP="00BE3891">
    <w:pPr>
      <w:pStyle w:val="EPFooter2"/>
    </w:pPr>
    <w:r w:rsidRPr="00B716F0">
      <w:t>SK</w:t>
    </w:r>
    <w:r w:rsidRPr="00B716F0">
      <w:tab/>
    </w:r>
    <w:r w:rsidRPr="00B716F0">
      <w:rPr>
        <w:b w:val="0"/>
        <w:i/>
        <w:color w:val="C0C0C0"/>
        <w:sz w:val="22"/>
      </w:rPr>
      <w:t>Zjednotení v rozmanitosti</w:t>
    </w:r>
    <w:r w:rsidRPr="00B716F0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F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F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6ED" w:rsidRPr="00B716F0" w:rsidRDefault="008E56ED">
      <w:r w:rsidRPr="00B716F0">
        <w:separator/>
      </w:r>
    </w:p>
  </w:footnote>
  <w:footnote w:type="continuationSeparator" w:id="0">
    <w:p w:rsidR="008E56ED" w:rsidRPr="00B716F0" w:rsidRDefault="008E56ED">
      <w:r w:rsidRPr="00B716F0">
        <w:continuationSeparator/>
      </w:r>
    </w:p>
  </w:footnote>
  <w:footnote w:id="1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 EÚ C, C/2023/594, 27.10.2023.</w:t>
      </w:r>
    </w:p>
  </w:footnote>
  <w:footnote w:id="2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 xml:space="preserve">Ú. v. EÚ </w:t>
      </w:r>
      <w:r w:rsidR="008E19F4">
        <w:rPr>
          <w:sz w:val="24"/>
          <w:lang w:val="sk-SK"/>
        </w:rPr>
        <w:t xml:space="preserve">C, </w:t>
      </w:r>
      <w:r w:rsidRPr="00B716F0">
        <w:rPr>
          <w:sz w:val="24"/>
          <w:lang w:val="sk-SK"/>
        </w:rPr>
        <w:t>C/2023/112, 12.10.2023.</w:t>
      </w:r>
    </w:p>
  </w:footnote>
  <w:footnote w:id="3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 EÚ L 193, 30.7.2018, s. 1.</w:t>
      </w:r>
    </w:p>
  </w:footnote>
  <w:footnote w:id="4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 EÚ L 354, 31.12.2008, s. 82.</w:t>
      </w:r>
    </w:p>
  </w:footnote>
  <w:footnote w:id="5">
    <w:p w:rsidR="008E64D5" w:rsidRPr="00B716F0" w:rsidRDefault="008E64D5" w:rsidP="00B716F0">
      <w:pPr>
        <w:pStyle w:val="FootnoteText"/>
        <w:ind w:left="567" w:hanging="567"/>
        <w:rPr>
          <w:sz w:val="24"/>
          <w:szCs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 v. EÚ L 122, 10.5.2019, s. 1.</w:t>
      </w:r>
    </w:p>
  </w:footnote>
  <w:footnote w:id="6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 EÚ C, C/2023/594, 27.10.2023.</w:t>
      </w:r>
    </w:p>
  </w:footnote>
  <w:footnote w:id="7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 xml:space="preserve">Ú. v. EÚ </w:t>
      </w:r>
      <w:r w:rsidR="008E19F4">
        <w:rPr>
          <w:sz w:val="24"/>
          <w:lang w:val="sk-SK"/>
        </w:rPr>
        <w:t xml:space="preserve">C, </w:t>
      </w:r>
      <w:r w:rsidRPr="00B716F0">
        <w:rPr>
          <w:sz w:val="24"/>
          <w:lang w:val="sk-SK"/>
        </w:rPr>
        <w:t>C/2023/112, 12.10.2023.</w:t>
      </w:r>
    </w:p>
  </w:footnote>
  <w:footnote w:id="8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 EÚ L 193, 30.7.2018, s. 1.</w:t>
      </w:r>
    </w:p>
  </w:footnote>
  <w:footnote w:id="9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 EÚ L 354, 31.12.2008, s. 82.</w:t>
      </w:r>
    </w:p>
  </w:footnote>
  <w:footnote w:id="10">
    <w:p w:rsidR="008E64D5" w:rsidRPr="00B716F0" w:rsidRDefault="008E64D5" w:rsidP="00B716F0">
      <w:pPr>
        <w:pStyle w:val="FootnoteText"/>
        <w:ind w:left="567" w:hanging="567"/>
        <w:rPr>
          <w:sz w:val="24"/>
          <w:szCs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 v. EÚ L 122, 10.5.2019, s. 1.</w:t>
      </w:r>
    </w:p>
  </w:footnote>
  <w:footnote w:id="11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Ú. v. EÚ C 38, 31.1.2023, s. 13.</w:t>
      </w:r>
    </w:p>
  </w:footnote>
  <w:footnote w:id="12">
    <w:p w:rsidR="008E64D5" w:rsidRPr="00B716F0" w:rsidRDefault="008E64D5" w:rsidP="00B716F0">
      <w:pPr>
        <w:pStyle w:val="FootnoteText"/>
        <w:ind w:left="567" w:hanging="567"/>
        <w:rPr>
          <w:sz w:val="24"/>
          <w:lang w:val="sk-SK"/>
        </w:rPr>
      </w:pPr>
      <w:r w:rsidRPr="00B716F0">
        <w:rPr>
          <w:rStyle w:val="FootnoteReference"/>
          <w:sz w:val="24"/>
          <w:lang w:val="sk-SK"/>
        </w:rPr>
        <w:footnoteRef/>
      </w:r>
      <w:r w:rsidR="00B716F0" w:rsidRPr="00B716F0">
        <w:rPr>
          <w:sz w:val="24"/>
          <w:lang w:val="sk-SK"/>
        </w:rPr>
        <w:t xml:space="preserve"> </w:t>
      </w:r>
      <w:r w:rsidR="00B716F0" w:rsidRPr="00B716F0">
        <w:rPr>
          <w:sz w:val="24"/>
          <w:lang w:val="sk-SK"/>
        </w:rPr>
        <w:tab/>
      </w:r>
      <w:r w:rsidRPr="00B716F0">
        <w:rPr>
          <w:sz w:val="24"/>
          <w:lang w:val="sk-SK"/>
        </w:rPr>
        <w:t>Prijaté texty, P9_TA(2024)</w:t>
      </w:r>
      <w:r w:rsidR="00B339A1">
        <w:rPr>
          <w:sz w:val="24"/>
          <w:lang w:val="sk-SK"/>
        </w:rPr>
        <w:t>0280</w:t>
      </w:r>
      <w:r w:rsidRPr="00B716F0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4/2024"/>
    <w:docVar w:name="dvlangue" w:val="SK"/>
    <w:docVar w:name="dvnumam" w:val="0"/>
    <w:docVar w:name="dvpe" w:val="753.531"/>
    <w:docVar w:name="dvrapporteur" w:val="Spravodajca: "/>
    <w:docVar w:name="dvtitre" w:val="Rozhodnutie Európskeho parlamentu z xx. apríla 2024 o absolutóriu za plnenie rozpočtu Európskej nadácie pre odborné vzdelávanie za rozpočtový rok 2022(2023/2163(DEC))"/>
  </w:docVars>
  <w:rsids>
    <w:rsidRoot w:val="008E56ED"/>
    <w:rsid w:val="00002272"/>
    <w:rsid w:val="00030F8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2A0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9F4"/>
    <w:rsid w:val="008E56ED"/>
    <w:rsid w:val="008E64D5"/>
    <w:rsid w:val="00930C23"/>
    <w:rsid w:val="0093193B"/>
    <w:rsid w:val="009509D8"/>
    <w:rsid w:val="00950B64"/>
    <w:rsid w:val="00981893"/>
    <w:rsid w:val="009D3FEF"/>
    <w:rsid w:val="00A124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9A1"/>
    <w:rsid w:val="00B558F0"/>
    <w:rsid w:val="00B716F0"/>
    <w:rsid w:val="00BC5951"/>
    <w:rsid w:val="00BD48FE"/>
    <w:rsid w:val="00BD7BD8"/>
    <w:rsid w:val="00BE6ADC"/>
    <w:rsid w:val="00C05BFE"/>
    <w:rsid w:val="00C23CD4"/>
    <w:rsid w:val="00C61C0C"/>
    <w:rsid w:val="00C759C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B62DF-18AC-41DD-929A-4C27CEC2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E64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E64D5"/>
    <w:pPr>
      <w:spacing w:before="480" w:after="240"/>
    </w:pPr>
  </w:style>
  <w:style w:type="paragraph" w:customStyle="1" w:styleId="PageHeading">
    <w:name w:val="PageHeading"/>
    <w:basedOn w:val="Normal"/>
    <w:rsid w:val="008E64D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E64D5"/>
    <w:rPr>
      <w:b/>
    </w:rPr>
  </w:style>
  <w:style w:type="paragraph" w:customStyle="1" w:styleId="NormalHanging12a">
    <w:name w:val="NormalHanging12a"/>
    <w:basedOn w:val="Normal"/>
    <w:link w:val="NormalHanging12aChar"/>
    <w:rsid w:val="008E64D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E64D5"/>
    <w:pPr>
      <w:spacing w:after="240"/>
      <w:jc w:val="center"/>
    </w:pPr>
  </w:style>
  <w:style w:type="paragraph" w:styleId="Header">
    <w:name w:val="header"/>
    <w:basedOn w:val="Normal"/>
    <w:link w:val="HeaderChar"/>
    <w:rsid w:val="008E64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64D5"/>
    <w:rPr>
      <w:sz w:val="24"/>
      <w:lang w:val="sk-SK"/>
    </w:rPr>
  </w:style>
  <w:style w:type="paragraph" w:customStyle="1" w:styleId="EPFooter">
    <w:name w:val="EPFooter"/>
    <w:basedOn w:val="Normal"/>
    <w:rsid w:val="008E64D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8E64D5"/>
    <w:pPr>
      <w:spacing w:after="240"/>
      <w:ind w:left="567" w:hanging="567"/>
    </w:pPr>
  </w:style>
  <w:style w:type="character" w:customStyle="1" w:styleId="normaltextrun">
    <w:name w:val="normaltextrun"/>
    <w:basedOn w:val="DefaultParagraphFont"/>
    <w:rsid w:val="008E64D5"/>
  </w:style>
  <w:style w:type="character" w:customStyle="1" w:styleId="NormalHanging12aChar">
    <w:name w:val="NormalHanging12a Char"/>
    <w:link w:val="NormalHanging12a"/>
    <w:locked/>
    <w:rsid w:val="008E64D5"/>
    <w:rPr>
      <w:sz w:val="24"/>
      <w:lang w:val="sk-SK"/>
    </w:rPr>
  </w:style>
  <w:style w:type="paragraph" w:styleId="Footer">
    <w:name w:val="footer"/>
    <w:basedOn w:val="Normal"/>
    <w:link w:val="FooterChar"/>
    <w:rsid w:val="00A124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124E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1222-573E-4302-84B0-4DBE8663E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2923</Words>
  <Characters>17515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2024-05-15T13:08:00Z</dcterms:created>
  <dcterms:modified xsi:type="dcterms:W3CDTF">2024-05-15T13:08:00Z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P9_TA(2024)0247_</vt:lpwstr>
  </property>
  <property fmtid="{D5CDD505-2E9C-101B-9397-08002B2CF9AE}" pid="4" name="&lt;Type&gt;">
    <vt:lpwstr>RR</vt:lpwstr>
  </property>
</Properties>
</file>