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28FB" w:rsidTr="0010095E">
        <w:trPr>
          <w:trHeight w:hRule="exact" w:val="1418"/>
        </w:trPr>
        <w:tc>
          <w:tcPr>
            <w:tcW w:w="6804" w:type="dxa"/>
            <w:shd w:val="clear" w:color="auto" w:fill="auto"/>
            <w:vAlign w:val="center"/>
          </w:tcPr>
          <w:p w:rsidR="00751A4A" w:rsidRPr="007A28FB" w:rsidRDefault="006C6BE8" w:rsidP="0010095E">
            <w:pPr>
              <w:pStyle w:val="EPName"/>
            </w:pPr>
            <w:r w:rsidRPr="007A28FB">
              <w:t>Evropski parlament</w:t>
            </w:r>
          </w:p>
          <w:p w:rsidR="00751A4A" w:rsidRPr="007A28FB" w:rsidRDefault="00817416" w:rsidP="00756632">
            <w:pPr>
              <w:pStyle w:val="EPTerm"/>
              <w:rPr>
                <w:rStyle w:val="HideTWBExt"/>
                <w:noProof w:val="0"/>
                <w:vanish w:val="0"/>
                <w:color w:val="auto"/>
              </w:rPr>
            </w:pPr>
            <w:r w:rsidRPr="007A28FB">
              <w:t>2019-2024</w:t>
            </w:r>
          </w:p>
        </w:tc>
        <w:tc>
          <w:tcPr>
            <w:tcW w:w="2268" w:type="dxa"/>
            <w:shd w:val="clear" w:color="auto" w:fill="auto"/>
          </w:tcPr>
          <w:p w:rsidR="00751A4A" w:rsidRPr="007A28FB" w:rsidRDefault="00187494" w:rsidP="0010095E">
            <w:pPr>
              <w:pStyle w:val="EPLogo"/>
            </w:pPr>
            <w:r w:rsidRPr="007A28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28FB" w:rsidRDefault="00D058B8" w:rsidP="004C5D52">
      <w:pPr>
        <w:pStyle w:val="LineTop"/>
      </w:pPr>
    </w:p>
    <w:p w:rsidR="00680577" w:rsidRPr="007A28FB" w:rsidRDefault="006C6BE8" w:rsidP="00680577">
      <w:pPr>
        <w:pStyle w:val="EPBodyTA1"/>
      </w:pPr>
      <w:r w:rsidRPr="007A28FB">
        <w:t>SPREJETA BESEDILA</w:t>
      </w:r>
    </w:p>
    <w:p w:rsidR="00D058B8" w:rsidRPr="007A28FB" w:rsidRDefault="00D058B8" w:rsidP="00D058B8">
      <w:pPr>
        <w:pStyle w:val="LineBottom"/>
      </w:pPr>
    </w:p>
    <w:p w:rsidR="006C6BE8" w:rsidRPr="007A28FB" w:rsidRDefault="006C6BE8" w:rsidP="006C6BE8">
      <w:pPr>
        <w:pStyle w:val="ATHeading1"/>
      </w:pPr>
      <w:bookmarkStart w:id="0" w:name="TANumber"/>
      <w:r w:rsidRPr="007A28FB">
        <w:t>P9_TA(2024)</w:t>
      </w:r>
      <w:bookmarkEnd w:id="0"/>
      <w:r w:rsidR="007A28FB" w:rsidRPr="007A28FB">
        <w:t>0247</w:t>
      </w:r>
    </w:p>
    <w:p w:rsidR="006C6BE8" w:rsidRPr="007A28FB" w:rsidRDefault="006C6BE8" w:rsidP="006C6BE8">
      <w:pPr>
        <w:pStyle w:val="ATHeading2"/>
      </w:pPr>
      <w:bookmarkStart w:id="1" w:name="title"/>
      <w:r w:rsidRPr="007A28FB">
        <w:t>Razrešnica za leto 2022: Evropska fundacija za usposabljanje</w:t>
      </w:r>
      <w:bookmarkEnd w:id="1"/>
    </w:p>
    <w:p w:rsidR="006C6BE8" w:rsidRPr="007A28FB" w:rsidRDefault="006C6BE8" w:rsidP="006C6BE8">
      <w:pPr>
        <w:rPr>
          <w:i/>
          <w:vanish/>
        </w:rPr>
      </w:pPr>
      <w:r w:rsidRPr="007A28FB">
        <w:rPr>
          <w:i/>
        </w:rPr>
        <w:fldChar w:fldCharType="begin"/>
      </w:r>
      <w:r w:rsidRPr="007A28FB">
        <w:rPr>
          <w:i/>
        </w:rPr>
        <w:instrText xml:space="preserve"> TC"(</w:instrText>
      </w:r>
      <w:bookmarkStart w:id="2" w:name="DocNumber"/>
      <w:r w:rsidRPr="007A28FB">
        <w:rPr>
          <w:i/>
        </w:rPr>
        <w:instrText>A9-0114/2024</w:instrText>
      </w:r>
      <w:bookmarkEnd w:id="2"/>
      <w:r w:rsidRPr="007A28FB">
        <w:rPr>
          <w:i/>
        </w:rPr>
        <w:instrText xml:space="preserve"> - Poročevalec: Petri Sarvamaa)"\l3 \n&gt; \* MERGEFORMAT </w:instrText>
      </w:r>
      <w:r w:rsidRPr="007A28FB">
        <w:rPr>
          <w:i/>
        </w:rPr>
        <w:fldChar w:fldCharType="end"/>
      </w:r>
    </w:p>
    <w:p w:rsidR="006C6BE8" w:rsidRPr="007A28FB" w:rsidRDefault="006C6BE8" w:rsidP="006C6BE8">
      <w:pPr>
        <w:rPr>
          <w:vanish/>
        </w:rPr>
      </w:pPr>
      <w:bookmarkStart w:id="3" w:name="Commission"/>
      <w:r w:rsidRPr="007A28FB">
        <w:rPr>
          <w:vanish/>
        </w:rPr>
        <w:t>Odbor za proračunski nadzor</w:t>
      </w:r>
      <w:bookmarkEnd w:id="3"/>
    </w:p>
    <w:p w:rsidR="006C6BE8" w:rsidRPr="007A28FB" w:rsidRDefault="006C6BE8" w:rsidP="006C6BE8">
      <w:pPr>
        <w:rPr>
          <w:vanish/>
        </w:rPr>
      </w:pPr>
      <w:bookmarkStart w:id="4" w:name="PE"/>
      <w:r w:rsidRPr="007A28FB">
        <w:rPr>
          <w:vanish/>
        </w:rPr>
        <w:t>PE753.531</w:t>
      </w:r>
      <w:bookmarkEnd w:id="4"/>
    </w:p>
    <w:p w:rsidR="006C6BE8" w:rsidRPr="007A28FB" w:rsidRDefault="00582E5A" w:rsidP="006C6BE8">
      <w:pPr>
        <w:pStyle w:val="ATHeading3"/>
      </w:pPr>
      <w:bookmarkStart w:id="5" w:name="Sujet"/>
      <w:r w:rsidRPr="007A28FB">
        <w:t xml:space="preserve">1. </w:t>
      </w:r>
      <w:r w:rsidR="006C6BE8" w:rsidRPr="007A28FB">
        <w:t xml:space="preserve">Sklep Evropskega parlamenta </w:t>
      </w:r>
      <w:r w:rsidRPr="007A28FB">
        <w:t xml:space="preserve">11. aprila 2024 </w:t>
      </w:r>
      <w:r w:rsidR="006C6BE8" w:rsidRPr="007A28FB">
        <w:t>o razrešnici glede izvrševanja proračuna Evropske fundacije za usposabljanje za proračunsko leto 2022</w:t>
      </w:r>
      <w:bookmarkEnd w:id="5"/>
      <w:r w:rsidR="006C6BE8" w:rsidRPr="007A28FB">
        <w:t xml:space="preserve"> </w:t>
      </w:r>
      <w:bookmarkStart w:id="6" w:name="References"/>
      <w:r w:rsidR="006C6BE8" w:rsidRPr="007A28FB">
        <w:t>(2023/2163(DEC))</w:t>
      </w:r>
      <w:bookmarkEnd w:id="6"/>
    </w:p>
    <w:p w:rsidR="00FF317F" w:rsidRPr="007A28FB" w:rsidRDefault="00FF317F" w:rsidP="00FF317F">
      <w:pPr>
        <w:pStyle w:val="EPComma"/>
      </w:pPr>
      <w:bookmarkStart w:id="7" w:name="TextBodyBegin"/>
      <w:bookmarkEnd w:id="7"/>
      <w:r w:rsidRPr="007A28FB">
        <w:rPr>
          <w:i/>
        </w:rPr>
        <w:t>Evropski parlament</w:t>
      </w:r>
      <w:r w:rsidRPr="007A28FB">
        <w:t>,</w:t>
      </w:r>
    </w:p>
    <w:p w:rsidR="00FF317F" w:rsidRPr="007A28FB" w:rsidRDefault="00FF317F" w:rsidP="00FF317F">
      <w:pPr>
        <w:pStyle w:val="NormalHanging12a"/>
      </w:pPr>
      <w:r w:rsidRPr="007A28FB">
        <w:t>–</w:t>
      </w:r>
      <w:r w:rsidRPr="007A28FB">
        <w:tab/>
        <w:t>ob upoštevanju končnega zaključnega računa Evropske fundacije za usposabljanje za proračunsko leto 2022,</w:t>
      </w:r>
    </w:p>
    <w:p w:rsidR="00FF317F" w:rsidRPr="007A28FB" w:rsidRDefault="00FF317F" w:rsidP="00FF317F">
      <w:pPr>
        <w:pStyle w:val="NormalHanging12a"/>
      </w:pPr>
      <w:r w:rsidRPr="007A28FB">
        <w:t>–</w:t>
      </w:r>
      <w:r w:rsidRPr="007A28FB">
        <w:tab/>
        <w:t>ob upoštevanju letnega poročila Računskega sodišča o agencijah EU za proračunsko leto 2022 skupaj z odgovori agencij</w:t>
      </w:r>
      <w:r w:rsidRPr="007A28FB">
        <w:rPr>
          <w:rStyle w:val="FootnoteReference"/>
        </w:rPr>
        <w:footnoteReference w:id="1"/>
      </w:r>
      <w:r w:rsidRPr="007A28FB">
        <w:t>,</w:t>
      </w:r>
    </w:p>
    <w:p w:rsidR="00FF317F" w:rsidRPr="007A28FB" w:rsidRDefault="00FF317F" w:rsidP="00FF317F">
      <w:pPr>
        <w:pStyle w:val="NormalHanging12a"/>
      </w:pPr>
      <w:r w:rsidRPr="007A28FB">
        <w:t>–</w:t>
      </w:r>
      <w:r w:rsidRPr="007A28FB">
        <w:tab/>
        <w:t>ob upoštevanju izjave o zanesljivosti</w:t>
      </w:r>
      <w:r w:rsidRPr="007A28FB">
        <w:rPr>
          <w:rStyle w:val="FootnoteReference"/>
        </w:rPr>
        <w:footnoteReference w:id="2"/>
      </w:r>
      <w:r w:rsidRPr="007A28FB">
        <w:t xml:space="preserve"> računovodskih izkazov ter zakonitosti in pravilnosti z njimi povezanih transakcij, ki jo je za proračunsko leto 2022 v skladu s členom 287 Pogodbe o delovanju Evropske unije pripravilo Računsko sodišče,</w:t>
      </w:r>
    </w:p>
    <w:p w:rsidR="00FF317F" w:rsidRPr="007A28FB" w:rsidRDefault="00FF317F" w:rsidP="00FF317F">
      <w:pPr>
        <w:pStyle w:val="NormalHanging12a"/>
      </w:pPr>
      <w:r w:rsidRPr="007A28FB">
        <w:t>–</w:t>
      </w:r>
      <w:r w:rsidRPr="007A28FB">
        <w:tab/>
        <w:t>ob upoštevanju priporočila Sveta z dne 22. februarja 2024 o podelitvi razrešnice fundaciji glede izvrševanja proračuna za proračunsko leto 2022 (</w:t>
      </w:r>
      <w:r w:rsidR="00DC2E86" w:rsidRPr="007A28FB">
        <w:t>06180</w:t>
      </w:r>
      <w:r w:rsidRPr="007A28FB">
        <w:t>/2024 – C9</w:t>
      </w:r>
      <w:r w:rsidRPr="007A28FB">
        <w:noBreakHyphen/>
      </w:r>
      <w:r w:rsidR="00DC2E86" w:rsidRPr="007A28FB">
        <w:t>0101</w:t>
      </w:r>
      <w:r w:rsidRPr="007A28FB">
        <w:t>/2024),</w:t>
      </w:r>
    </w:p>
    <w:p w:rsidR="00FF317F" w:rsidRPr="007A28FB" w:rsidRDefault="00FF317F" w:rsidP="00FF317F">
      <w:pPr>
        <w:pStyle w:val="NormalHanging12a"/>
      </w:pPr>
      <w:r w:rsidRPr="007A28FB">
        <w:t>–</w:t>
      </w:r>
      <w:r w:rsidRPr="007A28FB">
        <w:tab/>
        <w:t>ob upoštevanju člena 319 Pogodbe o delovanju Evropske unije,</w:t>
      </w:r>
    </w:p>
    <w:p w:rsidR="00FF317F" w:rsidRPr="007A28FB" w:rsidRDefault="00FF317F" w:rsidP="00FF317F">
      <w:pPr>
        <w:pStyle w:val="NormalHanging12a"/>
      </w:pPr>
      <w:r w:rsidRPr="007A28FB">
        <w:t>–</w:t>
      </w:r>
      <w:r w:rsidRPr="007A28FB">
        <w:tab/>
        <w:t xml:space="preserve">ob upoštevanju Uredbe (EU, </w:t>
      </w:r>
      <w:proofErr w:type="spellStart"/>
      <w:r w:rsidRPr="007A28FB">
        <w:t>Euratom</w:t>
      </w:r>
      <w:proofErr w:type="spellEnd"/>
      <w:r w:rsidRPr="007A28FB">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7A28FB">
        <w:t>Euratom</w:t>
      </w:r>
      <w:proofErr w:type="spellEnd"/>
      <w:r w:rsidRPr="007A28FB">
        <w:t>) št. 966/2012</w:t>
      </w:r>
      <w:r w:rsidRPr="007A28FB">
        <w:rPr>
          <w:rStyle w:val="FootnoteReference"/>
        </w:rPr>
        <w:footnoteReference w:id="3"/>
      </w:r>
      <w:r w:rsidRPr="007A28FB">
        <w:t xml:space="preserve"> in zlasti člena 70,</w:t>
      </w:r>
    </w:p>
    <w:p w:rsidR="00FF317F" w:rsidRPr="007A28FB" w:rsidRDefault="00FF317F" w:rsidP="00FF317F">
      <w:pPr>
        <w:pStyle w:val="NormalHanging12a"/>
      </w:pPr>
      <w:r w:rsidRPr="007A28FB">
        <w:t>–</w:t>
      </w:r>
      <w:r w:rsidRPr="007A28FB">
        <w:tab/>
        <w:t xml:space="preserve">ob upoštevanju Uredbe (ES) št. 1339/2008 Evropskega parlamenta in Sveta z dne 16. </w:t>
      </w:r>
      <w:r w:rsidRPr="007A28FB">
        <w:lastRenderedPageBreak/>
        <w:t>decembra 2008 o ustanovitvi Evropske fundacije za usposabljanje</w:t>
      </w:r>
      <w:r w:rsidRPr="007A28FB">
        <w:rPr>
          <w:rStyle w:val="FootnoteReference"/>
        </w:rPr>
        <w:footnoteReference w:id="4"/>
      </w:r>
      <w:r w:rsidRPr="007A28FB">
        <w:t xml:space="preserve"> in zlasti člena 17,</w:t>
      </w:r>
    </w:p>
    <w:p w:rsidR="00FF317F" w:rsidRPr="007A28FB" w:rsidRDefault="00FF317F" w:rsidP="00FF317F">
      <w:pPr>
        <w:pStyle w:val="NormalHanging12a"/>
      </w:pPr>
      <w:r w:rsidRPr="007A28FB">
        <w:t>–</w:t>
      </w:r>
      <w:r w:rsidRPr="007A28FB">
        <w:tab/>
        <w:t xml:space="preserve">ob upoštevanju Delegirane uredbe Komisije (EU) 2019/715 z dne 18. decembra 2018 o okvirni finančni uredbi za organe, ustanovljene na podlagi PDEU in Pogodbe </w:t>
      </w:r>
      <w:proofErr w:type="spellStart"/>
      <w:r w:rsidRPr="007A28FB">
        <w:t>Euratom</w:t>
      </w:r>
      <w:proofErr w:type="spellEnd"/>
      <w:r w:rsidRPr="007A28FB">
        <w:t xml:space="preserve">, iz člena 70 Uredbe (EU, </w:t>
      </w:r>
      <w:proofErr w:type="spellStart"/>
      <w:r w:rsidRPr="007A28FB">
        <w:t>Euratom</w:t>
      </w:r>
      <w:proofErr w:type="spellEnd"/>
      <w:r w:rsidRPr="007A28FB">
        <w:t>) 2018/1046 Evropskega parlamenta in Sveta</w:t>
      </w:r>
      <w:r w:rsidRPr="007A28FB">
        <w:rPr>
          <w:rStyle w:val="FootnoteReference"/>
        </w:rPr>
        <w:footnoteReference w:id="5"/>
      </w:r>
      <w:r w:rsidRPr="007A28FB">
        <w:t xml:space="preserve"> in zlasti člena 105,</w:t>
      </w:r>
    </w:p>
    <w:p w:rsidR="00FF317F" w:rsidRPr="007A28FB" w:rsidRDefault="00FF317F" w:rsidP="00FF317F">
      <w:pPr>
        <w:pStyle w:val="NormalHanging12a"/>
      </w:pPr>
      <w:r w:rsidRPr="007A28FB">
        <w:t>–</w:t>
      </w:r>
      <w:r w:rsidRPr="007A28FB">
        <w:tab/>
        <w:t>ob upoštevanju člena 100 in Priloge V Poslovnika,</w:t>
      </w:r>
    </w:p>
    <w:p w:rsidR="00FF317F" w:rsidRPr="007A28FB" w:rsidRDefault="00FF317F" w:rsidP="00FF317F">
      <w:pPr>
        <w:pStyle w:val="NormalHanging12a"/>
      </w:pPr>
      <w:r w:rsidRPr="007A28FB">
        <w:t>–</w:t>
      </w:r>
      <w:r w:rsidRPr="007A28FB">
        <w:tab/>
        <w:t>ob upoštevanju mnenja Odbora za zaposlovanje in socialne zadeve,</w:t>
      </w:r>
    </w:p>
    <w:p w:rsidR="00FF317F" w:rsidRPr="007A28FB" w:rsidRDefault="00FF317F" w:rsidP="00FF317F">
      <w:pPr>
        <w:pStyle w:val="NormalHanging12a"/>
      </w:pPr>
      <w:r w:rsidRPr="007A28FB">
        <w:t>–</w:t>
      </w:r>
      <w:r w:rsidRPr="007A28FB">
        <w:tab/>
        <w:t>ob upoštevanju poročila Odbora za proračunski nadzor (A9</w:t>
      </w:r>
      <w:r w:rsidRPr="007A28FB">
        <w:noBreakHyphen/>
        <w:t>0114/2024),</w:t>
      </w:r>
    </w:p>
    <w:p w:rsidR="00FF317F" w:rsidRPr="007A28FB" w:rsidRDefault="00FF317F" w:rsidP="00FF317F">
      <w:pPr>
        <w:pStyle w:val="NormalHanging12a"/>
      </w:pPr>
      <w:r w:rsidRPr="007A28FB">
        <w:t>1.</w:t>
      </w:r>
      <w:r w:rsidRPr="007A28FB">
        <w:tab/>
        <w:t>podeli razrešnico direktorici Evropske fundacije za usposabljanje glede izvrševanja proračuna fundacije za proračunsko leto 2022;</w:t>
      </w:r>
    </w:p>
    <w:p w:rsidR="00FF317F" w:rsidRPr="007A28FB" w:rsidRDefault="00FF317F" w:rsidP="00FF317F">
      <w:pPr>
        <w:pStyle w:val="NormalHanging12a"/>
      </w:pPr>
      <w:r w:rsidRPr="007A28FB">
        <w:t>2.</w:t>
      </w:r>
      <w:r w:rsidRPr="007A28FB">
        <w:tab/>
        <w:t>navaja svoje pripombe v spodnji resoluciji;</w:t>
      </w:r>
    </w:p>
    <w:p w:rsidR="00FF317F" w:rsidRPr="007A28FB" w:rsidRDefault="00FF317F" w:rsidP="00FF317F">
      <w:pPr>
        <w:pStyle w:val="NormalHanging12a"/>
      </w:pPr>
      <w:r w:rsidRPr="007A28FB">
        <w:t>3.</w:t>
      </w:r>
      <w:r w:rsidRPr="007A28FB">
        <w:tab/>
        <w:t xml:space="preserve">naroči svoji predsednici, naj ta sklep in resolucijo, ki je del sklepa, posreduje direktorici Evropske fundacije za usposabljanje, Svetu, Komisiji in Računskemu sodišču in poskrbi za objavo v </w:t>
      </w:r>
      <w:r w:rsidRPr="007A28FB">
        <w:rPr>
          <w:i/>
        </w:rPr>
        <w:t>Uradnem listu Evropske unije</w:t>
      </w:r>
      <w:r w:rsidRPr="007A28FB">
        <w:t xml:space="preserve"> (serija L).</w:t>
      </w:r>
    </w:p>
    <w:p w:rsidR="00FF317F" w:rsidRPr="007A28FB" w:rsidRDefault="00FF317F" w:rsidP="00FF317F"/>
    <w:p w:rsidR="00FF317F" w:rsidRPr="007A28FB" w:rsidRDefault="00FF317F" w:rsidP="00FF317F">
      <w:pPr>
        <w:pStyle w:val="PageHeading"/>
        <w:sectPr w:rsidR="00FF317F" w:rsidRPr="007A28FB" w:rsidSect="001F484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F317F" w:rsidRPr="007A28FB" w:rsidRDefault="00FF317F" w:rsidP="00582E5A">
      <w:pPr>
        <w:pStyle w:val="ATHeading3"/>
      </w:pPr>
      <w:bookmarkStart w:id="8" w:name="_Toc162002000"/>
      <w:r w:rsidRPr="007A28FB">
        <w:lastRenderedPageBreak/>
        <w:t xml:space="preserve">2. </w:t>
      </w:r>
      <w:bookmarkEnd w:id="8"/>
      <w:r w:rsidR="00582E5A" w:rsidRPr="007A28FB">
        <w:t xml:space="preserve">Sklep Evropskega parlamenta z dne 11. aprila 2024 </w:t>
      </w:r>
      <w:r w:rsidRPr="007A28FB">
        <w:t>o zaključnem računu Evropske fundacije za usposabljanje za proračunsko leto 2022</w:t>
      </w:r>
      <w:r w:rsidR="00582E5A" w:rsidRPr="007A28FB">
        <w:t xml:space="preserve"> (2023</w:t>
      </w:r>
      <w:r w:rsidRPr="007A28FB">
        <w:t>/2163(DEC))</w:t>
      </w:r>
    </w:p>
    <w:p w:rsidR="00FF317F" w:rsidRPr="007A28FB" w:rsidRDefault="00FF317F" w:rsidP="00FF317F">
      <w:pPr>
        <w:pStyle w:val="EPComma"/>
      </w:pPr>
      <w:r w:rsidRPr="007A28FB">
        <w:rPr>
          <w:i/>
        </w:rPr>
        <w:t>Evropski parlament</w:t>
      </w:r>
      <w:r w:rsidRPr="007A28FB">
        <w:t>,</w:t>
      </w:r>
    </w:p>
    <w:p w:rsidR="00FF317F" w:rsidRPr="007A28FB" w:rsidRDefault="00FF317F" w:rsidP="00FF317F">
      <w:pPr>
        <w:pStyle w:val="NormalHanging12a"/>
      </w:pPr>
      <w:r w:rsidRPr="007A28FB">
        <w:t>–</w:t>
      </w:r>
      <w:r w:rsidRPr="007A28FB">
        <w:tab/>
        <w:t>ob upoštevanju končnega zaključnega računa Evropske fundacije za usposabljanje za proračunsko leto 2022,</w:t>
      </w:r>
    </w:p>
    <w:p w:rsidR="00FF317F" w:rsidRPr="007A28FB" w:rsidRDefault="00FF317F" w:rsidP="00FF317F">
      <w:pPr>
        <w:pStyle w:val="NormalHanging12a"/>
      </w:pPr>
      <w:r w:rsidRPr="007A28FB">
        <w:t>–</w:t>
      </w:r>
      <w:r w:rsidRPr="007A28FB">
        <w:tab/>
        <w:t>ob upoštevanju letnega poročila Računskega sodišča o agencijah EU za proračunsko leto 2022 skupaj z odgovori agencij</w:t>
      </w:r>
      <w:r w:rsidRPr="007A28FB">
        <w:rPr>
          <w:rStyle w:val="FootnoteReference"/>
        </w:rPr>
        <w:footnoteReference w:id="6"/>
      </w:r>
      <w:r w:rsidRPr="007A28FB">
        <w:t>,</w:t>
      </w:r>
    </w:p>
    <w:p w:rsidR="00FF317F" w:rsidRPr="007A28FB" w:rsidRDefault="00FF317F" w:rsidP="00FF317F">
      <w:pPr>
        <w:pStyle w:val="NormalHanging12a"/>
      </w:pPr>
      <w:r w:rsidRPr="007A28FB">
        <w:t>–</w:t>
      </w:r>
      <w:r w:rsidRPr="007A28FB">
        <w:tab/>
        <w:t>ob upoštevanju izjave o zanesljivosti</w:t>
      </w:r>
      <w:r w:rsidRPr="007A28FB">
        <w:rPr>
          <w:rStyle w:val="FootnoteReference"/>
        </w:rPr>
        <w:footnoteReference w:id="7"/>
      </w:r>
      <w:r w:rsidRPr="007A28FB">
        <w:t xml:space="preserve"> računovodskih izkazov ter zakonitosti in pravilnosti z njimi povezanih transakcij, ki jo je za proračunsko leto 2022 v skladu s členom 287 Pogodbe o delovanju Evropske unije pripravilo Računsko sodišče,</w:t>
      </w:r>
    </w:p>
    <w:p w:rsidR="00FF317F" w:rsidRPr="007A28FB" w:rsidRDefault="00FF317F" w:rsidP="00FF317F">
      <w:pPr>
        <w:pStyle w:val="NormalHanging12a"/>
      </w:pPr>
      <w:r w:rsidRPr="007A28FB">
        <w:t>–</w:t>
      </w:r>
      <w:r w:rsidRPr="007A28FB">
        <w:tab/>
        <w:t>ob upoštevanju priporočila Sveta z dne 22. februarja 2024 o podelitvi razrešnice fundaciji glede izvrševanja proračuna za proračunsko leto 2022 (</w:t>
      </w:r>
      <w:r w:rsidR="00DC2E86" w:rsidRPr="007A28FB">
        <w:t>06180</w:t>
      </w:r>
      <w:r w:rsidRPr="007A28FB">
        <w:t>/2024 – C9</w:t>
      </w:r>
      <w:r w:rsidRPr="007A28FB">
        <w:noBreakHyphen/>
      </w:r>
      <w:r w:rsidR="00DC2E86" w:rsidRPr="007A28FB">
        <w:t>0101</w:t>
      </w:r>
      <w:r w:rsidRPr="007A28FB">
        <w:t>/2024),</w:t>
      </w:r>
    </w:p>
    <w:p w:rsidR="00FF317F" w:rsidRPr="007A28FB" w:rsidRDefault="00FF317F" w:rsidP="00FF317F">
      <w:pPr>
        <w:pStyle w:val="NormalHanging12a"/>
      </w:pPr>
      <w:r w:rsidRPr="007A28FB">
        <w:t>–</w:t>
      </w:r>
      <w:r w:rsidRPr="007A28FB">
        <w:tab/>
        <w:t>ob upoštevanju člena 319 Pogodbe o delovanju Evropske unije,</w:t>
      </w:r>
    </w:p>
    <w:p w:rsidR="00FF317F" w:rsidRPr="007A28FB" w:rsidRDefault="00FF317F" w:rsidP="00FF317F">
      <w:pPr>
        <w:pStyle w:val="NormalHanging12a"/>
      </w:pPr>
      <w:r w:rsidRPr="007A28FB">
        <w:t>–</w:t>
      </w:r>
      <w:r w:rsidRPr="007A28FB">
        <w:tab/>
        <w:t xml:space="preserve">ob upoštevanju Uredbe (EU, </w:t>
      </w:r>
      <w:proofErr w:type="spellStart"/>
      <w:r w:rsidRPr="007A28FB">
        <w:t>Euratom</w:t>
      </w:r>
      <w:proofErr w:type="spellEnd"/>
      <w:r w:rsidRPr="007A28FB">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7A28FB">
        <w:t>Euratom</w:t>
      </w:r>
      <w:proofErr w:type="spellEnd"/>
      <w:r w:rsidRPr="007A28FB">
        <w:t>) št. 966/2012</w:t>
      </w:r>
      <w:r w:rsidRPr="007A28FB">
        <w:rPr>
          <w:rStyle w:val="FootnoteReference"/>
        </w:rPr>
        <w:footnoteReference w:id="8"/>
      </w:r>
      <w:r w:rsidRPr="007A28FB">
        <w:t xml:space="preserve"> in zlasti člena 70,</w:t>
      </w:r>
    </w:p>
    <w:p w:rsidR="00FF317F" w:rsidRPr="007A28FB" w:rsidRDefault="00FF317F" w:rsidP="00FF317F">
      <w:pPr>
        <w:pStyle w:val="NormalHanging12a"/>
      </w:pPr>
      <w:r w:rsidRPr="007A28FB">
        <w:t>–</w:t>
      </w:r>
      <w:r w:rsidRPr="007A28FB">
        <w:tab/>
        <w:t>ob upoštevanju Uredbe (ES) št. 1339/2008 Evropskega parlamenta in Sveta z dne 16. decembra 2008 o ustanovitvi Evropske fundacije za usposabljanje</w:t>
      </w:r>
      <w:r w:rsidRPr="007A28FB">
        <w:rPr>
          <w:rStyle w:val="FootnoteReference"/>
        </w:rPr>
        <w:footnoteReference w:id="9"/>
      </w:r>
      <w:r w:rsidRPr="007A28FB">
        <w:t xml:space="preserve"> in zlasti člena 17,</w:t>
      </w:r>
    </w:p>
    <w:p w:rsidR="00FF317F" w:rsidRPr="007A28FB" w:rsidRDefault="00FF317F" w:rsidP="00FF317F">
      <w:pPr>
        <w:pStyle w:val="NormalHanging12a"/>
      </w:pPr>
      <w:r w:rsidRPr="007A28FB">
        <w:t>–</w:t>
      </w:r>
      <w:r w:rsidRPr="007A28FB">
        <w:tab/>
        <w:t xml:space="preserve">ob upoštevanju Delegirane uredbe Komisije (EU) 2019/715 z dne 18. decembra 2018 o okvirni finančni uredbi za organe, ustanovljene na podlagi PDEU in Pogodbe </w:t>
      </w:r>
      <w:proofErr w:type="spellStart"/>
      <w:r w:rsidRPr="007A28FB">
        <w:t>Euratom</w:t>
      </w:r>
      <w:proofErr w:type="spellEnd"/>
      <w:r w:rsidRPr="007A28FB">
        <w:t xml:space="preserve">, iz člena 70 Uredbe (EU, </w:t>
      </w:r>
      <w:proofErr w:type="spellStart"/>
      <w:r w:rsidRPr="007A28FB">
        <w:t>Euratom</w:t>
      </w:r>
      <w:proofErr w:type="spellEnd"/>
      <w:r w:rsidRPr="007A28FB">
        <w:t>) 2018/1046 Evropskega parlamenta in Sveta</w:t>
      </w:r>
      <w:r w:rsidRPr="007A28FB">
        <w:rPr>
          <w:rStyle w:val="FootnoteReference"/>
        </w:rPr>
        <w:footnoteReference w:id="10"/>
      </w:r>
      <w:r w:rsidRPr="007A28FB">
        <w:t xml:space="preserve"> in zlasti člena 105,</w:t>
      </w:r>
    </w:p>
    <w:p w:rsidR="00FF317F" w:rsidRPr="007A28FB" w:rsidRDefault="00FF317F" w:rsidP="00FF317F">
      <w:pPr>
        <w:pStyle w:val="NormalHanging12a"/>
      </w:pPr>
      <w:r w:rsidRPr="007A28FB">
        <w:t>–</w:t>
      </w:r>
      <w:r w:rsidRPr="007A28FB">
        <w:tab/>
        <w:t>ob upoštevanju člena 100 in Priloge V Poslovnika,</w:t>
      </w:r>
    </w:p>
    <w:p w:rsidR="00FF317F" w:rsidRPr="007A28FB" w:rsidRDefault="00FF317F" w:rsidP="00FF317F">
      <w:pPr>
        <w:pStyle w:val="NormalHanging12a"/>
      </w:pPr>
      <w:r w:rsidRPr="007A28FB">
        <w:t>–</w:t>
      </w:r>
      <w:r w:rsidRPr="007A28FB">
        <w:tab/>
        <w:t>ob upoštevanju mnenja Odbora za zaposlovanje in socialne zadeve,</w:t>
      </w:r>
    </w:p>
    <w:p w:rsidR="00FF317F" w:rsidRPr="007A28FB" w:rsidRDefault="00FF317F" w:rsidP="00FF317F">
      <w:pPr>
        <w:pStyle w:val="NormalHanging12a"/>
      </w:pPr>
      <w:r w:rsidRPr="007A28FB">
        <w:t>–</w:t>
      </w:r>
      <w:r w:rsidRPr="007A28FB">
        <w:tab/>
        <w:t>ob upoštevanju poročila Odbora za proračunski nadzor (A9</w:t>
      </w:r>
      <w:r w:rsidRPr="007A28FB">
        <w:noBreakHyphen/>
        <w:t>0114/2024),</w:t>
      </w:r>
    </w:p>
    <w:p w:rsidR="00FF317F" w:rsidRPr="007A28FB" w:rsidRDefault="00FF317F" w:rsidP="00FF317F">
      <w:pPr>
        <w:pStyle w:val="NormalHanging12a"/>
      </w:pPr>
      <w:r w:rsidRPr="007A28FB">
        <w:t>1.</w:t>
      </w:r>
      <w:r w:rsidRPr="007A28FB">
        <w:tab/>
        <w:t>odobri zaključni račun Evropske fundacije za usposabljanje za proračunsko leto 2022;</w:t>
      </w:r>
    </w:p>
    <w:p w:rsidR="00FF317F" w:rsidRPr="007A28FB" w:rsidRDefault="00FF317F" w:rsidP="00FF317F">
      <w:pPr>
        <w:pStyle w:val="NormalHanging12a"/>
      </w:pPr>
      <w:r w:rsidRPr="007A28FB">
        <w:t>2.</w:t>
      </w:r>
      <w:r w:rsidRPr="007A28FB">
        <w:tab/>
        <w:t xml:space="preserve">naroči svoji predsednici, naj ta sklep posreduje direktorici Evropske fundacije za usposabljanje, Svetu, Komisiji in Računskemu sodišču in poskrbi za objavo v </w:t>
      </w:r>
      <w:r w:rsidRPr="007A28FB">
        <w:rPr>
          <w:i/>
        </w:rPr>
        <w:t>Uradnem listu Evropske unije</w:t>
      </w:r>
      <w:r w:rsidRPr="007A28FB">
        <w:t xml:space="preserve"> (serija L).</w:t>
      </w:r>
    </w:p>
    <w:p w:rsidR="00FF317F" w:rsidRPr="007A28FB" w:rsidRDefault="00FF317F" w:rsidP="00FF317F"/>
    <w:p w:rsidR="00FF317F" w:rsidRPr="007A28FB" w:rsidRDefault="00FF317F" w:rsidP="00FF317F">
      <w:pPr>
        <w:pStyle w:val="PageHeading"/>
        <w:sectPr w:rsidR="00FF317F" w:rsidRPr="007A28FB" w:rsidSect="001F484B">
          <w:footnotePr>
            <w:numRestart w:val="eachPage"/>
          </w:footnotePr>
          <w:endnotePr>
            <w:numFmt w:val="decimal"/>
          </w:endnotePr>
          <w:pgSz w:w="11906" w:h="16838" w:code="9"/>
          <w:pgMar w:top="1134" w:right="1418" w:bottom="1418" w:left="1418" w:header="567" w:footer="567" w:gutter="0"/>
          <w:cols w:space="720"/>
          <w:noEndnote/>
          <w:docGrid w:linePitch="326"/>
        </w:sectPr>
      </w:pPr>
    </w:p>
    <w:p w:rsidR="00FF317F" w:rsidRPr="007A28FB" w:rsidRDefault="00FF317F" w:rsidP="00582E5A">
      <w:pPr>
        <w:pStyle w:val="ATHeading3"/>
      </w:pPr>
      <w:bookmarkStart w:id="9" w:name="_Toc162002001"/>
      <w:r w:rsidRPr="007A28FB">
        <w:t xml:space="preserve">3. </w:t>
      </w:r>
      <w:bookmarkEnd w:id="9"/>
      <w:r w:rsidR="00582E5A" w:rsidRPr="007A28FB">
        <w:t xml:space="preserve">Resolucija Evropskega parlamenta z dne 11. aprila 2024 </w:t>
      </w:r>
      <w:r w:rsidRPr="007A28FB">
        <w:t>s pripombami, ki so del sklepa o razrešnici glede izvrševanja proračuna Evropske fundacije za usposabljanje za proračunsko leto 2022</w:t>
      </w:r>
      <w:r w:rsidR="00582E5A" w:rsidRPr="007A28FB">
        <w:t xml:space="preserve"> (2023</w:t>
      </w:r>
      <w:r w:rsidRPr="007A28FB">
        <w:t>/2163(DEC))</w:t>
      </w:r>
    </w:p>
    <w:p w:rsidR="00FF317F" w:rsidRPr="007A28FB" w:rsidRDefault="00FF317F" w:rsidP="00FF317F">
      <w:pPr>
        <w:pStyle w:val="EPComma"/>
      </w:pPr>
      <w:r w:rsidRPr="007A28FB">
        <w:rPr>
          <w:i/>
        </w:rPr>
        <w:t>Evropski parlament</w:t>
      </w:r>
      <w:r w:rsidRPr="007A28FB">
        <w:t>,</w:t>
      </w:r>
    </w:p>
    <w:p w:rsidR="00FF317F" w:rsidRPr="007A28FB" w:rsidRDefault="00FF317F" w:rsidP="00FF317F">
      <w:pPr>
        <w:pStyle w:val="NormalHanging12a"/>
      </w:pPr>
      <w:r w:rsidRPr="007A28FB">
        <w:t>–</w:t>
      </w:r>
      <w:r w:rsidRPr="007A28FB">
        <w:tab/>
        <w:t>ob upoštevanju sklepa o razrešnici glede izvrševanja proračuna Evropske fundacije za usposabljanje za proračunsko leto 2022,</w:t>
      </w:r>
    </w:p>
    <w:p w:rsidR="00FF317F" w:rsidRPr="007A28FB" w:rsidRDefault="00FF317F" w:rsidP="00FF317F">
      <w:pPr>
        <w:pStyle w:val="NormalHanging12a"/>
      </w:pPr>
      <w:r w:rsidRPr="007A28FB">
        <w:t>–</w:t>
      </w:r>
      <w:r w:rsidRPr="007A28FB">
        <w:tab/>
        <w:t>ob upoštevanju člena 100 in Priloge V Poslovnika,</w:t>
      </w:r>
    </w:p>
    <w:p w:rsidR="00FF317F" w:rsidRPr="007A28FB" w:rsidRDefault="00FF317F" w:rsidP="00FF317F">
      <w:pPr>
        <w:pStyle w:val="NormalHanging12a"/>
      </w:pPr>
      <w:r w:rsidRPr="007A28FB">
        <w:t>–</w:t>
      </w:r>
      <w:r w:rsidRPr="007A28FB">
        <w:tab/>
        <w:t>ob upoštevanju mnenja Odbora za zaposlovanje in socialne zadeve,</w:t>
      </w:r>
    </w:p>
    <w:p w:rsidR="00FF317F" w:rsidRPr="007A28FB" w:rsidRDefault="00FF317F" w:rsidP="00FF317F">
      <w:pPr>
        <w:pStyle w:val="NormalHanging12a"/>
      </w:pPr>
      <w:r w:rsidRPr="007A28FB">
        <w:t>–</w:t>
      </w:r>
      <w:r w:rsidRPr="007A28FB">
        <w:tab/>
        <w:t>ob upoštevanju poročila Odbora za proračunski nadzor (A9</w:t>
      </w:r>
      <w:r w:rsidRPr="007A28FB">
        <w:noBreakHyphen/>
        <w:t>0114/2024),</w:t>
      </w:r>
    </w:p>
    <w:p w:rsidR="00FF317F" w:rsidRPr="007A28FB" w:rsidRDefault="00FF317F" w:rsidP="00FF317F">
      <w:pPr>
        <w:pStyle w:val="Normal12Hanging"/>
        <w:rPr>
          <w:szCs w:val="24"/>
        </w:rPr>
      </w:pPr>
      <w:r w:rsidRPr="007A28FB">
        <w:t>A.</w:t>
      </w:r>
      <w:r w:rsidRPr="007A28FB">
        <w:tab/>
        <w:t>ker izkaz prihodkov in odhodkov</w:t>
      </w:r>
      <w:r w:rsidRPr="007A28FB">
        <w:rPr>
          <w:rStyle w:val="FootnoteReference"/>
          <w:szCs w:val="24"/>
        </w:rPr>
        <w:footnoteReference w:id="11"/>
      </w:r>
      <w:r w:rsidRPr="007A28FB">
        <w:t xml:space="preserve"> Evropske fundacije za usposabljanje (v nadaljnjem besedilu: fundacija) kaže, da je njen končni proračun za proračunsko leto 2022 znašal 25.051.848 EUR, kar je bilo 17,05 % več kot leta 2021; ker proračun fundacije v celoti izvira iz proračuna Unije;</w:t>
      </w:r>
    </w:p>
    <w:p w:rsidR="00FF317F" w:rsidRPr="007A28FB" w:rsidRDefault="00FF317F" w:rsidP="00FF317F">
      <w:pPr>
        <w:pStyle w:val="Normal12Hanging"/>
        <w:rPr>
          <w:szCs w:val="24"/>
        </w:rPr>
      </w:pPr>
      <w:r w:rsidRPr="007A28FB">
        <w:t>B.</w:t>
      </w:r>
      <w:r w:rsidRPr="007A28FB">
        <w:tab/>
        <w:t>ker Računsko sodišče v poročilu o zaključnem računu fundacije za proračunsko leto 2022 (v nadaljnjem besedilu: poročilo Računskega sodišča) navaja, da je prejelo razumno zagotovilo o zanesljivosti računovodskih izkazov fundacije ter o zakonitosti in pravilnosti z njimi povezanih transakcij;</w:t>
      </w:r>
    </w:p>
    <w:p w:rsidR="00FF317F" w:rsidRPr="007A28FB" w:rsidRDefault="00FF317F" w:rsidP="00FF317F">
      <w:pPr>
        <w:pStyle w:val="Normal12Hanging"/>
        <w:rPr>
          <w:b/>
          <w:i/>
          <w:szCs w:val="24"/>
        </w:rPr>
      </w:pPr>
      <w:r w:rsidRPr="007A28FB">
        <w:rPr>
          <w:b/>
          <w:i/>
        </w:rPr>
        <w:t xml:space="preserve">Proračunsko upravljanje in finančno </w:t>
      </w:r>
      <w:proofErr w:type="spellStart"/>
      <w:r w:rsidRPr="007A28FB">
        <w:rPr>
          <w:b/>
          <w:i/>
        </w:rPr>
        <w:t>poslovodenje</w:t>
      </w:r>
      <w:proofErr w:type="spellEnd"/>
    </w:p>
    <w:p w:rsidR="00FF317F" w:rsidRPr="007A28FB" w:rsidRDefault="00FF317F" w:rsidP="00FF317F">
      <w:pPr>
        <w:pStyle w:val="Normal12Hanging"/>
        <w:rPr>
          <w:szCs w:val="24"/>
        </w:rPr>
      </w:pPr>
      <w:r w:rsidRPr="007A28FB">
        <w:t>1.</w:t>
      </w:r>
      <w:r w:rsidRPr="007A28FB">
        <w:tab/>
        <w:t>ceni, da je stopnja izvrševanja proračuna zaradi proračunskega spremljanja v proračunskem letu 2022 znašala 99,98 %, kar je nekoliko več (0,07 %) kot leta 2021; poudarja, da je stopnja izvrševanja odobritev plačil znašala 97,70 %, kar je 11,48 % več kot leto prej;</w:t>
      </w:r>
    </w:p>
    <w:p w:rsidR="00FF317F" w:rsidRPr="007A28FB" w:rsidRDefault="00FF317F" w:rsidP="00FF317F">
      <w:pPr>
        <w:pStyle w:val="NormalHanging12a"/>
      </w:pPr>
      <w:r w:rsidRPr="007A28FB">
        <w:t>2.</w:t>
      </w:r>
      <w:r w:rsidRPr="007A28FB">
        <w:tab/>
        <w:t>pozdravlja dejstvo, da je fundacija kljub proračunski krizi, ki sta jo leta 2022 povzročila inflacija in cene komunalnih storitev, lahko učinkovito upravljala svoje stroške, uvedla varčevalne ukrepe in ponovno razvrstila prednostne naloge brez večjih motenj za delovni program;</w:t>
      </w:r>
    </w:p>
    <w:p w:rsidR="00FF317F" w:rsidRPr="007A28FB" w:rsidRDefault="00FF317F" w:rsidP="00FF317F">
      <w:pPr>
        <w:widowControl/>
        <w:autoSpaceDE w:val="0"/>
        <w:autoSpaceDN w:val="0"/>
        <w:adjustRightInd w:val="0"/>
        <w:spacing w:after="240"/>
        <w:ind w:left="567" w:hanging="567"/>
        <w:rPr>
          <w:szCs w:val="24"/>
        </w:rPr>
      </w:pPr>
      <w:r w:rsidRPr="007A28FB">
        <w:rPr>
          <w:b/>
          <w:i/>
        </w:rPr>
        <w:t>Uspešnost</w:t>
      </w:r>
    </w:p>
    <w:p w:rsidR="00FF317F" w:rsidRPr="007A28FB" w:rsidRDefault="00FF317F" w:rsidP="00FF317F">
      <w:pPr>
        <w:pStyle w:val="Normal12Hanging"/>
        <w:rPr>
          <w:szCs w:val="24"/>
        </w:rPr>
      </w:pPr>
      <w:r w:rsidRPr="007A28FB">
        <w:t>3.</w:t>
      </w:r>
      <w:r w:rsidRPr="007A28FB">
        <w:tab/>
        <w:t>z zadovoljstvom ugotavlja, da fundacija nekatere ukrepe uporablja kot ključne kazalnike uspešnosti, da bi ocenila dodano vrednost, ki jo ustvarjajo njene dejavnosti, druge ukrepe pa za izboljšanje svojega upravljanja proračuna;</w:t>
      </w:r>
    </w:p>
    <w:p w:rsidR="00FF317F" w:rsidRPr="007A28FB" w:rsidRDefault="00FF317F" w:rsidP="00FF317F">
      <w:pPr>
        <w:pStyle w:val="Normal12Hanging"/>
        <w:rPr>
          <w:szCs w:val="24"/>
        </w:rPr>
      </w:pPr>
      <w:r w:rsidRPr="007A28FB">
        <w:t>4.</w:t>
      </w:r>
      <w:r w:rsidRPr="007A28FB">
        <w:tab/>
        <w:t>ugotavlja, da je fundacija dosegla 93-odstotno stopnjo zaključenih dejavnosti, kar je nekoliko manj kot leta 2021, pri čemer je bilo pravočasno dokončanih 89 % dejavnosti; izreka pohvalo fundaciji, ker so bili vsi njeni ključni kazalniki uspešnosti nad ali precej nad zastavljenimi cilji;</w:t>
      </w:r>
    </w:p>
    <w:p w:rsidR="00FF317F" w:rsidRPr="007A28FB" w:rsidRDefault="00FF317F" w:rsidP="00FF317F">
      <w:pPr>
        <w:pStyle w:val="Normal12Hanging"/>
      </w:pPr>
      <w:r w:rsidRPr="007A28FB">
        <w:t>5.</w:t>
      </w:r>
      <w:r w:rsidRPr="007A28FB">
        <w:tab/>
        <w:t>je seznanjen s ključnimi dosežki fundacije v letu 2022, ki temeljijo na treh strateških ciljih: ustreznost znanj in spretnosti ter njihovo predvidevanje, razvoj in potrjevanje znanj in spretnosti ter uspešnost in kakovost politik izobraževanja in usposabljanja; ugotavlja, da fundacija te cilje uresničuje na podlagi treh osrednjih storitev: vozlišče znanja, spremljanje in ocenjevanje ter svetovanje na področju politike;</w:t>
      </w:r>
    </w:p>
    <w:p w:rsidR="00FF317F" w:rsidRPr="007A28FB" w:rsidRDefault="00FF317F" w:rsidP="00FF317F">
      <w:pPr>
        <w:pStyle w:val="Normal12Hanging"/>
      </w:pPr>
      <w:r w:rsidRPr="007A28FB">
        <w:t>6.</w:t>
      </w:r>
      <w:r w:rsidRPr="007A28FB">
        <w:tab/>
        <w:t>je seznanjen z novimi pobudami, ki jih je fundacija pripravila leta 2022, kot so nova pobuda Ekipa Evropa v južnem in vzhodnem Sredozemlju ter mreža GLAD (</w:t>
      </w:r>
      <w:proofErr w:type="spellStart"/>
      <w:r w:rsidRPr="007A28FB">
        <w:rPr>
          <w:i/>
          <w:iCs/>
        </w:rPr>
        <w:t>Governance</w:t>
      </w:r>
      <w:proofErr w:type="spellEnd"/>
      <w:r w:rsidRPr="007A28FB">
        <w:rPr>
          <w:i/>
          <w:iCs/>
        </w:rPr>
        <w:t xml:space="preserve"> </w:t>
      </w:r>
      <w:proofErr w:type="spellStart"/>
      <w:r w:rsidRPr="007A28FB">
        <w:rPr>
          <w:i/>
          <w:iCs/>
        </w:rPr>
        <w:t>Learning</w:t>
      </w:r>
      <w:proofErr w:type="spellEnd"/>
      <w:r w:rsidRPr="007A28FB">
        <w:rPr>
          <w:i/>
          <w:iCs/>
        </w:rPr>
        <w:t xml:space="preserve"> </w:t>
      </w:r>
      <w:proofErr w:type="spellStart"/>
      <w:r w:rsidRPr="007A28FB">
        <w:rPr>
          <w:i/>
          <w:iCs/>
        </w:rPr>
        <w:t>Action</w:t>
      </w:r>
      <w:proofErr w:type="spellEnd"/>
      <w:r w:rsidRPr="007A28FB">
        <w:rPr>
          <w:i/>
          <w:iCs/>
        </w:rPr>
        <w:t xml:space="preserve"> </w:t>
      </w:r>
      <w:proofErr w:type="spellStart"/>
      <w:r w:rsidRPr="007A28FB">
        <w:rPr>
          <w:i/>
          <w:iCs/>
        </w:rPr>
        <w:t>and</w:t>
      </w:r>
      <w:proofErr w:type="spellEnd"/>
      <w:r w:rsidRPr="007A28FB">
        <w:rPr>
          <w:i/>
          <w:iCs/>
        </w:rPr>
        <w:t xml:space="preserve"> </w:t>
      </w:r>
      <w:proofErr w:type="spellStart"/>
      <w:r w:rsidRPr="007A28FB">
        <w:rPr>
          <w:i/>
          <w:iCs/>
        </w:rPr>
        <w:t>Dialogue</w:t>
      </w:r>
      <w:proofErr w:type="spellEnd"/>
      <w:r w:rsidRPr="007A28FB">
        <w:t>, učni ukrep in dialog o upravljanju); je seznanjen z rastjo njene mreže odličnosti in spletno konferenco mreže fundacije za odličnost, ki je potekala novembra 2022 in kjer so lahko udeleženci predstavili napredek in rezultate dela tematskega partnerstva;</w:t>
      </w:r>
    </w:p>
    <w:p w:rsidR="00FF317F" w:rsidRPr="007A28FB" w:rsidRDefault="00FF317F" w:rsidP="00FF317F">
      <w:pPr>
        <w:pStyle w:val="NormalHanging12a"/>
      </w:pPr>
      <w:r w:rsidRPr="007A28FB">
        <w:t>7.</w:t>
      </w:r>
      <w:r w:rsidRPr="007A28FB">
        <w:tab/>
        <w:t>poudarja, da fundacija podpira Moldavijo, Gruzijo in Ukrajino kot države kandidatke pri njihovih prizadevanjih za uskladitev politik izobraževanja in zaposlovanja s politikami Unije, tako da nacionalnim organom v tesnem sodelovanju z delegacijami Unije in službami Komisije zagotavlja tehnično strokovno znanje in svetovanje o različnih vprašanjih;</w:t>
      </w:r>
    </w:p>
    <w:p w:rsidR="00FF317F" w:rsidRPr="007A28FB" w:rsidRDefault="00FF317F" w:rsidP="00FF317F">
      <w:pPr>
        <w:pStyle w:val="Normal12Hanging"/>
        <w:rPr>
          <w:szCs w:val="24"/>
        </w:rPr>
      </w:pPr>
      <w:r w:rsidRPr="007A28FB">
        <w:t>8.</w:t>
      </w:r>
      <w:r w:rsidRPr="007A28FB">
        <w:tab/>
        <w:t>pozdravlja ukrepe, ki jih je fundacija uvedla v odziv na pretrese, kot so še vedno navzoče posledice pandemije covida-19 ter ruska agresija na Ukrajino, saj so ti ukrepi učinkovito omogočili nadaljnje izvajanje letnega programa dela na visoki ravni; izreka pohvalo pobudi fundacije, da Ukrajino podpre prek spletnega vozlišča virov za priznavanje kvalifikacij, veščin in študijskih obdobij ukrajinskih beguncev in na druge načine ter se odzove, kjer je to možno in ustrezno, pri tem pa tesno sodeluje z različnimi službami Evropske komisije, da bi izkoristila njihovo tematsko strokovno in drugo znanje o sistemih izobraževanja in usposabljanja v državi;</w:t>
      </w:r>
    </w:p>
    <w:p w:rsidR="00FF317F" w:rsidRPr="007A28FB" w:rsidRDefault="00FF317F" w:rsidP="00FF317F">
      <w:pPr>
        <w:pStyle w:val="NormalHanging12a"/>
      </w:pPr>
      <w:r w:rsidRPr="007A28FB">
        <w:t>9.</w:t>
      </w:r>
      <w:r w:rsidRPr="007A28FB">
        <w:tab/>
        <w:t xml:space="preserve">poudarja, da je fundacija od začetka leta 2022 prekinila vse dejavnosti in sodelovanje z beloruskimi organi; </w:t>
      </w:r>
    </w:p>
    <w:p w:rsidR="00FF317F" w:rsidRPr="007A28FB" w:rsidRDefault="00FF317F" w:rsidP="00FF317F">
      <w:pPr>
        <w:pStyle w:val="NormalHanging12a"/>
      </w:pPr>
      <w:r w:rsidRPr="007A28FB">
        <w:t>10.</w:t>
      </w:r>
      <w:r w:rsidRPr="007A28FB">
        <w:tab/>
        <w:t>pozdravlja delo fundacije, ki partnerskim državam Unije pomaga izkoristiti potencial njihovega človeškega kapitala in izboljšati zaposlitvene možnosti njihovih državljanov z reformo sistemov izobraževanja, poklicnega usposabljanja, izpopolnjevanja znanja in spretnosti ter trga dela v okviru politik Unije na področju zunanjih odnosov;</w:t>
      </w:r>
    </w:p>
    <w:p w:rsidR="00FF317F" w:rsidRPr="007A28FB" w:rsidRDefault="00FF317F" w:rsidP="00FF317F">
      <w:pPr>
        <w:pStyle w:val="NormalHanging12a"/>
        <w:rPr>
          <w:szCs w:val="24"/>
        </w:rPr>
      </w:pPr>
      <w:r w:rsidRPr="007A28FB">
        <w:t>11.</w:t>
      </w:r>
      <w:r w:rsidRPr="007A28FB">
        <w:tab/>
        <w:t>pozdravlja zlasti novi koncept podjetniških centrov poklicne odličnosti, ki jih je razvila fundacija, da bi prispevali k mednarodni razpravi v podjetniški učni skupnosti in spodbudili centre za usposabljanje k boljšemu odzivanju na spreminjajoče se potrebe državljanov, gospodarstev in družb;</w:t>
      </w:r>
    </w:p>
    <w:p w:rsidR="00FF317F" w:rsidRPr="007A28FB" w:rsidRDefault="00FF317F" w:rsidP="00FF317F">
      <w:pPr>
        <w:pStyle w:val="Normal12Hanging"/>
        <w:rPr>
          <w:b/>
          <w:i/>
          <w:szCs w:val="24"/>
        </w:rPr>
      </w:pPr>
      <w:r w:rsidRPr="007A28FB">
        <w:rPr>
          <w:b/>
          <w:i/>
        </w:rPr>
        <w:t>Učinkovitost in dosežki</w:t>
      </w:r>
    </w:p>
    <w:p w:rsidR="00FF317F" w:rsidRPr="007A28FB" w:rsidRDefault="00FF317F" w:rsidP="00FF317F">
      <w:pPr>
        <w:pStyle w:val="Normal12Hanging"/>
        <w:rPr>
          <w:szCs w:val="24"/>
        </w:rPr>
      </w:pPr>
      <w:r w:rsidRPr="007A28FB">
        <w:t>12.</w:t>
      </w:r>
      <w:r w:rsidRPr="007A28FB">
        <w:tab/>
        <w:t xml:space="preserve">ugotavlja, da je fundacija v letu 2022 še naprej iskala priložnosti za povečanje učinkovitosti pri svojih dejavnostih, kot je izboljšanje digitalnih delovnih postopkov in proaktivno sodelovanje v mreži agencij Unije in njenih različnih delovnih skupinah; med drugim je seznanjen, da si fundacija na podlagi sporazuma o ravni storitve, podpisanega leta 2022, deli računovodstvo z Evropsko agencijo za varnost in zdravje pri delu ter da se ocenjuje možnost za skupno uporabo virov z Evropskim centrom za razvoj in poklicno usposabljanje na področjih zaposlovanja, kibernetske varnosti, EMAS, </w:t>
      </w:r>
      <w:proofErr w:type="spellStart"/>
      <w:r w:rsidRPr="007A28FB">
        <w:t>trajnostnosti</w:t>
      </w:r>
      <w:proofErr w:type="spellEnd"/>
      <w:r w:rsidRPr="007A28FB">
        <w:t xml:space="preserve"> in ozelenitve, javnih naročil ter orodij in sistemov informacijske tehnologije;</w:t>
      </w:r>
    </w:p>
    <w:p w:rsidR="00FF317F" w:rsidRPr="007A28FB" w:rsidRDefault="00FF317F" w:rsidP="00FF317F">
      <w:pPr>
        <w:pStyle w:val="Normal12Hanging"/>
        <w:rPr>
          <w:szCs w:val="24"/>
        </w:rPr>
      </w:pPr>
      <w:r w:rsidRPr="007A28FB">
        <w:t>13.</w:t>
      </w:r>
      <w:r w:rsidRPr="007A28FB">
        <w:tab/>
        <w:t xml:space="preserve">ugotavlja, da je fundacija uvedla ukrepe tudi na področju porabe energije in upravljanja stavb, na primer zaprtje pisarn avgusta 2022, senzorje za razsvetljavo in vodo, časovnike za bojlerje, ogrevanje in klimatske naprave; je seznanjen z večjimi prizadevanji za upravljanje z energijo, s čimer je bilo v letu 2022 privarčevanih 2000 m3 plina in 49.107 </w:t>
      </w:r>
      <w:proofErr w:type="spellStart"/>
      <w:r w:rsidRPr="007A28FB">
        <w:t>KwH</w:t>
      </w:r>
      <w:proofErr w:type="spellEnd"/>
      <w:r w:rsidRPr="007A28FB">
        <w:t xml:space="preserve"> električne energije, čeprav je bilo zaradi hibridnega načina dela v pisarnah čez leto prisotnih več zaposlenih;</w:t>
      </w:r>
    </w:p>
    <w:p w:rsidR="00FF317F" w:rsidRPr="007A28FB" w:rsidRDefault="00FF317F" w:rsidP="00FF317F">
      <w:pPr>
        <w:pStyle w:val="Normal12Hanging"/>
        <w:rPr>
          <w:szCs w:val="24"/>
        </w:rPr>
      </w:pPr>
      <w:r w:rsidRPr="007A28FB">
        <w:t>14.</w:t>
      </w:r>
      <w:r w:rsidRPr="007A28FB">
        <w:tab/>
        <w:t>pozdravlja zavezo fundacije, da uvede vsa orodja Komisije za e-javno naročanje ter da je postopek fundacije za javna naročila v celoti digitaliziran;</w:t>
      </w:r>
    </w:p>
    <w:p w:rsidR="00FF317F" w:rsidRPr="007A28FB" w:rsidRDefault="00FF317F" w:rsidP="00FF317F">
      <w:pPr>
        <w:pStyle w:val="NormalHanging12a"/>
        <w:rPr>
          <w:szCs w:val="24"/>
        </w:rPr>
      </w:pPr>
      <w:r w:rsidRPr="007A28FB">
        <w:t>15.</w:t>
      </w:r>
      <w:r w:rsidRPr="007A28FB">
        <w:tab/>
        <w:t>izreka pohvalo fundaciji, ker je pripravila poslovni načrt za izboljšanje energijske učinkovitosti in podnebne nevtralnosti svojih dejavnosti;</w:t>
      </w:r>
    </w:p>
    <w:p w:rsidR="00FF317F" w:rsidRPr="007A28FB" w:rsidRDefault="00FF317F" w:rsidP="00FF317F">
      <w:pPr>
        <w:pStyle w:val="Normal12Hanging"/>
        <w:rPr>
          <w:b/>
          <w:i/>
          <w:szCs w:val="24"/>
        </w:rPr>
      </w:pPr>
      <w:r w:rsidRPr="007A28FB">
        <w:rPr>
          <w:b/>
          <w:i/>
        </w:rPr>
        <w:t>Kadrovska politika</w:t>
      </w:r>
    </w:p>
    <w:p w:rsidR="00FF317F" w:rsidRPr="007A28FB" w:rsidRDefault="00FF317F" w:rsidP="00FF317F">
      <w:pPr>
        <w:spacing w:after="240"/>
        <w:ind w:left="567" w:hanging="567"/>
      </w:pPr>
      <w:r w:rsidRPr="007A28FB">
        <w:t>16.</w:t>
      </w:r>
      <w:r w:rsidRPr="007A28FB">
        <w:tab/>
        <w:t>ugotavlja, da je bil kadrovski načrt na dan 31. decembra 2022 uresničen 98,8-odstotno, saj je bilo od 86 uradnikov in začasnih uslužbencev, odobrenih v proračunu Unije, zaposlenih 85 uradnikov in začasnih uslužbencev (v primerjavi z 212 odobrenimi delovnimi mesti leta 2021); ugotavlja, da je za fundacijo v letu 2022 poleg tega delalo 39 pogodbenih uslužbencev in en lokalni uslužbenec;</w:t>
      </w:r>
    </w:p>
    <w:p w:rsidR="00FF317F" w:rsidRPr="007A28FB" w:rsidRDefault="00FF317F" w:rsidP="00FF317F">
      <w:pPr>
        <w:pStyle w:val="NormalHanging12a"/>
      </w:pPr>
      <w:r w:rsidRPr="007A28FB">
        <w:t>17.</w:t>
      </w:r>
      <w:r w:rsidRPr="007A28FB">
        <w:tab/>
        <w:t>ugotavlja, da je bilo leta 2022 med uslužbenci fundacije zastopanih 21 držav članic; z zaskrbljenostjo ugotavlja, da težavo predstavlja geografsko ravnovesje; ugotavlja, da ima 42 % zaposlenih državljanstvo države članice, kjer se fundacija nahaja; se zaveda, da fundacija uporablja izbirni postopek, ki temelji na dosežkih, pri čemer imajo ob enakih dosežkih prednost kandidati z državljanstvom, ki je slabše zastopano; opozarja na pomen geografske uravnoteženosti in poziva fundacijo, naj sprejme potrebne ukrepe za uravnoteženo in pravično geografsko zastopanost, tudi na srednjih in višjih vodstvenih položajih, hkrati pa spoštuje kompetence in dosežke kandidatov ter organu za podelitev razrešnice poroča o napredku v zvezi s tem;</w:t>
      </w:r>
    </w:p>
    <w:p w:rsidR="00FF317F" w:rsidRPr="007A28FB" w:rsidRDefault="00FF317F" w:rsidP="00FF317F">
      <w:pPr>
        <w:pStyle w:val="NormalHanging12a"/>
      </w:pPr>
      <w:r w:rsidRPr="007A28FB">
        <w:t>18.</w:t>
      </w:r>
      <w:r w:rsidRPr="007A28FB">
        <w:tab/>
        <w:t>ugotavlja, da so bile v letu 2022 na devetih srednjih in višjih vodstvenih položajih štiri ženske; ugotavlja, da je med člani upravnega odbora 41 % moških in 59 % žensk (11 članov oziroma 16 članic), med zaposlenimi na splošno pa 33 % moških in 67 % žensk (41 članov oziroma 84 članic); opozarja, kako pomembno je zagotoviti uravnoteženo zastopanost spolov med zaposlenimi, in poziva fundacijo, naj ta vidik upošteva pri prihodnjih imenovanjih v srednjem in višjem vodstvu; poziva Komisijo in države članice, naj pri imenovanju članov upravnega odbora fundacije upoštevajo pomen zagotavljanja uravnotežene zastopanosti spolov;</w:t>
      </w:r>
    </w:p>
    <w:p w:rsidR="00FF317F" w:rsidRPr="007A28FB" w:rsidRDefault="00FF317F" w:rsidP="00FF317F">
      <w:pPr>
        <w:pStyle w:val="NormalHanging12a"/>
      </w:pPr>
      <w:r w:rsidRPr="007A28FB">
        <w:t>19.</w:t>
      </w:r>
      <w:r w:rsidRPr="007A28FB">
        <w:tab/>
        <w:t xml:space="preserve">ugotavlja, na podlagi nadaljnjega ukrepanja na podlagi ugotovitev iz razrešnice za leto 2021, da je fundacija revidirala svoje razpise prostih delovnih mest, da bi povečala privlačnost kraja zaposlitve, in </w:t>
      </w:r>
      <w:proofErr w:type="spellStart"/>
      <w:r w:rsidRPr="007A28FB">
        <w:t>diverzificirala</w:t>
      </w:r>
      <w:proofErr w:type="spellEnd"/>
      <w:r w:rsidRPr="007A28FB">
        <w:t xml:space="preserve"> komunikacijske kanale za ciljno usmerjene države, ki so manj zastopane prek </w:t>
      </w:r>
      <w:proofErr w:type="spellStart"/>
      <w:r w:rsidRPr="007A28FB">
        <w:t>LinkedIna</w:t>
      </w:r>
      <w:proofErr w:type="spellEnd"/>
      <w:r w:rsidRPr="007A28FB">
        <w:t>;</w:t>
      </w:r>
    </w:p>
    <w:p w:rsidR="00FF317F" w:rsidRPr="007A28FB" w:rsidRDefault="00FF317F" w:rsidP="00FF317F">
      <w:pPr>
        <w:pStyle w:val="Normal12Hanging"/>
        <w:rPr>
          <w:szCs w:val="24"/>
        </w:rPr>
      </w:pPr>
      <w:r w:rsidRPr="007A28FB">
        <w:t>20.</w:t>
      </w:r>
      <w:r w:rsidRPr="007A28FB">
        <w:tab/>
        <w:t>ugotavlja, da je fundacija decembra 2022 sprejela listino o raznolikosti in vključevanju; ugotavlja, da so imeli v letu 2022 zaposleni precej ugodnosti za boljše počutje na delovnem mestu, poleg tega pa so bili sprejeti novi predpisi o delovnem času in hibridnem delu, kar zaposlenim še naprej nudi možnosti za nove prožne načine dela;</w:t>
      </w:r>
    </w:p>
    <w:p w:rsidR="00FF317F" w:rsidRPr="007A28FB" w:rsidRDefault="00FF317F" w:rsidP="00FF317F">
      <w:pPr>
        <w:pStyle w:val="Normal12Hanging"/>
        <w:rPr>
          <w:b/>
          <w:i/>
          <w:szCs w:val="24"/>
        </w:rPr>
      </w:pPr>
      <w:r w:rsidRPr="007A28FB">
        <w:rPr>
          <w:b/>
          <w:i/>
        </w:rPr>
        <w:t>Javna naročila</w:t>
      </w:r>
    </w:p>
    <w:p w:rsidR="00FF317F" w:rsidRPr="007A28FB" w:rsidRDefault="00FF317F" w:rsidP="00FF317F">
      <w:pPr>
        <w:pStyle w:val="Normal12Hanging"/>
        <w:rPr>
          <w:szCs w:val="24"/>
        </w:rPr>
      </w:pPr>
      <w:r w:rsidRPr="007A28FB">
        <w:t>21.</w:t>
      </w:r>
      <w:r w:rsidRPr="007A28FB">
        <w:tab/>
        <w:t>je seznanjen z ugotovitvijo Računskega sodišča, da je bila dodelitev okvirne pogodbe v vrednosti enega milijona EUR za storitve podpore za upravljanje vsebin leta 2021 nepravilna zaradi odstopanja od tehničnih specifikacij; ugotavlja, da so morali ponudniki predložiti končne in podpisane zaključne račune, ki so izkazovali promet v višini vsaj 250.000 EUR za zadnji dve poslovni leti (in sicer 2019 in 2020), ter tako dokazati svojo finančno sposobnost; ugotavlja, da promet izbranega ponudnika v letu 2019 ni dosegel zahtevanega praga, vendar se je fundacija, namesto da bi ponudnika zavrnila, odločila, da ga ne bo zavrnila zaradi višjega prometa, izkazanega v začasnem zaključnem računu za leto 2021; poudarja dejstvo, da je Računsko sodišče sklenilo, da sta postopek ocenjevanja in iz tega izhajajoče naročilo nepravilna, nepravilna pa so tudi vsa s tem povezana plačila, ki so v letu 2022 znašala 100.100 EUR; je seznanjen, da bo fundacija na podlagi opažanj Računskega sodišča poenostavila svojo metodologijo, s katero bo še naprej ocenjevala finančno zanesljivost izvajalcev, vendar pa bo bolj prilagojena trenutnim finančnim razmeram (po pandemiji covida-19 in vojni v Ukrajini);</w:t>
      </w:r>
    </w:p>
    <w:p w:rsidR="00FF317F" w:rsidRPr="007A28FB" w:rsidRDefault="00FF317F" w:rsidP="00FF317F">
      <w:pPr>
        <w:pStyle w:val="Normal12Hanging"/>
      </w:pPr>
      <w:r w:rsidRPr="007A28FB">
        <w:t>22.</w:t>
      </w:r>
      <w:r w:rsidRPr="007A28FB">
        <w:tab/>
        <w:t>ugotavlja, da se je v nekem drugem odprtem postopku za oddajo javnega naročila za zagotavljanje podpornih storitev v zadevni državi v vrednosti štirih milijonov EUR finančna in ekonomska sposobnost ponudnikov ocenjevala na podlagi dveh meril: (i) stabilen finančni položaj, dokazan z nizom parametrov, vključno s pozitivnim neto dobičkom; in (ii) letni promet v višini najmanj enega milijona EUR v zadnjih dveh poslovnih letih; ugotavlja, da je fundacija naročilo oddala konzorciju petih nekomercialnih subjektov, čeprav nobeden od članov konzorcija v zadnjih dveh letih ni poročal o dobičku, poleg tega pa se je odločila, da ne bo upoštevala zahteve glede prometa (ki je izbrani ponudnik ni izpolnjeval), češ da se ta zahteva ne uporablja za nekomercialne subjekte; opozarja, da je Računsko sodišče prišlo do zaključka, da je fundacija nepravilno uporabila pogoje za sodelovanje ter da ekonomska in finančna sposobnost izbranega ponudnika ni bila dokazana; tako ugotavlja, da sta bila postopek ocenjevanja in iz tega izhajajoče naročilo nepravilna, nepravilna pa so tudi vsa s tem povezana plačila, ki so v letu 2022 znašala 70.500 EUR; ugotavlja, da je bil ta postopek za oddajo javnega naročila namenjen razvoju človeškega kapitala v Srednji Aziji, po ugotovitvah Računskega sodišča pa bi lahko fundacija nadaljevala pogovore z ustreznimi službami Komisije o morebitnih alternativnih načinih za izvajanje dejavnosti v partnerskih državah, sočasno pa bi poenostavila svojo metodologijo za finančno ocenjevanje, da bi se po potrebi bolj osredotočila na trge zunaj EU;</w:t>
      </w:r>
    </w:p>
    <w:p w:rsidR="00FF317F" w:rsidRPr="007A28FB" w:rsidRDefault="00FF317F" w:rsidP="00FF317F">
      <w:pPr>
        <w:pStyle w:val="Normal12Hanging"/>
        <w:rPr>
          <w:szCs w:val="24"/>
        </w:rPr>
      </w:pPr>
      <w:r w:rsidRPr="007A28FB">
        <w:t>23.</w:t>
      </w:r>
      <w:r w:rsidRPr="007A28FB">
        <w:tab/>
        <w:t>opozarja, da je treba pri vseh postopkih javnih naročil zagotoviti pošteno konkurenco med ponudniki ter naročanje blaga in storitev po najboljši ceni, pri tem pa upoštevati načela preglednosti in ustrezne uporabe javnih sredstev, sorazmernosti, enake obravnave in nediskriminacije; poziva fundacijo, naj ukrepa in zagotovi, da bodo prihodnji postopki za javna naročila popolnoma skladni z veljavnimi pravili, kar bo zagotovilo preglednost, poštenost in integriteto postopka;</w:t>
      </w:r>
    </w:p>
    <w:p w:rsidR="00FF317F" w:rsidRPr="007A28FB" w:rsidRDefault="00FF317F" w:rsidP="00FF317F">
      <w:pPr>
        <w:pStyle w:val="Normal12Hanging"/>
        <w:rPr>
          <w:szCs w:val="24"/>
        </w:rPr>
      </w:pPr>
      <w:r w:rsidRPr="007A28FB">
        <w:t>24.</w:t>
      </w:r>
      <w:r w:rsidRPr="007A28FB">
        <w:tab/>
        <w:t>ugotavlja, da je imela fundacija konec leta 2022 le eno odprto pripombo Računskega sodišča o postopku javnih naročil za agencijske delavce, izdano leta 2018, kar je Parlament že navedel v svojem poročilu o razrešnici; poleg tega ugotavlja, da je fundacija to vprašanje obravnavala ob pripravi nove okvirne pogodbe, ki naj bi bila podpisana leta 2023;</w:t>
      </w:r>
    </w:p>
    <w:p w:rsidR="00FF317F" w:rsidRPr="007A28FB" w:rsidRDefault="00FF317F" w:rsidP="00FF317F">
      <w:pPr>
        <w:pStyle w:val="Normal12Hanging"/>
        <w:rPr>
          <w:b/>
          <w:i/>
          <w:szCs w:val="24"/>
        </w:rPr>
      </w:pPr>
      <w:r w:rsidRPr="007A28FB">
        <w:rPr>
          <w:b/>
          <w:i/>
        </w:rPr>
        <w:t>Preprečevanje in obvladovanje nasprotij interesov ter preglednost</w:t>
      </w:r>
    </w:p>
    <w:p w:rsidR="00FF317F" w:rsidRPr="007A28FB" w:rsidRDefault="00FF317F" w:rsidP="00FF317F">
      <w:pPr>
        <w:pStyle w:val="Normal12Hanging"/>
        <w:rPr>
          <w:szCs w:val="24"/>
        </w:rPr>
      </w:pPr>
      <w:r w:rsidRPr="007A28FB">
        <w:t>25.</w:t>
      </w:r>
      <w:r w:rsidRPr="007A28FB">
        <w:tab/>
        <w:t>ugotavlja, da je fundacija objavila izjave o nasprotju interesov in življenjepise vseh članov upravnega odbora ter višjih in srednjih vodstvenih delavcev; navaja še, da je fundacija na svojem spletnem mestu navedla vse sestanke direktorice z organizacijami in samozaposlenimi;</w:t>
      </w:r>
    </w:p>
    <w:p w:rsidR="00FF317F" w:rsidRPr="007A28FB" w:rsidRDefault="00FF317F" w:rsidP="00FF317F">
      <w:pPr>
        <w:pStyle w:val="Normal12Hanging"/>
        <w:rPr>
          <w:rStyle w:val="normaltextrun"/>
        </w:rPr>
      </w:pPr>
      <w:r w:rsidRPr="007A28FB">
        <w:rPr>
          <w:rStyle w:val="normaltextrun"/>
        </w:rPr>
        <w:t>26.</w:t>
      </w:r>
      <w:r w:rsidRPr="007A28FB">
        <w:rPr>
          <w:rStyle w:val="normaltextrun"/>
        </w:rPr>
        <w:tab/>
        <w:t>ugotavlja, da ima fundacija notranjo strategijo za boj proti goljufijam, ki jo redno posodablja, lahko pa bi razmislila o dopolnitvi te strategije z oddelkom o boju proti korupciji; ugotavlja še, da se sedaj razvija politika o vprašanjih nasprotja interesov;</w:t>
      </w:r>
    </w:p>
    <w:p w:rsidR="00FF317F" w:rsidRPr="007A28FB" w:rsidRDefault="00FF317F" w:rsidP="00FF317F">
      <w:pPr>
        <w:pStyle w:val="Normal12Hanging"/>
        <w:rPr>
          <w:b/>
          <w:i/>
          <w:szCs w:val="24"/>
        </w:rPr>
      </w:pPr>
      <w:r w:rsidRPr="007A28FB">
        <w:rPr>
          <w:b/>
          <w:i/>
        </w:rPr>
        <w:t>Notranje kontrole</w:t>
      </w:r>
    </w:p>
    <w:p w:rsidR="00FF317F" w:rsidRPr="007A28FB" w:rsidRDefault="00FF317F" w:rsidP="00FF317F">
      <w:pPr>
        <w:pStyle w:val="Normal12Hanging"/>
        <w:rPr>
          <w:b/>
          <w:i/>
          <w:szCs w:val="24"/>
        </w:rPr>
      </w:pPr>
      <w:r w:rsidRPr="007A28FB">
        <w:t>27.</w:t>
      </w:r>
      <w:r w:rsidRPr="007A28FB">
        <w:tab/>
        <w:t>pozdravlja pozitivno mnenje o mehanizmih dopolnjevanja in sodelovanja med fundacijo in Komisijo, ki ga je služba za notranjo revizijo podala v končnem revizijskem poročilu decembra 2022 ter pri tem opozorila na strokovno znanje zaposlenih pri fundaciji ter vzpostavitev polletnega strukturiranega dialoga, s čimer bi bolje uskladili priprave na seje upravnega odbora; vendar ugotavlja, da služba za notranjo revizijo v poročilu opozarja na zelo pomembni vprašanji o mandatu fundacije in spremljanju kazalnikov, pa tudi na pomembni vprašanji o prednostnem usklajevanju in izboljšanju podatkovne zbirke in postopka za zahteve Unije; priznava, da je fundacija v odziv na to v sodelovanju z GD EMPL pripravila akcijski načrt za obravnavo teh priporočil, ki se je začel uporabljati leta 2023;</w:t>
      </w:r>
    </w:p>
    <w:p w:rsidR="00FF317F" w:rsidRPr="007A28FB" w:rsidRDefault="00FF317F" w:rsidP="00FF317F">
      <w:pPr>
        <w:pStyle w:val="Normal12Hanging"/>
        <w:rPr>
          <w:b/>
          <w:i/>
          <w:szCs w:val="24"/>
        </w:rPr>
      </w:pPr>
      <w:r w:rsidRPr="007A28FB">
        <w:rPr>
          <w:b/>
          <w:i/>
        </w:rPr>
        <w:t>Druge pripombe</w:t>
      </w:r>
    </w:p>
    <w:p w:rsidR="00FF317F" w:rsidRPr="007A28FB" w:rsidRDefault="00FF317F" w:rsidP="00FF317F">
      <w:pPr>
        <w:pStyle w:val="Normal12Hanging"/>
        <w:rPr>
          <w:szCs w:val="24"/>
        </w:rPr>
      </w:pPr>
      <w:r w:rsidRPr="007A28FB">
        <w:t>28.</w:t>
      </w:r>
      <w:r w:rsidRPr="007A28FB">
        <w:tab/>
        <w:t xml:space="preserve">je seznanjen, da fundacija posebno pozornost namenja kibernetski varnosti ter digitalnim evidencam in upravljanju podatkov in izvaja ukrepe, da bi upoštevala ustrezne smernice Unije, kot sta izboljšanje varnostnih kopij in </w:t>
      </w:r>
      <w:proofErr w:type="spellStart"/>
      <w:r w:rsidRPr="007A28FB">
        <w:t>penetracijski</w:t>
      </w:r>
      <w:proofErr w:type="spellEnd"/>
      <w:r w:rsidRPr="007A28FB">
        <w:t xml:space="preserve"> testi za glavna spletišča fundacije; poleg tega ugotavlja, da je bil po oceni tveganja za informacijsko varnost za celotno fundacijo, opravljeni leta 2021, leta 2022 pripravljen in sprejet načrt za obravnavo tveganj;</w:t>
      </w:r>
    </w:p>
    <w:p w:rsidR="00FF317F" w:rsidRPr="007A28FB" w:rsidRDefault="00FF317F" w:rsidP="00FF317F">
      <w:pPr>
        <w:pStyle w:val="Normal12Hanging"/>
        <w:rPr>
          <w:szCs w:val="24"/>
        </w:rPr>
      </w:pPr>
      <w:r w:rsidRPr="007A28FB">
        <w:t>29.</w:t>
      </w:r>
      <w:r w:rsidRPr="007A28FB">
        <w:tab/>
        <w:t xml:space="preserve">ugotavlja, da je bila marca 2022 (in 2023) opravljena </w:t>
      </w:r>
      <w:proofErr w:type="spellStart"/>
      <w:r w:rsidRPr="007A28FB">
        <w:t>okoljska</w:t>
      </w:r>
      <w:proofErr w:type="spellEnd"/>
      <w:r w:rsidRPr="007A28FB">
        <w:t xml:space="preserve"> presoja in da je fundacija leta 2022 obdržala certifikata EMAS in ISO 14001;</w:t>
      </w:r>
    </w:p>
    <w:p w:rsidR="00FF317F" w:rsidRPr="007A28FB" w:rsidRDefault="00FF317F" w:rsidP="00FF317F">
      <w:pPr>
        <w:pStyle w:val="NormalHanging12a"/>
      </w:pPr>
      <w:r w:rsidRPr="007A28FB">
        <w:t>30.</w:t>
      </w:r>
      <w:r w:rsidRPr="007A28FB">
        <w:tab/>
        <w:t xml:space="preserve">pozdravlja, da agencija še naprej izvaja različne ukrepe, da bi povečala svojo javno in spletno prisotnost, ki zajemajo produkcijo in promocijo desetih </w:t>
      </w:r>
      <w:proofErr w:type="spellStart"/>
      <w:r w:rsidRPr="007A28FB">
        <w:t>podkastov</w:t>
      </w:r>
      <w:proofErr w:type="spellEnd"/>
      <w:r w:rsidRPr="007A28FB">
        <w:t xml:space="preserve">, dve mednarodni nagradi in deset skupnih sporočil, pretakanje sedmih intervjujev LIVE </w:t>
      </w:r>
      <w:proofErr w:type="spellStart"/>
      <w:r w:rsidRPr="007A28FB">
        <w:t>LearningConnects</w:t>
      </w:r>
      <w:proofErr w:type="spellEnd"/>
      <w:r w:rsidRPr="007A28FB">
        <w:t xml:space="preserve"> ter sodelovanje na konferenci Združenih narodov o podnebnih spremembah, da bi predstavila svoje delo v zvezi z zelenimi znanji in spretnostmi; v zvezi s tem ugotavlja, da se je v primerjavi z letom 2021 v letu 2022 povečala tudi metrika fundacije v družbenih medijih;</w:t>
      </w:r>
    </w:p>
    <w:p w:rsidR="00FF317F" w:rsidRPr="007A28FB" w:rsidRDefault="00FF317F" w:rsidP="00FF317F">
      <w:pPr>
        <w:pStyle w:val="NormalHanging12a"/>
      </w:pPr>
      <w:r w:rsidRPr="007A28FB">
        <w:t>31.</w:t>
      </w:r>
      <w:r w:rsidRPr="007A28FB">
        <w:tab/>
        <w:t>ponovno poziva fundacijo, naj z boljšo uporabo medijev in družbenih medijev zagotovi večjo preglednost in javno odgovornost;</w:t>
      </w:r>
    </w:p>
    <w:p w:rsidR="00FF317F" w:rsidRPr="007A28FB" w:rsidRDefault="00FF317F" w:rsidP="00FF317F">
      <w:pPr>
        <w:pStyle w:val="NormalCenter12a"/>
        <w:rPr>
          <w:color w:val="000000" w:themeColor="text1"/>
        </w:rPr>
      </w:pPr>
      <w:r w:rsidRPr="007A28FB">
        <w:rPr>
          <w:color w:val="000000" w:themeColor="text1"/>
        </w:rPr>
        <w:t>°</w:t>
      </w:r>
    </w:p>
    <w:p w:rsidR="00FF317F" w:rsidRPr="007A28FB" w:rsidRDefault="00FF317F" w:rsidP="00FF317F">
      <w:pPr>
        <w:pStyle w:val="NormalCenter12a"/>
      </w:pPr>
      <w:r w:rsidRPr="007A28FB">
        <w:t>°</w:t>
      </w:r>
      <w:r w:rsidRPr="007A28FB">
        <w:tab/>
        <w:t>°</w:t>
      </w:r>
    </w:p>
    <w:p w:rsidR="00E365E1" w:rsidRPr="001F484B" w:rsidRDefault="00FF317F" w:rsidP="007A28FB">
      <w:pPr>
        <w:pStyle w:val="NormalHanging12a"/>
      </w:pPr>
      <w:r w:rsidRPr="007A28FB">
        <w:t>32.</w:t>
      </w:r>
      <w:r w:rsidRPr="007A28FB">
        <w:tab/>
        <w:t xml:space="preserve">sporoča, da so druge ugotovitve horizontalne narave, ki spremljajo sklep o razrešnici, zbrane v resoluciji z dne </w:t>
      </w:r>
      <w:r w:rsidR="00DC2E86" w:rsidRPr="007A28FB">
        <w:t>11. aprila 2024</w:t>
      </w:r>
      <w:r w:rsidRPr="007A28FB">
        <w:rPr>
          <w:vertAlign w:val="superscript"/>
        </w:rPr>
        <w:footnoteReference w:id="12"/>
      </w:r>
      <w:r w:rsidRPr="007A28FB">
        <w:t xml:space="preserve"> o uspešnosti, finančnem </w:t>
      </w:r>
      <w:proofErr w:type="spellStart"/>
      <w:r w:rsidRPr="007A28FB">
        <w:t>poslovodenju</w:t>
      </w:r>
      <w:proofErr w:type="spellEnd"/>
      <w:r w:rsidRPr="007A28FB">
        <w:t xml:space="preserve"> in nadzoru agencij.</w:t>
      </w:r>
      <w:bookmarkStart w:id="11" w:name="TextBodyEnd"/>
      <w:bookmarkEnd w:id="11"/>
    </w:p>
    <w:sectPr w:rsidR="00E365E1" w:rsidRPr="001F484B" w:rsidSect="001F484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BE8" w:rsidRPr="001F484B" w:rsidRDefault="006C6BE8">
      <w:r w:rsidRPr="001F484B">
        <w:separator/>
      </w:r>
    </w:p>
  </w:endnote>
  <w:endnote w:type="continuationSeparator" w:id="0">
    <w:p w:rsidR="006C6BE8" w:rsidRPr="001F484B" w:rsidRDefault="006C6BE8">
      <w:r w:rsidRPr="001F48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17F" w:rsidRPr="001F484B" w:rsidRDefault="00FF317F" w:rsidP="006C1EB2">
    <w:pPr>
      <w:pStyle w:val="EPFooter"/>
    </w:pPr>
    <w:r w:rsidRPr="001F484B">
      <w:t>PE</w:t>
    </w:r>
    <w:r w:rsidRPr="001F484B">
      <w:rPr>
        <w:rStyle w:val="HideTWBExt"/>
      </w:rPr>
      <w:t>&lt;NoPE&gt;</w:t>
    </w:r>
    <w:r w:rsidRPr="001F484B">
      <w:t>753.531</w:t>
    </w:r>
    <w:r w:rsidRPr="001F484B">
      <w:rPr>
        <w:rStyle w:val="HideTWBExt"/>
      </w:rPr>
      <w:t>&lt;/NoPE&gt;&lt;Version&gt;</w:t>
    </w:r>
    <w:r w:rsidRPr="001F484B">
      <w:t>v02-00</w:t>
    </w:r>
    <w:r w:rsidRPr="001F484B">
      <w:rPr>
        <w:rStyle w:val="HideTWBExt"/>
      </w:rPr>
      <w:t>&lt;/Version&gt;</w:t>
    </w:r>
    <w:r w:rsidRPr="001F484B">
      <w:tab/>
    </w:r>
    <w:r w:rsidRPr="001F484B">
      <w:fldChar w:fldCharType="begin"/>
    </w:r>
    <w:r w:rsidRPr="001F484B">
      <w:instrText xml:space="preserve"> PAGE  \* MERGEFORMAT </w:instrText>
    </w:r>
    <w:r w:rsidRPr="001F484B">
      <w:fldChar w:fldCharType="separate"/>
    </w:r>
    <w:r w:rsidR="001F484B" w:rsidRPr="001F484B">
      <w:rPr>
        <w:noProof/>
      </w:rPr>
      <w:t>2</w:t>
    </w:r>
    <w:r w:rsidRPr="001F484B">
      <w:fldChar w:fldCharType="end"/>
    </w:r>
    <w:r w:rsidRPr="001F484B">
      <w:t>/</w:t>
    </w:r>
    <w:r w:rsidR="007A28FB">
      <w:fldChar w:fldCharType="begin"/>
    </w:r>
    <w:r w:rsidR="007A28FB">
      <w:instrText xml:space="preserve"> NUMPAGES  \* MERGEFORMAT </w:instrText>
    </w:r>
    <w:r w:rsidR="007A28FB">
      <w:fldChar w:fldCharType="separate"/>
    </w:r>
    <w:r w:rsidR="001F484B" w:rsidRPr="001F484B">
      <w:rPr>
        <w:noProof/>
      </w:rPr>
      <w:t>4</w:t>
    </w:r>
    <w:r w:rsidR="007A28FB">
      <w:rPr>
        <w:noProof/>
      </w:rPr>
      <w:fldChar w:fldCharType="end"/>
    </w:r>
    <w:r w:rsidRPr="001F484B">
      <w:tab/>
    </w:r>
    <w:r w:rsidRPr="001F484B">
      <w:rPr>
        <w:rStyle w:val="HideTWBExt"/>
      </w:rPr>
      <w:t>&lt;PathFdR&gt;</w:t>
    </w:r>
    <w:r w:rsidRPr="001F484B">
      <w:t>RR\1298972SL.docx</w:t>
    </w:r>
    <w:r w:rsidRPr="001F484B">
      <w:rPr>
        <w:rStyle w:val="HideTWBExt"/>
      </w:rPr>
      <w:t>&lt;/PathFdR&gt;</w:t>
    </w:r>
  </w:p>
  <w:p w:rsidR="00FF317F" w:rsidRPr="001F484B" w:rsidRDefault="00FF317F" w:rsidP="006C1EB2">
    <w:pPr>
      <w:pStyle w:val="EPFooter2"/>
    </w:pPr>
    <w:r w:rsidRPr="001F484B">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17F" w:rsidRPr="001F484B" w:rsidRDefault="00FF317F" w:rsidP="006C1EB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17F" w:rsidRPr="001F484B" w:rsidRDefault="00FF317F" w:rsidP="006C1EB2">
    <w:pPr>
      <w:pStyle w:val="EPFooter"/>
    </w:pPr>
    <w:r w:rsidRPr="001F484B">
      <w:rPr>
        <w:rStyle w:val="HideTWBExt"/>
      </w:rPr>
      <w:t>&lt;PathFdR&gt;</w:t>
    </w:r>
    <w:r w:rsidRPr="001F484B">
      <w:t>RR\1298972SL.docx</w:t>
    </w:r>
    <w:r w:rsidRPr="001F484B">
      <w:rPr>
        <w:rStyle w:val="HideTWBExt"/>
      </w:rPr>
      <w:t>&lt;/PathFdR&gt;</w:t>
    </w:r>
    <w:r w:rsidRPr="001F484B">
      <w:tab/>
    </w:r>
    <w:r w:rsidRPr="001F484B">
      <w:tab/>
      <w:t>PE</w:t>
    </w:r>
    <w:r w:rsidRPr="001F484B">
      <w:rPr>
        <w:rStyle w:val="HideTWBExt"/>
      </w:rPr>
      <w:t>&lt;NoPE&gt;</w:t>
    </w:r>
    <w:r w:rsidRPr="001F484B">
      <w:t>753.531</w:t>
    </w:r>
    <w:r w:rsidRPr="001F484B">
      <w:rPr>
        <w:rStyle w:val="HideTWBExt"/>
      </w:rPr>
      <w:t>&lt;/NoPE&gt;&lt;Version&gt;</w:t>
    </w:r>
    <w:r w:rsidRPr="001F484B">
      <w:t>v02-00</w:t>
    </w:r>
    <w:r w:rsidRPr="001F484B">
      <w:rPr>
        <w:rStyle w:val="HideTWBExt"/>
      </w:rPr>
      <w:t>&lt;/Version&gt;</w:t>
    </w:r>
  </w:p>
  <w:p w:rsidR="00FF317F" w:rsidRPr="001F484B" w:rsidRDefault="00FF317F" w:rsidP="006C1EB2">
    <w:pPr>
      <w:pStyle w:val="EPFooter2"/>
    </w:pPr>
    <w:r w:rsidRPr="001F484B">
      <w:t>SL</w:t>
    </w:r>
    <w:r w:rsidRPr="001F484B">
      <w:tab/>
    </w:r>
    <w:r w:rsidRPr="001F484B">
      <w:rPr>
        <w:b w:val="0"/>
        <w:i/>
        <w:color w:val="C0C0C0"/>
        <w:sz w:val="22"/>
      </w:rPr>
      <w:t>Združena v raznolikosti</w:t>
    </w:r>
    <w:r w:rsidRPr="001F484B">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484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484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48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BE8" w:rsidRPr="001F484B" w:rsidRDefault="006C6BE8">
      <w:r w:rsidRPr="001F484B">
        <w:separator/>
      </w:r>
    </w:p>
  </w:footnote>
  <w:footnote w:type="continuationSeparator" w:id="0">
    <w:p w:rsidR="006C6BE8" w:rsidRPr="001F484B" w:rsidRDefault="006C6BE8">
      <w:r w:rsidRPr="001F484B">
        <w:continuationSeparator/>
      </w:r>
    </w:p>
  </w:footnote>
  <w:footnote w:id="1">
    <w:p w:rsidR="00FF317F" w:rsidRPr="001F484B" w:rsidRDefault="00FF317F" w:rsidP="001F484B">
      <w:pPr>
        <w:pStyle w:val="FootnoteText"/>
        <w:ind w:left="567" w:hanging="567"/>
        <w:rPr>
          <w:sz w:val="24"/>
          <w:lang w:val="sl-SI"/>
        </w:rPr>
      </w:pPr>
      <w:r w:rsidRPr="001F484B">
        <w:rPr>
          <w:rStyle w:val="FootnoteReference"/>
          <w:sz w:val="24"/>
          <w:lang w:val="sl-SI"/>
        </w:rPr>
        <w:footnoteRef/>
      </w:r>
      <w:r w:rsidR="001F484B" w:rsidRPr="001F484B">
        <w:rPr>
          <w:sz w:val="24"/>
          <w:lang w:val="sl-SI"/>
        </w:rPr>
        <w:t xml:space="preserve"> </w:t>
      </w:r>
      <w:r w:rsidR="001F484B" w:rsidRPr="001F484B">
        <w:rPr>
          <w:sz w:val="24"/>
          <w:lang w:val="sl-SI"/>
        </w:rPr>
        <w:tab/>
      </w:r>
      <w:r w:rsidRPr="001F484B">
        <w:rPr>
          <w:sz w:val="24"/>
          <w:lang w:val="sl-SI"/>
        </w:rPr>
        <w:t>UL C, C/2023/594, 27.10.2023.</w:t>
      </w:r>
    </w:p>
  </w:footnote>
  <w:footnote w:id="2">
    <w:p w:rsidR="00FF317F" w:rsidRPr="001F484B" w:rsidRDefault="00FF317F" w:rsidP="001F484B">
      <w:pPr>
        <w:pStyle w:val="FootnoteText"/>
        <w:ind w:left="567" w:hanging="567"/>
        <w:rPr>
          <w:sz w:val="24"/>
          <w:lang w:val="sl-SI"/>
        </w:rPr>
      </w:pPr>
      <w:r w:rsidRPr="001F484B">
        <w:rPr>
          <w:rStyle w:val="FootnoteReference"/>
          <w:sz w:val="24"/>
          <w:lang w:val="sl-SI"/>
        </w:rPr>
        <w:footnoteRef/>
      </w:r>
      <w:r w:rsidR="001F484B" w:rsidRPr="001F484B">
        <w:rPr>
          <w:sz w:val="24"/>
          <w:lang w:val="sl-SI"/>
        </w:rPr>
        <w:t xml:space="preserve"> </w:t>
      </w:r>
      <w:r w:rsidR="001F484B" w:rsidRPr="001F484B">
        <w:rPr>
          <w:sz w:val="24"/>
          <w:lang w:val="sl-SI"/>
        </w:rPr>
        <w:tab/>
      </w:r>
      <w:r w:rsidRPr="001F484B">
        <w:rPr>
          <w:sz w:val="24"/>
          <w:lang w:val="sl-SI"/>
        </w:rPr>
        <w:t>UL C, C/2023/112, 12.10.2023.</w:t>
      </w:r>
    </w:p>
  </w:footnote>
  <w:footnote w:id="3">
    <w:p w:rsidR="00FF317F" w:rsidRPr="001F484B" w:rsidRDefault="00FF317F" w:rsidP="001F484B">
      <w:pPr>
        <w:pStyle w:val="FootnoteText"/>
        <w:ind w:left="567" w:hanging="567"/>
        <w:rPr>
          <w:sz w:val="24"/>
          <w:lang w:val="sl-SI"/>
        </w:rPr>
      </w:pPr>
      <w:r w:rsidRPr="001F484B">
        <w:rPr>
          <w:rStyle w:val="FootnoteReference"/>
          <w:sz w:val="24"/>
          <w:lang w:val="sl-SI"/>
        </w:rPr>
        <w:footnoteRef/>
      </w:r>
      <w:r w:rsidR="001F484B" w:rsidRPr="001F484B">
        <w:rPr>
          <w:sz w:val="24"/>
          <w:lang w:val="sl-SI"/>
        </w:rPr>
        <w:t xml:space="preserve"> </w:t>
      </w:r>
      <w:r w:rsidR="001F484B" w:rsidRPr="001F484B">
        <w:rPr>
          <w:sz w:val="24"/>
          <w:lang w:val="sl-SI"/>
        </w:rPr>
        <w:tab/>
      </w:r>
      <w:r w:rsidRPr="001F484B">
        <w:rPr>
          <w:sz w:val="24"/>
          <w:lang w:val="sl-SI"/>
        </w:rPr>
        <w:t>UL L 193, 30.7.2018, str. 1.</w:t>
      </w:r>
    </w:p>
  </w:footnote>
  <w:footnote w:id="4">
    <w:p w:rsidR="00FF317F" w:rsidRPr="001F484B" w:rsidRDefault="00FF317F" w:rsidP="001F484B">
      <w:pPr>
        <w:pStyle w:val="FootnoteText"/>
        <w:ind w:left="567" w:hanging="567"/>
        <w:rPr>
          <w:sz w:val="24"/>
          <w:lang w:val="sl-SI"/>
        </w:rPr>
      </w:pPr>
      <w:r w:rsidRPr="001F484B">
        <w:rPr>
          <w:rStyle w:val="FootnoteReference"/>
          <w:sz w:val="24"/>
          <w:lang w:val="sl-SI"/>
        </w:rPr>
        <w:footnoteRef/>
      </w:r>
      <w:r w:rsidR="001F484B" w:rsidRPr="001F484B">
        <w:rPr>
          <w:sz w:val="24"/>
          <w:lang w:val="sl-SI"/>
        </w:rPr>
        <w:t xml:space="preserve"> </w:t>
      </w:r>
      <w:r w:rsidR="001F484B" w:rsidRPr="001F484B">
        <w:rPr>
          <w:sz w:val="24"/>
          <w:lang w:val="sl-SI"/>
        </w:rPr>
        <w:tab/>
      </w:r>
      <w:r w:rsidRPr="001F484B">
        <w:rPr>
          <w:sz w:val="24"/>
          <w:lang w:val="sl-SI"/>
        </w:rPr>
        <w:t>UL L 354, 31.12.2008, str. 82.</w:t>
      </w:r>
    </w:p>
  </w:footnote>
  <w:footnote w:id="5">
    <w:p w:rsidR="00FF317F" w:rsidRPr="001F484B" w:rsidRDefault="00FF317F" w:rsidP="001F484B">
      <w:pPr>
        <w:pStyle w:val="FootnoteText"/>
        <w:ind w:left="567" w:hanging="567"/>
        <w:rPr>
          <w:sz w:val="24"/>
          <w:lang w:val="sl-SI"/>
        </w:rPr>
      </w:pPr>
      <w:r w:rsidRPr="001F484B">
        <w:rPr>
          <w:rStyle w:val="FootnoteReference"/>
          <w:sz w:val="24"/>
          <w:lang w:val="sl-SI"/>
        </w:rPr>
        <w:footnoteRef/>
      </w:r>
      <w:r w:rsidR="001F484B" w:rsidRPr="001F484B">
        <w:rPr>
          <w:sz w:val="24"/>
          <w:lang w:val="sl-SI"/>
        </w:rPr>
        <w:t xml:space="preserve"> </w:t>
      </w:r>
      <w:r w:rsidR="001F484B" w:rsidRPr="001F484B">
        <w:rPr>
          <w:sz w:val="24"/>
          <w:lang w:val="sl-SI"/>
        </w:rPr>
        <w:tab/>
      </w:r>
      <w:r w:rsidRPr="001F484B">
        <w:rPr>
          <w:sz w:val="24"/>
          <w:lang w:val="sl-SI"/>
        </w:rPr>
        <w:t>UL L 122, 10.5.2019, str. 1.</w:t>
      </w:r>
    </w:p>
  </w:footnote>
  <w:footnote w:id="6">
    <w:p w:rsidR="00FF317F" w:rsidRPr="001F484B" w:rsidRDefault="00FF317F" w:rsidP="001F484B">
      <w:pPr>
        <w:pStyle w:val="FootnoteText"/>
        <w:ind w:left="567" w:hanging="567"/>
        <w:rPr>
          <w:sz w:val="24"/>
          <w:lang w:val="sl-SI"/>
        </w:rPr>
      </w:pPr>
      <w:r w:rsidRPr="001F484B">
        <w:rPr>
          <w:rStyle w:val="FootnoteReference"/>
          <w:sz w:val="24"/>
          <w:lang w:val="sl-SI"/>
        </w:rPr>
        <w:footnoteRef/>
      </w:r>
      <w:r w:rsidR="001F484B" w:rsidRPr="001F484B">
        <w:rPr>
          <w:sz w:val="24"/>
          <w:lang w:val="sl-SI"/>
        </w:rPr>
        <w:t xml:space="preserve"> </w:t>
      </w:r>
      <w:r w:rsidR="001F484B" w:rsidRPr="001F484B">
        <w:rPr>
          <w:sz w:val="24"/>
          <w:lang w:val="sl-SI"/>
        </w:rPr>
        <w:tab/>
      </w:r>
      <w:r w:rsidRPr="001F484B">
        <w:rPr>
          <w:sz w:val="24"/>
          <w:lang w:val="sl-SI"/>
        </w:rPr>
        <w:t>UL C, C/2023/594, 27.10.2023.</w:t>
      </w:r>
    </w:p>
  </w:footnote>
  <w:footnote w:id="7">
    <w:p w:rsidR="00FF317F" w:rsidRPr="001F484B" w:rsidRDefault="00FF317F" w:rsidP="001F484B">
      <w:pPr>
        <w:pStyle w:val="FootnoteText"/>
        <w:ind w:left="567" w:hanging="567"/>
        <w:rPr>
          <w:sz w:val="24"/>
          <w:lang w:val="sl-SI"/>
        </w:rPr>
      </w:pPr>
      <w:r w:rsidRPr="001F484B">
        <w:rPr>
          <w:rStyle w:val="FootnoteReference"/>
          <w:sz w:val="24"/>
          <w:lang w:val="sl-SI"/>
        </w:rPr>
        <w:footnoteRef/>
      </w:r>
      <w:r w:rsidR="001F484B" w:rsidRPr="001F484B">
        <w:rPr>
          <w:sz w:val="24"/>
          <w:lang w:val="sl-SI"/>
        </w:rPr>
        <w:t xml:space="preserve"> </w:t>
      </w:r>
      <w:r w:rsidR="001F484B" w:rsidRPr="001F484B">
        <w:rPr>
          <w:sz w:val="24"/>
          <w:lang w:val="sl-SI"/>
        </w:rPr>
        <w:tab/>
      </w:r>
      <w:r w:rsidRPr="001F484B">
        <w:rPr>
          <w:sz w:val="24"/>
          <w:lang w:val="sl-SI"/>
        </w:rPr>
        <w:t>UL C, C/2023/112, 12.10.2023.</w:t>
      </w:r>
    </w:p>
  </w:footnote>
  <w:footnote w:id="8">
    <w:p w:rsidR="00FF317F" w:rsidRPr="001F484B" w:rsidRDefault="00FF317F" w:rsidP="001F484B">
      <w:pPr>
        <w:pStyle w:val="FootnoteText"/>
        <w:ind w:left="567" w:hanging="567"/>
        <w:rPr>
          <w:sz w:val="24"/>
          <w:lang w:val="sl-SI"/>
        </w:rPr>
      </w:pPr>
      <w:r w:rsidRPr="001F484B">
        <w:rPr>
          <w:rStyle w:val="FootnoteReference"/>
          <w:sz w:val="24"/>
          <w:lang w:val="sl-SI"/>
        </w:rPr>
        <w:footnoteRef/>
      </w:r>
      <w:r w:rsidR="001F484B" w:rsidRPr="001F484B">
        <w:rPr>
          <w:sz w:val="24"/>
          <w:lang w:val="sl-SI"/>
        </w:rPr>
        <w:t xml:space="preserve"> </w:t>
      </w:r>
      <w:r w:rsidR="001F484B" w:rsidRPr="001F484B">
        <w:rPr>
          <w:sz w:val="24"/>
          <w:lang w:val="sl-SI"/>
        </w:rPr>
        <w:tab/>
      </w:r>
      <w:r w:rsidRPr="001F484B">
        <w:rPr>
          <w:sz w:val="24"/>
          <w:lang w:val="sl-SI"/>
        </w:rPr>
        <w:t>UL L 193, 30.7.2018, str. 1.</w:t>
      </w:r>
    </w:p>
  </w:footnote>
  <w:footnote w:id="9">
    <w:p w:rsidR="00FF317F" w:rsidRPr="001F484B" w:rsidRDefault="00FF317F" w:rsidP="001F484B">
      <w:pPr>
        <w:pStyle w:val="FootnoteText"/>
        <w:ind w:left="567" w:hanging="567"/>
        <w:rPr>
          <w:sz w:val="24"/>
          <w:lang w:val="sl-SI"/>
        </w:rPr>
      </w:pPr>
      <w:r w:rsidRPr="001F484B">
        <w:rPr>
          <w:rStyle w:val="FootnoteReference"/>
          <w:sz w:val="24"/>
          <w:lang w:val="sl-SI"/>
        </w:rPr>
        <w:footnoteRef/>
      </w:r>
      <w:r w:rsidR="001F484B" w:rsidRPr="001F484B">
        <w:rPr>
          <w:sz w:val="24"/>
          <w:lang w:val="sl-SI"/>
        </w:rPr>
        <w:t xml:space="preserve"> </w:t>
      </w:r>
      <w:r w:rsidR="001F484B" w:rsidRPr="001F484B">
        <w:rPr>
          <w:sz w:val="24"/>
          <w:lang w:val="sl-SI"/>
        </w:rPr>
        <w:tab/>
      </w:r>
      <w:r w:rsidRPr="001F484B">
        <w:rPr>
          <w:sz w:val="24"/>
          <w:lang w:val="sl-SI"/>
        </w:rPr>
        <w:t>UL L 354, 31.12.2008, str. 82.</w:t>
      </w:r>
    </w:p>
  </w:footnote>
  <w:footnote w:id="10">
    <w:p w:rsidR="00FF317F" w:rsidRPr="001F484B" w:rsidRDefault="00FF317F" w:rsidP="001F484B">
      <w:pPr>
        <w:pStyle w:val="FootnoteText"/>
        <w:ind w:left="567" w:hanging="567"/>
        <w:rPr>
          <w:sz w:val="24"/>
          <w:lang w:val="sl-SI"/>
        </w:rPr>
      </w:pPr>
      <w:r w:rsidRPr="001F484B">
        <w:rPr>
          <w:rStyle w:val="FootnoteReference"/>
          <w:sz w:val="24"/>
          <w:lang w:val="sl-SI"/>
        </w:rPr>
        <w:footnoteRef/>
      </w:r>
      <w:r w:rsidR="001F484B" w:rsidRPr="001F484B">
        <w:rPr>
          <w:sz w:val="24"/>
          <w:lang w:val="sl-SI"/>
        </w:rPr>
        <w:t xml:space="preserve"> </w:t>
      </w:r>
      <w:r w:rsidR="001F484B" w:rsidRPr="001F484B">
        <w:rPr>
          <w:sz w:val="24"/>
          <w:lang w:val="sl-SI"/>
        </w:rPr>
        <w:tab/>
      </w:r>
      <w:r w:rsidRPr="001F484B">
        <w:rPr>
          <w:sz w:val="24"/>
          <w:lang w:val="sl-SI"/>
        </w:rPr>
        <w:t>UL L 122, 10.5.2019, str. 1.</w:t>
      </w:r>
    </w:p>
  </w:footnote>
  <w:footnote w:id="11">
    <w:p w:rsidR="00FF317F" w:rsidRPr="001F484B" w:rsidRDefault="00FF317F" w:rsidP="001F484B">
      <w:pPr>
        <w:pStyle w:val="FootnoteText"/>
        <w:ind w:left="567" w:hanging="567"/>
        <w:rPr>
          <w:sz w:val="24"/>
          <w:lang w:val="sl-SI"/>
        </w:rPr>
      </w:pPr>
      <w:r w:rsidRPr="001F484B">
        <w:rPr>
          <w:rStyle w:val="FootnoteReference"/>
          <w:sz w:val="24"/>
          <w:lang w:val="sl-SI"/>
        </w:rPr>
        <w:footnoteRef/>
      </w:r>
      <w:r w:rsidR="001F484B" w:rsidRPr="001F484B">
        <w:rPr>
          <w:sz w:val="24"/>
          <w:lang w:val="sl-SI"/>
        </w:rPr>
        <w:t xml:space="preserve"> </w:t>
      </w:r>
      <w:r w:rsidR="001F484B" w:rsidRPr="001F484B">
        <w:rPr>
          <w:sz w:val="24"/>
          <w:lang w:val="sl-SI"/>
        </w:rPr>
        <w:tab/>
      </w:r>
      <w:r w:rsidRPr="001F484B">
        <w:rPr>
          <w:sz w:val="24"/>
          <w:lang w:val="sl-SI"/>
        </w:rPr>
        <w:t>UL C 38, 31.1.2023, str. 13.</w:t>
      </w:r>
    </w:p>
  </w:footnote>
  <w:footnote w:id="12">
    <w:p w:rsidR="00FF317F" w:rsidRPr="001F484B" w:rsidRDefault="00FF317F" w:rsidP="001F484B">
      <w:pPr>
        <w:pStyle w:val="FootnoteText"/>
        <w:ind w:left="567" w:hanging="567"/>
        <w:rPr>
          <w:sz w:val="24"/>
          <w:lang w:val="sl-SI"/>
        </w:rPr>
      </w:pPr>
      <w:r w:rsidRPr="001F484B">
        <w:rPr>
          <w:rStyle w:val="FootnoteReference"/>
          <w:sz w:val="24"/>
          <w:lang w:val="sl-SI"/>
        </w:rPr>
        <w:footnoteRef/>
      </w:r>
      <w:r w:rsidR="001F484B" w:rsidRPr="001F484B">
        <w:rPr>
          <w:sz w:val="24"/>
          <w:lang w:val="sl-SI"/>
        </w:rPr>
        <w:t xml:space="preserve"> </w:t>
      </w:r>
      <w:r w:rsidR="001F484B" w:rsidRPr="001F484B">
        <w:rPr>
          <w:sz w:val="24"/>
          <w:lang w:val="sl-SI"/>
        </w:rPr>
        <w:tab/>
      </w:r>
      <w:r w:rsidRPr="001F484B">
        <w:rPr>
          <w:sz w:val="24"/>
          <w:lang w:val="sl-SI"/>
        </w:rPr>
        <w:t>Sprejeta besedila, P9_TA(2024)</w:t>
      </w:r>
      <w:r w:rsidR="007A28FB">
        <w:rPr>
          <w:sz w:val="24"/>
          <w:lang w:val="sl-SI"/>
        </w:rPr>
        <w:t>0280</w:t>
      </w:r>
      <w:bookmarkStart w:id="10" w:name="_GoBack"/>
      <w:bookmarkEnd w:id="10"/>
      <w:r w:rsidRPr="001F484B">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17F" w:rsidRPr="001F484B" w:rsidRDefault="00FF31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17F" w:rsidRPr="001F484B" w:rsidRDefault="00FF31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17F" w:rsidRPr="001F484B" w:rsidRDefault="00FF31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484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484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48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SL"/>
    <w:docVar w:name="dvnumam" w:val="0"/>
    <w:docVar w:name="dvpe" w:val="753.531"/>
    <w:docVar w:name="dvrapporteur" w:val="Poročevalec: "/>
    <w:docVar w:name="dvtitre" w:val="Sklep Evropskega parlamenta z dne … 2024 o razrešnici glede izvrševanja proračuna Evropske fundacije za usposabljanje za proračunsko leto 2022(2023/2163(DEC))"/>
  </w:docVars>
  <w:rsids>
    <w:rsidRoot w:val="006C6BE8"/>
    <w:rsid w:val="00002272"/>
    <w:rsid w:val="00064002"/>
    <w:rsid w:val="000677B9"/>
    <w:rsid w:val="000831BA"/>
    <w:rsid w:val="000A42CC"/>
    <w:rsid w:val="000E7DD9"/>
    <w:rsid w:val="0010095E"/>
    <w:rsid w:val="00125B37"/>
    <w:rsid w:val="00187494"/>
    <w:rsid w:val="001F32AE"/>
    <w:rsid w:val="001F484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E5A"/>
    <w:rsid w:val="005C2568"/>
    <w:rsid w:val="006037C0"/>
    <w:rsid w:val="006631B6"/>
    <w:rsid w:val="00680577"/>
    <w:rsid w:val="006C6BE8"/>
    <w:rsid w:val="006F74FA"/>
    <w:rsid w:val="00731ADD"/>
    <w:rsid w:val="00734777"/>
    <w:rsid w:val="00747932"/>
    <w:rsid w:val="00751A4A"/>
    <w:rsid w:val="00756632"/>
    <w:rsid w:val="00762C74"/>
    <w:rsid w:val="00786EC0"/>
    <w:rsid w:val="007A28F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2E86"/>
    <w:rsid w:val="00E365E1"/>
    <w:rsid w:val="00E820A4"/>
    <w:rsid w:val="00EB006A"/>
    <w:rsid w:val="00EB4772"/>
    <w:rsid w:val="00ED169E"/>
    <w:rsid w:val="00ED306D"/>
    <w:rsid w:val="00ED4235"/>
    <w:rsid w:val="00F04346"/>
    <w:rsid w:val="00F075DC"/>
    <w:rsid w:val="00F149E9"/>
    <w:rsid w:val="00F5134D"/>
    <w:rsid w:val="00F74202"/>
    <w:rsid w:val="00F87713"/>
    <w:rsid w:val="00FB4360"/>
    <w:rsid w:val="00FD0C70"/>
    <w:rsid w:val="00FF317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199DB"/>
  <w15:chartTrackingRefBased/>
  <w15:docId w15:val="{7C7CA0DA-A17A-4633-943B-2215B28D4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F317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F317F"/>
    <w:pPr>
      <w:spacing w:before="480" w:after="240"/>
    </w:pPr>
  </w:style>
  <w:style w:type="paragraph" w:customStyle="1" w:styleId="PageHeading">
    <w:name w:val="PageHeading"/>
    <w:basedOn w:val="Normal"/>
    <w:rsid w:val="00FF317F"/>
    <w:pPr>
      <w:keepNext/>
      <w:spacing w:after="480"/>
      <w:jc w:val="center"/>
    </w:pPr>
    <w:rPr>
      <w:rFonts w:ascii="Arial" w:hAnsi="Arial" w:cs="Arial"/>
      <w:b/>
    </w:rPr>
  </w:style>
  <w:style w:type="paragraph" w:customStyle="1" w:styleId="NormalBold">
    <w:name w:val="NormalBold"/>
    <w:basedOn w:val="Normal"/>
    <w:rsid w:val="00FF317F"/>
    <w:rPr>
      <w:b/>
    </w:rPr>
  </w:style>
  <w:style w:type="paragraph" w:customStyle="1" w:styleId="NormalHanging12a">
    <w:name w:val="NormalHanging12a"/>
    <w:basedOn w:val="Normal"/>
    <w:link w:val="NormalHanging12aChar"/>
    <w:rsid w:val="00FF317F"/>
    <w:pPr>
      <w:spacing w:after="240"/>
      <w:ind w:left="567" w:hanging="567"/>
    </w:pPr>
  </w:style>
  <w:style w:type="paragraph" w:customStyle="1" w:styleId="NormalCenter12a">
    <w:name w:val="NormalCenter12a"/>
    <w:basedOn w:val="Normal"/>
    <w:rsid w:val="00FF317F"/>
    <w:pPr>
      <w:spacing w:after="240"/>
      <w:jc w:val="center"/>
    </w:pPr>
  </w:style>
  <w:style w:type="paragraph" w:styleId="Header">
    <w:name w:val="header"/>
    <w:basedOn w:val="Normal"/>
    <w:link w:val="HeaderChar"/>
    <w:rsid w:val="00FF317F"/>
    <w:pPr>
      <w:tabs>
        <w:tab w:val="center" w:pos="4513"/>
        <w:tab w:val="right" w:pos="9026"/>
      </w:tabs>
    </w:pPr>
  </w:style>
  <w:style w:type="character" w:customStyle="1" w:styleId="HeaderChar">
    <w:name w:val="Header Char"/>
    <w:basedOn w:val="DefaultParagraphFont"/>
    <w:link w:val="Header"/>
    <w:rsid w:val="00FF317F"/>
    <w:rPr>
      <w:sz w:val="24"/>
      <w:lang w:val="sl-SI"/>
    </w:rPr>
  </w:style>
  <w:style w:type="paragraph" w:customStyle="1" w:styleId="EPFooter">
    <w:name w:val="EPFooter"/>
    <w:basedOn w:val="Normal"/>
    <w:rsid w:val="00FF317F"/>
    <w:pPr>
      <w:tabs>
        <w:tab w:val="center" w:pos="4535"/>
        <w:tab w:val="right" w:pos="9071"/>
      </w:tabs>
      <w:spacing w:before="240" w:after="240"/>
    </w:pPr>
    <w:rPr>
      <w:color w:val="010000"/>
      <w:sz w:val="22"/>
    </w:rPr>
  </w:style>
  <w:style w:type="paragraph" w:customStyle="1" w:styleId="Normal12Hanging">
    <w:name w:val="Normal12Hanging"/>
    <w:basedOn w:val="Normal"/>
    <w:rsid w:val="00FF317F"/>
    <w:pPr>
      <w:spacing w:after="240"/>
      <w:ind w:left="567" w:hanging="567"/>
    </w:pPr>
  </w:style>
  <w:style w:type="character" w:customStyle="1" w:styleId="normaltextrun">
    <w:name w:val="normaltextrun"/>
    <w:basedOn w:val="DefaultParagraphFont"/>
    <w:rsid w:val="00FF317F"/>
  </w:style>
  <w:style w:type="character" w:customStyle="1" w:styleId="NormalHanging12aChar">
    <w:name w:val="NormalHanging12a Char"/>
    <w:link w:val="NormalHanging12a"/>
    <w:locked/>
    <w:rsid w:val="00FF317F"/>
    <w:rPr>
      <w:sz w:val="24"/>
      <w:lang w:val="sl-SI"/>
    </w:rPr>
  </w:style>
  <w:style w:type="paragraph" w:styleId="BalloonText">
    <w:name w:val="Balloon Text"/>
    <w:basedOn w:val="Normal"/>
    <w:link w:val="BalloonTextChar"/>
    <w:rsid w:val="00DC2E86"/>
    <w:rPr>
      <w:rFonts w:ascii="Segoe UI" w:hAnsi="Segoe UI" w:cs="Segoe UI"/>
      <w:sz w:val="18"/>
      <w:szCs w:val="18"/>
    </w:rPr>
  </w:style>
  <w:style w:type="character" w:customStyle="1" w:styleId="BalloonTextChar">
    <w:name w:val="Balloon Text Char"/>
    <w:basedOn w:val="DefaultParagraphFont"/>
    <w:link w:val="BalloonText"/>
    <w:rsid w:val="00DC2E86"/>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6C36C-E129-4F40-BC1D-EC08944F6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2898</Words>
  <Characters>17290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2024-04-11T12:58:00Z</dcterms:created>
  <dcterms:modified xsi:type="dcterms:W3CDTF">2024-04-11T12:58:00Z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A9-0114/2024</vt:lpwstr>
  </property>
  <property fmtid="{D5CDD505-2E9C-101B-9397-08002B2CF9AE}" pid="4" name="&lt;Type&gt;">
    <vt:lpwstr>RR</vt:lpwstr>
  </property>
</Properties>
</file>