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4011E" w:rsidTr="0010095E">
        <w:trPr>
          <w:trHeight w:hRule="exact" w:val="1418"/>
        </w:trPr>
        <w:tc>
          <w:tcPr>
            <w:tcW w:w="6804" w:type="dxa"/>
            <w:shd w:val="clear" w:color="auto" w:fill="auto"/>
            <w:vAlign w:val="center"/>
          </w:tcPr>
          <w:p w:rsidR="00751A4A" w:rsidRPr="00B4011E" w:rsidRDefault="00DA6C76" w:rsidP="0010095E">
            <w:pPr>
              <w:pStyle w:val="EPName"/>
            </w:pPr>
            <w:bookmarkStart w:id="0" w:name="_GoBack"/>
            <w:bookmarkEnd w:id="0"/>
            <w:r w:rsidRPr="00B4011E">
              <w:t>Europaparlamentet</w:t>
            </w:r>
          </w:p>
          <w:p w:rsidR="00751A4A" w:rsidRPr="00B4011E" w:rsidRDefault="00817416" w:rsidP="00756632">
            <w:pPr>
              <w:pStyle w:val="EPTerm"/>
              <w:rPr>
                <w:rStyle w:val="HideTWBExt"/>
                <w:noProof w:val="0"/>
                <w:vanish w:val="0"/>
                <w:color w:val="auto"/>
              </w:rPr>
            </w:pPr>
            <w:r w:rsidRPr="00B4011E">
              <w:t>2019-2024</w:t>
            </w:r>
          </w:p>
        </w:tc>
        <w:tc>
          <w:tcPr>
            <w:tcW w:w="2268" w:type="dxa"/>
            <w:shd w:val="clear" w:color="auto" w:fill="auto"/>
          </w:tcPr>
          <w:p w:rsidR="00751A4A" w:rsidRPr="00B4011E" w:rsidRDefault="00187494" w:rsidP="0010095E">
            <w:pPr>
              <w:pStyle w:val="EPLogo"/>
            </w:pPr>
            <w:r w:rsidRPr="00B4011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4011E" w:rsidRDefault="00D058B8" w:rsidP="004C5D52">
      <w:pPr>
        <w:pStyle w:val="LineTop"/>
      </w:pPr>
    </w:p>
    <w:p w:rsidR="00680577" w:rsidRPr="00B4011E" w:rsidRDefault="00DA6C76" w:rsidP="00680577">
      <w:pPr>
        <w:pStyle w:val="EPBodyTA1"/>
      </w:pPr>
      <w:r w:rsidRPr="00B4011E">
        <w:t>ANTAGNA TEXTER</w:t>
      </w:r>
    </w:p>
    <w:p w:rsidR="00D058B8" w:rsidRPr="00B4011E" w:rsidRDefault="00D058B8" w:rsidP="00D058B8">
      <w:pPr>
        <w:pStyle w:val="LineBottom"/>
      </w:pPr>
    </w:p>
    <w:p w:rsidR="00DA6C76" w:rsidRPr="00B4011E" w:rsidRDefault="00DA6C76" w:rsidP="00DA6C76">
      <w:pPr>
        <w:pStyle w:val="ATHeading1"/>
      </w:pPr>
      <w:bookmarkStart w:id="1" w:name="TANumber"/>
      <w:r w:rsidRPr="00B4011E">
        <w:t>P9_TA(2024)0</w:t>
      </w:r>
      <w:bookmarkEnd w:id="1"/>
      <w:r w:rsidR="00B4011E" w:rsidRPr="00B4011E">
        <w:t>247</w:t>
      </w:r>
    </w:p>
    <w:p w:rsidR="00DA6C76" w:rsidRPr="00B4011E" w:rsidRDefault="00DA6C76" w:rsidP="00DA6C76">
      <w:pPr>
        <w:pStyle w:val="ATHeading2"/>
      </w:pPr>
      <w:bookmarkStart w:id="2" w:name="title"/>
      <w:r w:rsidRPr="00B4011E">
        <w:t>Ansvarsfrihet 2022: Europeiska yrkesutbildningsstiftelsen</w:t>
      </w:r>
      <w:bookmarkEnd w:id="2"/>
    </w:p>
    <w:p w:rsidR="00DA6C76" w:rsidRPr="00B4011E" w:rsidRDefault="00DA6C76" w:rsidP="00DA6C76">
      <w:pPr>
        <w:rPr>
          <w:i/>
          <w:vanish/>
        </w:rPr>
      </w:pPr>
      <w:r w:rsidRPr="00B4011E">
        <w:rPr>
          <w:i/>
        </w:rPr>
        <w:fldChar w:fldCharType="begin"/>
      </w:r>
      <w:r w:rsidRPr="00B4011E">
        <w:rPr>
          <w:i/>
        </w:rPr>
        <w:instrText xml:space="preserve"> TC"(</w:instrText>
      </w:r>
      <w:bookmarkStart w:id="3" w:name="DocNumber"/>
      <w:r w:rsidRPr="00B4011E">
        <w:rPr>
          <w:i/>
        </w:rPr>
        <w:instrText>A9-0114/2024</w:instrText>
      </w:r>
      <w:bookmarkEnd w:id="3"/>
      <w:r w:rsidRPr="00B4011E">
        <w:rPr>
          <w:i/>
        </w:rPr>
        <w:instrText xml:space="preserve"> - Föredragande: Petri Sarvamaa)"\l3 \n&gt; \* MERGEFORMAT </w:instrText>
      </w:r>
      <w:r w:rsidRPr="00B4011E">
        <w:rPr>
          <w:i/>
        </w:rPr>
        <w:fldChar w:fldCharType="end"/>
      </w:r>
    </w:p>
    <w:p w:rsidR="00DA6C76" w:rsidRPr="00B4011E" w:rsidRDefault="00DA6C76" w:rsidP="00DA6C76">
      <w:pPr>
        <w:rPr>
          <w:vanish/>
        </w:rPr>
      </w:pPr>
      <w:bookmarkStart w:id="4" w:name="Commission"/>
      <w:r w:rsidRPr="00B4011E">
        <w:rPr>
          <w:vanish/>
        </w:rPr>
        <w:t>Budgetkontrollutskottet</w:t>
      </w:r>
      <w:bookmarkEnd w:id="4"/>
    </w:p>
    <w:p w:rsidR="00DA6C76" w:rsidRPr="00B4011E" w:rsidRDefault="00DA6C76" w:rsidP="00DA6C76">
      <w:pPr>
        <w:rPr>
          <w:vanish/>
        </w:rPr>
      </w:pPr>
      <w:bookmarkStart w:id="5" w:name="PE"/>
      <w:r w:rsidRPr="00B4011E">
        <w:rPr>
          <w:vanish/>
        </w:rPr>
        <w:t>PE753.531</w:t>
      </w:r>
      <w:bookmarkEnd w:id="5"/>
    </w:p>
    <w:p w:rsidR="00DA6C76" w:rsidRPr="00B4011E" w:rsidRDefault="00200A86" w:rsidP="00DA6C76">
      <w:pPr>
        <w:pStyle w:val="ATHeading3"/>
      </w:pPr>
      <w:bookmarkStart w:id="6" w:name="Sujet"/>
      <w:r w:rsidRPr="00B4011E">
        <w:t>1. E</w:t>
      </w:r>
      <w:r w:rsidR="00DA6C76" w:rsidRPr="00B4011E">
        <w:t>uropa</w:t>
      </w:r>
      <w:r w:rsidRPr="00B4011E">
        <w:t>parlamentets beslut av den 11 april</w:t>
      </w:r>
      <w:r w:rsidR="00DA6C76" w:rsidRPr="00B4011E">
        <w:t xml:space="preserve"> 2024 om ansvarsfrihet för genomförandet av budgeten för Europeiska yrkesutbildningsstiftelsen för budgetåret 2022</w:t>
      </w:r>
      <w:bookmarkEnd w:id="6"/>
      <w:r w:rsidR="00DA6C76" w:rsidRPr="00B4011E">
        <w:t xml:space="preserve"> </w:t>
      </w:r>
      <w:bookmarkStart w:id="7" w:name="References"/>
      <w:r w:rsidR="00DA6C76" w:rsidRPr="00B4011E">
        <w:t>(2023/2163(DEC))</w:t>
      </w:r>
      <w:bookmarkEnd w:id="7"/>
    </w:p>
    <w:p w:rsidR="00C176EC" w:rsidRPr="00B4011E" w:rsidRDefault="00C176EC" w:rsidP="00C176EC">
      <w:pPr>
        <w:pStyle w:val="EPComma"/>
      </w:pPr>
      <w:bookmarkStart w:id="8" w:name="TextBodyBegin"/>
      <w:bookmarkStart w:id="9" w:name="_Toc86200285"/>
      <w:bookmarkStart w:id="10" w:name="_Toc26759888"/>
      <w:bookmarkEnd w:id="8"/>
      <w:r w:rsidRPr="00B4011E">
        <w:rPr>
          <w:i/>
        </w:rPr>
        <w:t>Europaparlamentet fattar detta beslut</w:t>
      </w:r>
    </w:p>
    <w:p w:rsidR="00C176EC" w:rsidRPr="00B4011E" w:rsidRDefault="00C176EC" w:rsidP="00C176EC">
      <w:pPr>
        <w:pStyle w:val="NormalHanging12a"/>
      </w:pPr>
      <w:r w:rsidRPr="00B4011E">
        <w:t>–</w:t>
      </w:r>
      <w:r w:rsidRPr="00B4011E">
        <w:tab/>
        <w:t>med beaktande av den slutliga årsredovisningen för Europeiska yrkesutbildningsstiftelsen för budgetåret 2022,</w:t>
      </w:r>
    </w:p>
    <w:p w:rsidR="00C176EC" w:rsidRPr="00B4011E" w:rsidRDefault="00C176EC" w:rsidP="00C176EC">
      <w:pPr>
        <w:pStyle w:val="NormalHanging12a"/>
      </w:pPr>
      <w:r w:rsidRPr="00B4011E">
        <w:t>–</w:t>
      </w:r>
      <w:r w:rsidRPr="00B4011E">
        <w:tab/>
        <w:t>med beaktande av revisionsrättens årsrapport om EU:s byråer för budgetåret 2022, med byråernas svar</w:t>
      </w:r>
      <w:r w:rsidRPr="00B4011E">
        <w:rPr>
          <w:rStyle w:val="FootnoteReference"/>
        </w:rPr>
        <w:footnoteReference w:id="1"/>
      </w:r>
      <w:r w:rsidRPr="00B4011E">
        <w:t>,</w:t>
      </w:r>
    </w:p>
    <w:p w:rsidR="00C176EC" w:rsidRPr="00B4011E" w:rsidRDefault="00C176EC" w:rsidP="00C176EC">
      <w:pPr>
        <w:pStyle w:val="NormalHanging12a"/>
      </w:pPr>
      <w:r w:rsidRPr="00B4011E">
        <w:t>–</w:t>
      </w:r>
      <w:r w:rsidRPr="00B4011E">
        <w:tab/>
        <w:t>med beaktande av förklaringen om räkenskapernas tillförlitlighet och de underliggande transaktionernas laglighet och korrekthet</w:t>
      </w:r>
      <w:r w:rsidRPr="00B4011E">
        <w:rPr>
          <w:rStyle w:val="FootnoteReference"/>
        </w:rPr>
        <w:footnoteReference w:id="2"/>
      </w:r>
      <w:r w:rsidRPr="00B4011E">
        <w:t>, som avgetts av revisionsrätten för budgetåret 2022 i enlighet med artikel 287 i fördraget om Europeiska unionens funktionssätt,</w:t>
      </w:r>
    </w:p>
    <w:p w:rsidR="00C176EC" w:rsidRPr="00B4011E" w:rsidRDefault="00C176EC" w:rsidP="00C176EC">
      <w:pPr>
        <w:pStyle w:val="NormalHanging12a"/>
      </w:pPr>
      <w:r w:rsidRPr="00B4011E">
        <w:t>–</w:t>
      </w:r>
      <w:r w:rsidRPr="00B4011E">
        <w:tab/>
        <w:t>med beaktande av rådets rekommendation av den 22 februari 2024 om att bevilja institutet ansvarsfrihet för genomförandet av budgeten för budgetåret 2022 (</w:t>
      </w:r>
      <w:r w:rsidR="00B4011E" w:rsidRPr="00B4011E">
        <w:t>06180</w:t>
      </w:r>
      <w:r w:rsidRPr="00B4011E">
        <w:t>/2024 – C9</w:t>
      </w:r>
      <w:r w:rsidRPr="00B4011E">
        <w:noBreakHyphen/>
      </w:r>
      <w:r w:rsidR="00B4011E" w:rsidRPr="00B4011E">
        <w:t>0101</w:t>
      </w:r>
      <w:r w:rsidRPr="00B4011E">
        <w:t>/2024),</w:t>
      </w:r>
    </w:p>
    <w:p w:rsidR="00C176EC" w:rsidRPr="00B4011E" w:rsidRDefault="00C176EC" w:rsidP="00C176EC">
      <w:pPr>
        <w:pStyle w:val="NormalHanging12a"/>
      </w:pPr>
      <w:r w:rsidRPr="00B4011E">
        <w:t>–</w:t>
      </w:r>
      <w:r w:rsidRPr="00B4011E">
        <w:tab/>
        <w:t>med beaktande av artikel 319 i fördraget om Europeiska unionens funktionssätt,</w:t>
      </w:r>
    </w:p>
    <w:p w:rsidR="00C176EC" w:rsidRPr="00B4011E" w:rsidRDefault="00C176EC" w:rsidP="00C176EC">
      <w:pPr>
        <w:pStyle w:val="NormalHanging12a"/>
      </w:pPr>
      <w:r w:rsidRPr="00B4011E">
        <w:t>–</w:t>
      </w:r>
      <w:r w:rsidRPr="00B4011E">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B4011E">
        <w:rPr>
          <w:rStyle w:val="FootnoteReference"/>
        </w:rPr>
        <w:footnoteReference w:id="3"/>
      </w:r>
      <w:r w:rsidRPr="00B4011E">
        <w:t>, särskilt artikel 70,</w:t>
      </w:r>
    </w:p>
    <w:p w:rsidR="00C176EC" w:rsidRPr="00B4011E" w:rsidRDefault="00C176EC" w:rsidP="00C176EC">
      <w:pPr>
        <w:pStyle w:val="NormalHanging12a"/>
      </w:pPr>
      <w:r w:rsidRPr="00B4011E">
        <w:t>–</w:t>
      </w:r>
      <w:r w:rsidRPr="00B4011E">
        <w:tab/>
        <w:t xml:space="preserve">med beaktande av Europaparlamentets och rådets förordning (EG) nr 1339/2008 av </w:t>
      </w:r>
      <w:r w:rsidRPr="00B4011E">
        <w:lastRenderedPageBreak/>
        <w:t>den 16 december 2008 om inrättande av Europeiska yrkesutbildningsstiftelsen</w:t>
      </w:r>
      <w:r w:rsidRPr="00B4011E">
        <w:rPr>
          <w:rStyle w:val="FootnoteReference"/>
        </w:rPr>
        <w:footnoteReference w:id="4"/>
      </w:r>
      <w:r w:rsidRPr="00B4011E">
        <w:t>, särskilt artikel 17,</w:t>
      </w:r>
    </w:p>
    <w:p w:rsidR="00C176EC" w:rsidRPr="00B4011E" w:rsidRDefault="00C176EC" w:rsidP="00C176EC">
      <w:pPr>
        <w:pStyle w:val="NormalHanging12a"/>
      </w:pPr>
      <w:r w:rsidRPr="00B4011E">
        <w:t>–</w:t>
      </w:r>
      <w:r w:rsidRPr="00B4011E">
        <w:tab/>
        <w:t>med beaktande av kommissionens delegerade förordning (EU) 2019/715 av den 18 december 2018 med rambudgetförordning för de organ som inrättats enligt EUF</w:t>
      </w:r>
      <w:r w:rsidRPr="00B4011E">
        <w:noBreakHyphen/>
        <w:t>fördraget och Euratomfördraget och som avses i artikel 70 i Europaparlamentets och rådets förordning (EU, Euratom) 2018/1046</w:t>
      </w:r>
      <w:r w:rsidRPr="00B4011E">
        <w:rPr>
          <w:rStyle w:val="FootnoteReference"/>
        </w:rPr>
        <w:footnoteReference w:id="5"/>
      </w:r>
      <w:r w:rsidRPr="00B4011E">
        <w:t>, särskilt artikel 105,</w:t>
      </w:r>
    </w:p>
    <w:p w:rsidR="00C176EC" w:rsidRPr="00B4011E" w:rsidRDefault="00C176EC" w:rsidP="00C176EC">
      <w:pPr>
        <w:pStyle w:val="NormalHanging12a"/>
      </w:pPr>
      <w:r w:rsidRPr="00B4011E">
        <w:t>–</w:t>
      </w:r>
      <w:r w:rsidRPr="00B4011E">
        <w:tab/>
        <w:t>med beaktande av artikel 100 och bilaga V i arbetsordningen,</w:t>
      </w:r>
    </w:p>
    <w:p w:rsidR="00C176EC" w:rsidRPr="00B4011E" w:rsidRDefault="00C176EC" w:rsidP="00C176EC">
      <w:pPr>
        <w:pStyle w:val="NormalHanging12a"/>
      </w:pPr>
      <w:r w:rsidRPr="00B4011E">
        <w:t>–</w:t>
      </w:r>
      <w:r w:rsidRPr="00B4011E">
        <w:tab/>
        <w:t>med beaktande av yttrandet från utskottet för sysselsättning och sociala frågor,</w:t>
      </w:r>
    </w:p>
    <w:p w:rsidR="00C176EC" w:rsidRPr="00B4011E" w:rsidRDefault="00C176EC" w:rsidP="00C176EC">
      <w:pPr>
        <w:pStyle w:val="NormalHanging12a"/>
      </w:pPr>
      <w:r w:rsidRPr="00B4011E">
        <w:t>–</w:t>
      </w:r>
      <w:r w:rsidRPr="00B4011E">
        <w:tab/>
        <w:t>med beaktande av betänkandet från budgetkontrollutskottet (A9-0114/2024).</w:t>
      </w:r>
    </w:p>
    <w:p w:rsidR="00C176EC" w:rsidRPr="00B4011E" w:rsidRDefault="00C176EC" w:rsidP="00C176EC">
      <w:pPr>
        <w:pStyle w:val="NormalHanging12a"/>
      </w:pPr>
      <w:r w:rsidRPr="00B4011E">
        <w:t>1.</w:t>
      </w:r>
      <w:r w:rsidRPr="00B4011E">
        <w:tab/>
        <w:t>Europaparlamentet beviljar direktören för Europeiska yrkesutbildningsstiftelsen ansvarsfrihet för genomförandet av stiftelsens budget för budgetåret 2022.</w:t>
      </w:r>
    </w:p>
    <w:p w:rsidR="00C176EC" w:rsidRPr="00B4011E" w:rsidRDefault="00C176EC" w:rsidP="00C176EC">
      <w:pPr>
        <w:pStyle w:val="NormalHanging12a"/>
      </w:pPr>
      <w:r w:rsidRPr="00B4011E">
        <w:t>2.</w:t>
      </w:r>
      <w:r w:rsidRPr="00B4011E">
        <w:tab/>
        <w:t>Europaparlamentet redovisar sina iakttagelser i resolutionen nedan.</w:t>
      </w:r>
    </w:p>
    <w:p w:rsidR="00C176EC" w:rsidRPr="00B4011E" w:rsidRDefault="00C176EC" w:rsidP="00C176EC">
      <w:pPr>
        <w:pStyle w:val="NormalHanging12a"/>
      </w:pPr>
      <w:r w:rsidRPr="00B4011E">
        <w:t>3.</w:t>
      </w:r>
      <w:r w:rsidRPr="00B4011E">
        <w:tab/>
        <w:t>Europaparlamentet uppdrar åt talmannen att översända detta beslut och den resolution som utgör en del av beslutet till direktören för Europeiska yrkesutbildningsstiftelsen, rådet, kommissionen och revisionsrätten, och att se till att de offentliggörs i </w:t>
      </w:r>
      <w:r w:rsidRPr="00B4011E">
        <w:rPr>
          <w:i/>
          <w:iCs/>
        </w:rPr>
        <w:t>Europeiska unionens officiella tidning</w:t>
      </w:r>
      <w:r w:rsidRPr="00B4011E">
        <w:t xml:space="preserve"> (L-serien).</w:t>
      </w:r>
    </w:p>
    <w:p w:rsidR="00C176EC" w:rsidRPr="00B4011E" w:rsidRDefault="00C176EC" w:rsidP="00C176EC"/>
    <w:p w:rsidR="00C176EC" w:rsidRPr="00B4011E" w:rsidRDefault="00C176EC" w:rsidP="00C176EC">
      <w:pPr>
        <w:widowControl/>
        <w:rPr>
          <w:rFonts w:ascii="Arial" w:hAnsi="Arial" w:cs="Arial"/>
          <w:b/>
        </w:rPr>
        <w:sectPr w:rsidR="00C176EC" w:rsidRPr="00B4011E" w:rsidSect="000D41E9">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C176EC" w:rsidRPr="00B4011E" w:rsidRDefault="00200A86" w:rsidP="00200A86">
      <w:pPr>
        <w:pStyle w:val="ATHeading3"/>
      </w:pPr>
      <w:r w:rsidRPr="00B4011E">
        <w:t xml:space="preserve">2. Europaparlamentets beslut av den 11 april 2024 </w:t>
      </w:r>
      <w:r w:rsidR="00C176EC" w:rsidRPr="00B4011E">
        <w:t>om avslutande av räkenskaperna för Europeiska yrkesutbildningsstiftelsen för budgetåret 2022</w:t>
      </w:r>
      <w:r w:rsidRPr="00B4011E">
        <w:t xml:space="preserve"> </w:t>
      </w:r>
      <w:r w:rsidR="00C176EC" w:rsidRPr="00B4011E">
        <w:t>(2023/2163(DEC))</w:t>
      </w:r>
    </w:p>
    <w:p w:rsidR="00C176EC" w:rsidRPr="00B4011E" w:rsidRDefault="00C176EC" w:rsidP="00C176EC">
      <w:pPr>
        <w:pStyle w:val="EPComma"/>
      </w:pPr>
      <w:r w:rsidRPr="00B4011E">
        <w:rPr>
          <w:i/>
        </w:rPr>
        <w:t>Europaparlamentet fattar detta beslut</w:t>
      </w:r>
    </w:p>
    <w:p w:rsidR="00C176EC" w:rsidRPr="00B4011E" w:rsidRDefault="00C176EC" w:rsidP="00C176EC">
      <w:pPr>
        <w:pStyle w:val="NormalHanging12a"/>
      </w:pPr>
      <w:r w:rsidRPr="00B4011E">
        <w:t>–</w:t>
      </w:r>
      <w:r w:rsidRPr="00B4011E">
        <w:tab/>
        <w:t>med beaktande av den slutliga årsredovisningen för Europeiska yrkesutbildningsstiftelsen för budgetåret 2022,</w:t>
      </w:r>
    </w:p>
    <w:p w:rsidR="00C176EC" w:rsidRPr="00B4011E" w:rsidRDefault="00C176EC" w:rsidP="00C176EC">
      <w:pPr>
        <w:pStyle w:val="NormalHanging12a"/>
      </w:pPr>
      <w:r w:rsidRPr="00B4011E">
        <w:t>–</w:t>
      </w:r>
      <w:r w:rsidRPr="00B4011E">
        <w:tab/>
        <w:t>med beaktande av revisionsrättens årsrapport om EU:s byråer för budgetåret 2022, med byråernas svar</w:t>
      </w:r>
      <w:r w:rsidRPr="00B4011E">
        <w:rPr>
          <w:rStyle w:val="FootnoteReference"/>
        </w:rPr>
        <w:footnoteReference w:id="6"/>
      </w:r>
      <w:r w:rsidRPr="00B4011E">
        <w:t>,</w:t>
      </w:r>
    </w:p>
    <w:p w:rsidR="00C176EC" w:rsidRPr="00B4011E" w:rsidRDefault="00C176EC" w:rsidP="00C176EC">
      <w:pPr>
        <w:pStyle w:val="NormalHanging12a"/>
      </w:pPr>
      <w:r w:rsidRPr="00B4011E">
        <w:t>–</w:t>
      </w:r>
      <w:r w:rsidRPr="00B4011E">
        <w:tab/>
        <w:t>med beaktande av förklaringen om räkenskapernas tillförlitlighet och de underliggande transaktionernas laglighet och korrekthet</w:t>
      </w:r>
      <w:r w:rsidRPr="00B4011E">
        <w:rPr>
          <w:rStyle w:val="FootnoteReference"/>
        </w:rPr>
        <w:footnoteReference w:id="7"/>
      </w:r>
      <w:r w:rsidRPr="00B4011E">
        <w:t>, som avgetts av revisionsrätten för budgetåret 2022 i enlighet med artikel 287 i fördraget om Europeiska unionens funktionssätt,</w:t>
      </w:r>
    </w:p>
    <w:p w:rsidR="00C176EC" w:rsidRPr="00B4011E" w:rsidRDefault="00C176EC" w:rsidP="00C176EC">
      <w:pPr>
        <w:pStyle w:val="NormalHanging12a"/>
      </w:pPr>
      <w:r w:rsidRPr="00B4011E">
        <w:t>–</w:t>
      </w:r>
      <w:r w:rsidRPr="00B4011E">
        <w:tab/>
        <w:t>med beaktande av rådets rekommendation av den 22 februari 2024 om att bevilja institutet ansvarsfrihet för genomförandet av budgeten för budgetåret 2022 (</w:t>
      </w:r>
      <w:r w:rsidR="00B4011E" w:rsidRPr="00B4011E">
        <w:t>06180</w:t>
      </w:r>
      <w:r w:rsidRPr="00B4011E">
        <w:t>/2024 – C9</w:t>
      </w:r>
      <w:r w:rsidRPr="00B4011E">
        <w:noBreakHyphen/>
      </w:r>
      <w:r w:rsidR="00B4011E" w:rsidRPr="00B4011E">
        <w:t>0101</w:t>
      </w:r>
      <w:r w:rsidRPr="00B4011E">
        <w:t>/2024),</w:t>
      </w:r>
    </w:p>
    <w:p w:rsidR="00C176EC" w:rsidRPr="00B4011E" w:rsidRDefault="00C176EC" w:rsidP="00C176EC">
      <w:pPr>
        <w:pStyle w:val="NormalHanging12a"/>
      </w:pPr>
      <w:r w:rsidRPr="00B4011E">
        <w:t>–</w:t>
      </w:r>
      <w:r w:rsidRPr="00B4011E">
        <w:tab/>
        <w:t>med beaktande av artikel 319 i fördraget om Europeiska unionens funktionssätt,</w:t>
      </w:r>
    </w:p>
    <w:p w:rsidR="00C176EC" w:rsidRPr="00B4011E" w:rsidRDefault="00C176EC" w:rsidP="00C176EC">
      <w:pPr>
        <w:pStyle w:val="NormalHanging12a"/>
      </w:pPr>
      <w:r w:rsidRPr="00B4011E">
        <w:t>–</w:t>
      </w:r>
      <w:r w:rsidRPr="00B4011E">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B4011E">
        <w:rPr>
          <w:rStyle w:val="FootnoteReference"/>
        </w:rPr>
        <w:footnoteReference w:id="8"/>
      </w:r>
      <w:r w:rsidRPr="00B4011E">
        <w:t>, särskilt artikel 70,</w:t>
      </w:r>
    </w:p>
    <w:p w:rsidR="00C176EC" w:rsidRPr="00B4011E" w:rsidRDefault="00C176EC" w:rsidP="00C176EC">
      <w:pPr>
        <w:pStyle w:val="NormalHanging12a"/>
      </w:pPr>
      <w:r w:rsidRPr="00B4011E">
        <w:t>–</w:t>
      </w:r>
      <w:r w:rsidRPr="00B4011E">
        <w:tab/>
        <w:t>med beaktande av Europaparlamentets och rådets förordning (EG) nr 1339/2008 av den 16 december 2008 om inrättande av Europeiska yrkesutbildningsstiftelsen</w:t>
      </w:r>
      <w:r w:rsidRPr="00B4011E">
        <w:rPr>
          <w:rStyle w:val="FootnoteReference"/>
        </w:rPr>
        <w:footnoteReference w:id="9"/>
      </w:r>
      <w:r w:rsidRPr="00B4011E">
        <w:t>, särskilt artikel 17,</w:t>
      </w:r>
    </w:p>
    <w:p w:rsidR="00C176EC" w:rsidRPr="00B4011E" w:rsidRDefault="00C176EC" w:rsidP="00C176EC">
      <w:pPr>
        <w:pStyle w:val="NormalHanging12a"/>
      </w:pPr>
      <w:r w:rsidRPr="00B4011E">
        <w:t>–</w:t>
      </w:r>
      <w:r w:rsidRPr="00B4011E">
        <w:tab/>
        <w:t>med beaktande av kommissionens delegerade förordning (EU) 2019/715 av den 18 december 2018 med rambudgetförordning för de organ som inrättats enligt EUF</w:t>
      </w:r>
      <w:r w:rsidRPr="00B4011E">
        <w:noBreakHyphen/>
        <w:t>fördraget och Euratomfördraget och som avses i artikel 70 i Europaparlamentets och rådets förordning (EU, Euratom) 2018/1046</w:t>
      </w:r>
      <w:r w:rsidRPr="00B4011E">
        <w:rPr>
          <w:rStyle w:val="FootnoteReference"/>
        </w:rPr>
        <w:footnoteReference w:id="10"/>
      </w:r>
      <w:r w:rsidRPr="00B4011E">
        <w:t>, särskilt artikel 105,</w:t>
      </w:r>
    </w:p>
    <w:p w:rsidR="00C176EC" w:rsidRPr="00B4011E" w:rsidRDefault="00C176EC" w:rsidP="00C176EC">
      <w:pPr>
        <w:pStyle w:val="NormalHanging12a"/>
      </w:pPr>
      <w:r w:rsidRPr="00B4011E">
        <w:t>–</w:t>
      </w:r>
      <w:r w:rsidRPr="00B4011E">
        <w:tab/>
        <w:t>med beaktande av artikel 100 och bilaga V i arbetsordningen,</w:t>
      </w:r>
    </w:p>
    <w:p w:rsidR="00C176EC" w:rsidRPr="00B4011E" w:rsidRDefault="00C176EC" w:rsidP="00C176EC">
      <w:pPr>
        <w:pStyle w:val="NormalHanging12a"/>
      </w:pPr>
      <w:r w:rsidRPr="00B4011E">
        <w:t>–</w:t>
      </w:r>
      <w:r w:rsidRPr="00B4011E">
        <w:tab/>
        <w:t>med beaktande av yttrandet från utskottet för sysselsättning och sociala frågor,</w:t>
      </w:r>
    </w:p>
    <w:p w:rsidR="00C176EC" w:rsidRPr="00B4011E" w:rsidRDefault="00C176EC" w:rsidP="00C176EC">
      <w:pPr>
        <w:pStyle w:val="NormalHanging12a"/>
      </w:pPr>
      <w:r w:rsidRPr="00B4011E">
        <w:t>–</w:t>
      </w:r>
      <w:r w:rsidRPr="00B4011E">
        <w:tab/>
        <w:t>med beaktande av betänkandet från budgetkontrollutskottet (A9-0114/2024).</w:t>
      </w:r>
    </w:p>
    <w:p w:rsidR="00C176EC" w:rsidRPr="00B4011E" w:rsidRDefault="00C176EC" w:rsidP="00C176EC">
      <w:pPr>
        <w:pStyle w:val="NormalHanging12a"/>
      </w:pPr>
      <w:r w:rsidRPr="00B4011E">
        <w:t>1.</w:t>
      </w:r>
      <w:r w:rsidRPr="00B4011E">
        <w:tab/>
        <w:t>Europaparlamentet godkänner avslutandet av räkenskaperna för Europeiska yrkesutbildningsstiftelsen för budgetåret 2022.</w:t>
      </w:r>
    </w:p>
    <w:p w:rsidR="00C176EC" w:rsidRPr="00B4011E" w:rsidRDefault="00C176EC" w:rsidP="00C176EC">
      <w:pPr>
        <w:ind w:left="567" w:hanging="567"/>
      </w:pPr>
      <w:r w:rsidRPr="00B4011E">
        <w:t>2.</w:t>
      </w:r>
      <w:r w:rsidRPr="00B4011E">
        <w:tab/>
        <w:t xml:space="preserve">Europaparlamentet uppdrar åt talmannen att översända detta beslut till direktören för Europeiska yrkesutbildningsstiftelsen, rådet, kommissionen och revisionsrätten, och att se till att det offentliggörs i </w:t>
      </w:r>
      <w:r w:rsidRPr="00B4011E">
        <w:rPr>
          <w:i/>
          <w:iCs/>
        </w:rPr>
        <w:t>Europeiska unionens officiella tidning</w:t>
      </w:r>
      <w:r w:rsidRPr="00B4011E">
        <w:t xml:space="preserve"> (L-serien).</w:t>
      </w:r>
    </w:p>
    <w:p w:rsidR="00C176EC" w:rsidRPr="00B4011E" w:rsidRDefault="00C176EC" w:rsidP="00C176EC">
      <w:pPr>
        <w:widowControl/>
        <w:rPr>
          <w:rFonts w:ascii="Arial" w:hAnsi="Arial" w:cs="Arial"/>
          <w:b/>
        </w:rPr>
        <w:sectPr w:rsidR="00C176EC" w:rsidRPr="00B4011E" w:rsidSect="000D41E9">
          <w:footnotePr>
            <w:numRestart w:val="eachPage"/>
          </w:footnotePr>
          <w:endnotePr>
            <w:numFmt w:val="decimal"/>
          </w:endnotePr>
          <w:pgSz w:w="11906" w:h="16838"/>
          <w:pgMar w:top="1134" w:right="1418" w:bottom="1418" w:left="1418" w:header="567" w:footer="567" w:gutter="0"/>
          <w:cols w:space="720"/>
          <w:docGrid w:linePitch="326"/>
        </w:sectPr>
      </w:pPr>
    </w:p>
    <w:bookmarkEnd w:id="9"/>
    <w:bookmarkEnd w:id="10"/>
    <w:p w:rsidR="00C176EC" w:rsidRPr="00B4011E" w:rsidRDefault="00200A86" w:rsidP="00200A86">
      <w:pPr>
        <w:pStyle w:val="ATHeading3"/>
      </w:pPr>
      <w:r w:rsidRPr="00B4011E">
        <w:t>3</w:t>
      </w:r>
      <w:r w:rsidR="00B4011E" w:rsidRPr="00B4011E">
        <w:t>. Europaparlamentets resolution</w:t>
      </w:r>
      <w:r w:rsidRPr="00B4011E">
        <w:t xml:space="preserve"> av den 11 april 2024 </w:t>
      </w:r>
      <w:r w:rsidR="00C176EC" w:rsidRPr="00B4011E">
        <w:t>med de iakttagelser som utgör en del av beslutet om ansvarsfrihet för genomförandet av budgeten för Europeiska yrkesutbildningsstiftelsen för budgetåret 2022</w:t>
      </w:r>
      <w:r w:rsidRPr="00B4011E">
        <w:t xml:space="preserve"> </w:t>
      </w:r>
      <w:r w:rsidR="00C176EC" w:rsidRPr="00B4011E">
        <w:t>(2023/2163(DEC))</w:t>
      </w:r>
    </w:p>
    <w:p w:rsidR="00C176EC" w:rsidRPr="00B4011E" w:rsidRDefault="00C176EC" w:rsidP="00C176EC">
      <w:pPr>
        <w:pStyle w:val="EPComma"/>
      </w:pPr>
      <w:r w:rsidRPr="00B4011E">
        <w:rPr>
          <w:i/>
        </w:rPr>
        <w:t>Europaparlamentet utfärdar denna resolution</w:t>
      </w:r>
    </w:p>
    <w:p w:rsidR="00C176EC" w:rsidRPr="00B4011E" w:rsidRDefault="00C176EC" w:rsidP="00C176EC">
      <w:pPr>
        <w:pStyle w:val="NormalHanging12a"/>
      </w:pPr>
      <w:r w:rsidRPr="00B4011E">
        <w:t>–</w:t>
      </w:r>
      <w:r w:rsidRPr="00B4011E">
        <w:tab/>
        <w:t>med beaktande av sitt beslut om ansvarsfrihet för genomförandet av budgeten för Europeiska yrkesutbildningsstiftelsen för budgetåret 2022,</w:t>
      </w:r>
    </w:p>
    <w:p w:rsidR="00C176EC" w:rsidRPr="00B4011E" w:rsidRDefault="00C176EC" w:rsidP="00C176EC">
      <w:pPr>
        <w:pStyle w:val="NormalHanging12a"/>
      </w:pPr>
      <w:r w:rsidRPr="00B4011E">
        <w:t>–</w:t>
      </w:r>
      <w:r w:rsidRPr="00B4011E">
        <w:tab/>
        <w:t>med beaktande av artikel 100 och bilaga V i arbetsordningen,</w:t>
      </w:r>
    </w:p>
    <w:p w:rsidR="00C176EC" w:rsidRPr="00B4011E" w:rsidRDefault="00C176EC" w:rsidP="00C176EC">
      <w:pPr>
        <w:pStyle w:val="NormalHanging12a"/>
      </w:pPr>
      <w:r w:rsidRPr="00B4011E">
        <w:t>–</w:t>
      </w:r>
      <w:r w:rsidRPr="00B4011E">
        <w:tab/>
        <w:t>med beaktande av yttrandet från utskottet för sysselsättning och sociala frågor,</w:t>
      </w:r>
    </w:p>
    <w:p w:rsidR="00C176EC" w:rsidRPr="00B4011E" w:rsidRDefault="00C176EC" w:rsidP="00C176EC">
      <w:pPr>
        <w:pStyle w:val="NormalHanging12a"/>
      </w:pPr>
      <w:r w:rsidRPr="00B4011E">
        <w:t>–</w:t>
      </w:r>
      <w:r w:rsidRPr="00B4011E">
        <w:tab/>
        <w:t>med beaktande av betänkandet från budgetkontrollutskottet (A9-0114/2024), och av följande skäl:</w:t>
      </w:r>
    </w:p>
    <w:p w:rsidR="00C176EC" w:rsidRPr="00B4011E" w:rsidRDefault="00C176EC" w:rsidP="00C176EC">
      <w:pPr>
        <w:pStyle w:val="Normal12Hanging"/>
        <w:rPr>
          <w:szCs w:val="24"/>
        </w:rPr>
      </w:pPr>
      <w:r w:rsidRPr="00B4011E">
        <w:t>A.</w:t>
      </w:r>
      <w:r w:rsidRPr="00B4011E">
        <w:tab/>
        <w:t>Enligt inkomst- och utgiftsberäkningen</w:t>
      </w:r>
      <w:r w:rsidRPr="00B4011E">
        <w:rPr>
          <w:rStyle w:val="FootnoteReference"/>
          <w:szCs w:val="24"/>
        </w:rPr>
        <w:footnoteReference w:id="11"/>
      </w:r>
      <w:r w:rsidRPr="00B4011E">
        <w:t xml:space="preserve"> för Europeiska yrkesutbildningsstiftelsen (</w:t>
      </w:r>
      <w:r w:rsidRPr="00B4011E">
        <w:rPr>
          <w:i/>
          <w:iCs/>
        </w:rPr>
        <w:t>stiftelsen</w:t>
      </w:r>
      <w:r w:rsidRPr="00B4011E">
        <w:t>) uppgick stiftelsens slutliga budget för budgetåret 2022 till 25 051 848 EUR, vilket utgör en ökning med 17,05 % jämfört med 2021. Stiftelsens budget kommer helt och hållet från unionsbudgeten.</w:t>
      </w:r>
    </w:p>
    <w:p w:rsidR="00C176EC" w:rsidRPr="00B4011E" w:rsidRDefault="00C176EC" w:rsidP="00C176EC">
      <w:pPr>
        <w:pStyle w:val="Normal12Hanging"/>
        <w:rPr>
          <w:szCs w:val="24"/>
        </w:rPr>
      </w:pPr>
      <w:r w:rsidRPr="00B4011E">
        <w:t>B.</w:t>
      </w:r>
      <w:r w:rsidRPr="00B4011E">
        <w:tab/>
        <w:t>Revisionsrätten fastställer i sin rapport om årsredovisningen för stiftelsen för budgetåret 2022 att man har uppnått en rimlig säkerhet om att stiftelsens årliga räkenskaper är tillförlitliga och att de underliggande transaktionerna är lagliga och korrekta.</w:t>
      </w:r>
    </w:p>
    <w:p w:rsidR="00C176EC" w:rsidRPr="00B4011E" w:rsidRDefault="00C176EC" w:rsidP="00C176EC">
      <w:pPr>
        <w:pStyle w:val="Normal12Hanging"/>
        <w:rPr>
          <w:b/>
          <w:i/>
          <w:szCs w:val="24"/>
        </w:rPr>
      </w:pPr>
      <w:r w:rsidRPr="00B4011E">
        <w:rPr>
          <w:b/>
          <w:i/>
        </w:rPr>
        <w:t>Budgetförvaltning och ekonomisk förvaltning</w:t>
      </w:r>
    </w:p>
    <w:p w:rsidR="00C176EC" w:rsidRPr="00B4011E" w:rsidRDefault="00C176EC" w:rsidP="00C176EC">
      <w:pPr>
        <w:pStyle w:val="Normal12Hanging"/>
        <w:rPr>
          <w:szCs w:val="24"/>
        </w:rPr>
      </w:pPr>
      <w:r w:rsidRPr="00B4011E">
        <w:t>1.</w:t>
      </w:r>
      <w:r w:rsidRPr="00B4011E">
        <w:tab/>
        <w:t>Europaparlamentet noterar med uppskattning att insatserna för uppföljning av budgeten under budgetåret 2022 resulterade i ett högt budgetgenomförande på 99,98 %, vilket är en lätt ökning med 0,07 % jämfört med 2021. Parlamentet påpekar att genomförandegraden för betalningsbemyndigandena var 97,70 %, vilket är en ökning med 11,48 % jämfört med 2021.</w:t>
      </w:r>
    </w:p>
    <w:p w:rsidR="00C176EC" w:rsidRPr="00B4011E" w:rsidRDefault="00C176EC" w:rsidP="00C176EC">
      <w:pPr>
        <w:pStyle w:val="NormalHanging12a"/>
      </w:pPr>
      <w:r w:rsidRPr="00B4011E">
        <w:t>2.</w:t>
      </w:r>
      <w:r w:rsidRPr="00B4011E">
        <w:tab/>
        <w:t>Europaparlamentet välkomnar att stiftelsen, trots den budgetkris som orsakades av inflationen och priserna på allmännyttiga tjänster under 2022, har kunnat hantera sina utgifter på ett effektivt sätt, införa kostnadsbesparande åtgärder och omprioritera utan att orsaka större störningar i sitt arbetsprogram.</w:t>
      </w:r>
    </w:p>
    <w:p w:rsidR="00C176EC" w:rsidRPr="00B4011E" w:rsidRDefault="00C176EC" w:rsidP="00C176EC">
      <w:pPr>
        <w:widowControl/>
        <w:autoSpaceDE w:val="0"/>
        <w:autoSpaceDN w:val="0"/>
        <w:adjustRightInd w:val="0"/>
        <w:spacing w:after="240"/>
        <w:ind w:left="567" w:hanging="567"/>
        <w:rPr>
          <w:szCs w:val="24"/>
        </w:rPr>
      </w:pPr>
      <w:r w:rsidRPr="00B4011E">
        <w:rPr>
          <w:b/>
          <w:i/>
        </w:rPr>
        <w:t>Verksamhetsresultat</w:t>
      </w:r>
    </w:p>
    <w:p w:rsidR="00C176EC" w:rsidRPr="00B4011E" w:rsidRDefault="00C176EC" w:rsidP="00C176EC">
      <w:pPr>
        <w:pStyle w:val="Normal12Hanging"/>
        <w:rPr>
          <w:szCs w:val="24"/>
        </w:rPr>
      </w:pPr>
      <w:r w:rsidRPr="00B4011E">
        <w:t>3.</w:t>
      </w:r>
      <w:r w:rsidRPr="00B4011E">
        <w:tab/>
        <w:t>Europaparlamentet konstaterar med tillfredsställelse att stiftelsen använder vissa mått som centrala resultatindikatorer för att bedöma mervärdet av sin verksamhet och andra åtgärder för att förbättra budgetförvaltningen.</w:t>
      </w:r>
    </w:p>
    <w:p w:rsidR="00C176EC" w:rsidRPr="00B4011E" w:rsidRDefault="00C176EC" w:rsidP="00C176EC">
      <w:pPr>
        <w:pStyle w:val="Normal12Hanging"/>
        <w:rPr>
          <w:szCs w:val="24"/>
        </w:rPr>
      </w:pPr>
      <w:r w:rsidRPr="00B4011E">
        <w:t>4.</w:t>
      </w:r>
      <w:r w:rsidRPr="00B4011E">
        <w:tab/>
        <w:t>Europaparlamentet noterar att stiftelsen uppnådde en genomförandegrad på 93 % för verksamheten, en liten minskning jämfört med 2021, som till 89 % genomfördes inom tidsfristen. Parlamentet lovordar stiftelsen för att ha överträffat alla fastställda centrala resultatindikatorer.</w:t>
      </w:r>
    </w:p>
    <w:p w:rsidR="00C176EC" w:rsidRPr="00B4011E" w:rsidRDefault="00C176EC" w:rsidP="00C176EC">
      <w:pPr>
        <w:pStyle w:val="Normal12Hanging"/>
      </w:pPr>
      <w:r w:rsidRPr="00B4011E">
        <w:t>5.</w:t>
      </w:r>
      <w:r w:rsidRPr="00B4011E">
        <w:tab/>
        <w:t>Europaparlamentet noterar stiftelsens viktigaste resultat under 2022, som bygger på tre strategiska mål: kompetensrelevans och kompetensprognoser, kompetensutveckling och kompetenskontroll samt utbildningsstrategiernas resultat och kvalitet. Parlamentet konstaterar att dessa mål uppnåtts av stiftelsen inom ramen för tre viktiga tjänster: kunskapsnav, övervakning och bedömning samt strategisk rådgivning.</w:t>
      </w:r>
    </w:p>
    <w:p w:rsidR="00C176EC" w:rsidRPr="00B4011E" w:rsidRDefault="00C176EC" w:rsidP="00C176EC">
      <w:pPr>
        <w:pStyle w:val="Normal12Hanging"/>
      </w:pPr>
      <w:r w:rsidRPr="00B4011E">
        <w:t>6.</w:t>
      </w:r>
      <w:r w:rsidRPr="00B4011E">
        <w:tab/>
        <w:t>Europaparlamentet noterar de nya initiativ som stiftelsen lanserade 2022, såsom det nya Team Europa-initiativet i södra och östra Medelhavsområdet och GLAD-nätverket (Governance Learning Action and Dialogue). Parlamentet noterar att stiftelsens expertnätverk har blivit större och att stiftelsen i november höll en expertnätverkskonferens online som innebar ett tillfälle för deltagarna att utbyta information om utvecklingen och resultaten av arbetet i det tematiska partnerskapet.</w:t>
      </w:r>
    </w:p>
    <w:p w:rsidR="00C176EC" w:rsidRPr="00B4011E" w:rsidRDefault="00C176EC" w:rsidP="00C176EC">
      <w:pPr>
        <w:pStyle w:val="NormalHanging12a"/>
      </w:pPr>
      <w:r w:rsidRPr="00B4011E">
        <w:t>7.</w:t>
      </w:r>
      <w:r w:rsidRPr="00B4011E">
        <w:tab/>
        <w:t>Europaparlamentet framhäver att stiftelsen stöder Moldavien, Georgien och Ukraina som kandidatländer i deras strävanden efter att anpassa sin utbildnings- och sysselsättningspolitik till motsvarande politik i EU genom att i nära samarbete med EU:s delegationer och kommissionens avdelningar tillhandahålla de nationella myndigheterna teknisk expertis och råd i olika frågor.</w:t>
      </w:r>
    </w:p>
    <w:p w:rsidR="00C176EC" w:rsidRPr="00B4011E" w:rsidRDefault="00C176EC" w:rsidP="00C176EC">
      <w:pPr>
        <w:pStyle w:val="Normal12Hanging"/>
        <w:rPr>
          <w:szCs w:val="24"/>
        </w:rPr>
      </w:pPr>
      <w:r w:rsidRPr="00B4011E">
        <w:t>8.</w:t>
      </w:r>
      <w:r w:rsidRPr="00B4011E">
        <w:tab/>
        <w:t>Europaparlamentet välkomnar att de åtgärder som stiftelsen vidtagit för att bemöta chocker, såsom de fortsatta återverkningarna av covid-19-pandemin och det ryska angreppet mot Ukraina, var mycket effektiva för att säkerställa ett fortsatt och mycket omfattande genomförande av det årliga arbetsprogrammet. Parlamentet lovordar stiftelsens initiativ att stödja Ukraina genom det internetbaserade resursnavet för erkännande av ukrainska flyktingars kvalifikationer, kompetens och studieperioder, och på andra sätt, och att där så är möjligt och relevant agera i nära samarbete med olika avdelningar inom kommissionen och därvidlag utnyttja sin tematiska expertis och sina tematiska kunskaper om landets utbildningssystem.</w:t>
      </w:r>
    </w:p>
    <w:p w:rsidR="00C176EC" w:rsidRPr="00B4011E" w:rsidRDefault="00C176EC" w:rsidP="00C176EC">
      <w:pPr>
        <w:pStyle w:val="NormalHanging12a"/>
      </w:pPr>
      <w:r w:rsidRPr="00B4011E">
        <w:t>9.</w:t>
      </w:r>
      <w:r w:rsidRPr="00B4011E">
        <w:tab/>
        <w:t>Europaparlamentet understryker att stiftelsen sedan början av 2022 har dragit in all verksamhet och allt samarbete med de belarusiska myndigheterna.</w:t>
      </w:r>
    </w:p>
    <w:p w:rsidR="00C176EC" w:rsidRPr="00B4011E" w:rsidRDefault="00C176EC" w:rsidP="00C176EC">
      <w:pPr>
        <w:pStyle w:val="NormalHanging12a"/>
      </w:pPr>
      <w:r w:rsidRPr="00B4011E">
        <w:t>10.</w:t>
      </w:r>
      <w:r w:rsidRPr="00B4011E">
        <w:tab/>
        <w:t>Europaparlamentet välkomnar stiftelsens verksamhet för att hjälpa EU:s partnerländer att utnyttja sitt humankapital och förbättra sina medborgares sysselsättningsutsikter genom reformer av utbildnings-, yrkesutbildnings- och kompetenssystemen och arbetsmarknaden inom ramen för EU:s politik för yttre förbindelser.</w:t>
      </w:r>
    </w:p>
    <w:p w:rsidR="00C176EC" w:rsidRPr="00B4011E" w:rsidRDefault="00C176EC" w:rsidP="00C176EC">
      <w:pPr>
        <w:pStyle w:val="NormalHanging12a"/>
        <w:rPr>
          <w:szCs w:val="24"/>
        </w:rPr>
      </w:pPr>
      <w:r w:rsidRPr="00B4011E">
        <w:t>11.</w:t>
      </w:r>
      <w:r w:rsidRPr="00B4011E">
        <w:tab/>
        <w:t>Europaparlamentet välkomnar särskilt stiftelsens nya koncept med yrkeskunskapscentrum, som har utvecklats för att bidra till den internationella debatten inom entreprenörsutbildningen och för att inspirera utbildningscentrum att bättre tillgodose medborgarnas, ekonomiernas och samhällenas föränderliga behov.</w:t>
      </w:r>
    </w:p>
    <w:p w:rsidR="00C176EC" w:rsidRPr="00B4011E" w:rsidRDefault="00C176EC" w:rsidP="00C176EC">
      <w:pPr>
        <w:pStyle w:val="Normal12Hanging"/>
        <w:keepNext/>
        <w:keepLines/>
        <w:widowControl/>
        <w:rPr>
          <w:b/>
          <w:i/>
          <w:szCs w:val="24"/>
        </w:rPr>
      </w:pPr>
      <w:r w:rsidRPr="00B4011E">
        <w:rPr>
          <w:b/>
          <w:i/>
        </w:rPr>
        <w:t>Effektivitet och förbättringar</w:t>
      </w:r>
    </w:p>
    <w:p w:rsidR="00C176EC" w:rsidRPr="00B4011E" w:rsidRDefault="00C176EC" w:rsidP="00C176EC">
      <w:pPr>
        <w:pStyle w:val="Normal12Hanging"/>
        <w:keepNext/>
        <w:keepLines/>
        <w:widowControl/>
        <w:rPr>
          <w:szCs w:val="24"/>
        </w:rPr>
      </w:pPr>
      <w:r w:rsidRPr="00B4011E">
        <w:t>12.</w:t>
      </w:r>
      <w:r w:rsidRPr="00B4011E">
        <w:tab/>
        <w:t>Europaparlamentet noterar att stiftelsen 2022 fortsatte att identifiera möjligheter att göra effektivitetsvinster i sin verksamhet, såsom att förbättra de digitala arbetsflödena och proaktivt delta i EU-byråernas nätverk och dess olika arbetsgrupper. Parlamentet noterar bl.a. att stiftelsen delar redovisningstjänster med Europeiska arbetsmiljöbyrån genom ett servicenivåavtal som ingicks 2022 och att det sker en utvärdering av möjligheten att gemensamt utnyttja resurser inom rekrytering, cybersäkerhet, Emas, hållbarhet och miljöanpassning, upphandling och it-verktyg och it-system med Europeiska centrumet för utveckling av yrkesutbildning.</w:t>
      </w:r>
    </w:p>
    <w:p w:rsidR="00C176EC" w:rsidRPr="00B4011E" w:rsidRDefault="00C176EC" w:rsidP="00C176EC">
      <w:pPr>
        <w:pStyle w:val="Normal12Hanging"/>
        <w:rPr>
          <w:szCs w:val="24"/>
        </w:rPr>
      </w:pPr>
      <w:r w:rsidRPr="00B4011E">
        <w:t>13.</w:t>
      </w:r>
      <w:r w:rsidRPr="00B4011E">
        <w:tab/>
        <w:t>Europaparlamentet noterar att stiftelsen har infört åtgärder som omfattar energiförbrukning och fastighetsförvaltning, t.ex. att stänga kontoren under augusti 2022, sensorer för ljus och vatten, timer för pannor, uppvärmning och luftkonditionering. Parlamentet noterar de ökade energiförvaltningsinsatserna som medförde besparingar på 2 000 m</w:t>
      </w:r>
      <w:r w:rsidRPr="00B4011E">
        <w:rPr>
          <w:vertAlign w:val="superscript"/>
        </w:rPr>
        <w:t>3</w:t>
      </w:r>
      <w:r w:rsidRPr="00B4011E">
        <w:t xml:space="preserve"> gas och 49 107 kWh el under 2022, trots den ökade närvaron av personal på kontoren under året till följd av de införda hybridarbetsarrangemangen.</w:t>
      </w:r>
    </w:p>
    <w:p w:rsidR="00C176EC" w:rsidRPr="00B4011E" w:rsidRDefault="00C176EC" w:rsidP="00C176EC">
      <w:pPr>
        <w:pStyle w:val="Normal12Hanging"/>
        <w:rPr>
          <w:szCs w:val="24"/>
        </w:rPr>
      </w:pPr>
      <w:r w:rsidRPr="00B4011E">
        <w:t>14.</w:t>
      </w:r>
      <w:r w:rsidRPr="00B4011E">
        <w:tab/>
        <w:t>Europaparlamentet välkomnar stiftelsens åtagande att anta kommissionens samtliga e</w:t>
      </w:r>
      <w:r w:rsidRPr="00B4011E">
        <w:noBreakHyphen/>
        <w:t>upphandlingsverktyg och det faktum att stiftelsens upphandlingsförfarande är helt digitaliserat.</w:t>
      </w:r>
    </w:p>
    <w:p w:rsidR="00C176EC" w:rsidRPr="00B4011E" w:rsidRDefault="00C176EC" w:rsidP="00C176EC">
      <w:pPr>
        <w:pStyle w:val="NormalHanging12a"/>
        <w:rPr>
          <w:szCs w:val="24"/>
        </w:rPr>
      </w:pPr>
      <w:r w:rsidRPr="00B4011E">
        <w:t>15.</w:t>
      </w:r>
      <w:r w:rsidRPr="00B4011E">
        <w:tab/>
        <w:t>Europaparlamentet lovordar stiftelsen för att ha upprättat en verksamhetsplan för att förbättra energieffektiviteten och klimatneutraliteten i sin verksamhet.</w:t>
      </w:r>
    </w:p>
    <w:p w:rsidR="00C176EC" w:rsidRPr="00B4011E" w:rsidRDefault="00C176EC" w:rsidP="00C176EC">
      <w:pPr>
        <w:pStyle w:val="Normal12Hanging"/>
        <w:rPr>
          <w:b/>
          <w:i/>
          <w:szCs w:val="24"/>
        </w:rPr>
      </w:pPr>
      <w:r w:rsidRPr="00B4011E">
        <w:rPr>
          <w:b/>
          <w:i/>
        </w:rPr>
        <w:t>Personalpolitik</w:t>
      </w:r>
    </w:p>
    <w:p w:rsidR="00C176EC" w:rsidRPr="00B4011E" w:rsidRDefault="00C176EC" w:rsidP="00C176EC">
      <w:pPr>
        <w:spacing w:after="240"/>
        <w:ind w:left="567" w:hanging="567"/>
      </w:pPr>
      <w:r w:rsidRPr="00B4011E">
        <w:t>16.</w:t>
      </w:r>
      <w:r w:rsidRPr="00B4011E">
        <w:tab/>
        <w:t>Europaparlamentet noterar att 98,8 % av tjänsterna i tjänsteförteckningen var tillsatta den 31 december 2022, och att 85 av de 86 tjänster för tjänstemän och tillfälligt anställda som får tillsättas enligt unionsbudgeten hade tillsatts (samma antal tillåtna tjänster som 2021). Parlamentet konstaterar dessutom att 39 kontraktsanställda och 1 lokalanställd arbetade för stiftelsen 2022.</w:t>
      </w:r>
    </w:p>
    <w:p w:rsidR="00C176EC" w:rsidRPr="00B4011E" w:rsidRDefault="00C176EC" w:rsidP="00C176EC">
      <w:pPr>
        <w:pStyle w:val="NormalHanging12a"/>
      </w:pPr>
      <w:r w:rsidRPr="00B4011E">
        <w:t>17.</w:t>
      </w:r>
      <w:r w:rsidRPr="00B4011E">
        <w:tab/>
        <w:t>Europaparlamentet noterar att 21 medlemsstater fanns representerade bland stiftelsens personal 2022. Parlamentet upprepar med oro att geografisk balans är en utmaning. Parlamentet konstaterar att 42 % av stiftelsens personal är medborgare i den medlemsstat där stiftelsen ligger. Parlamentet konstaterar att stiftelsen använder meritbaserade urvalsförfaranden och att den vid likvärdiga meriter gynnar kandidater med underrepresenterade nationaliteter. Parlamentet påminner om vikten av geografisk balans och uppmanar stiftelsen att vidta nödvändiga åtgärder för att uppnå en balanserad och rättvis geografisk representation, även bland mellanchefer och högre chefer, och att samtidigt respektera kandidaternas kompetens och meriter, och att rapportera till den ansvarsfrihetsbeviljande myndigheten om hur arbetet på detta område fortskrider.</w:t>
      </w:r>
    </w:p>
    <w:p w:rsidR="00C176EC" w:rsidRPr="00B4011E" w:rsidRDefault="00C176EC" w:rsidP="00C176EC">
      <w:pPr>
        <w:pStyle w:val="NormalHanging12a"/>
        <w:keepNext/>
        <w:keepLines/>
        <w:widowControl/>
      </w:pPr>
      <w:r w:rsidRPr="00B4011E">
        <w:t>18.</w:t>
      </w:r>
      <w:r w:rsidRPr="00B4011E">
        <w:tab/>
        <w:t>Europaparlamentet noterar att vad gäller könsfördelningen bland chefer på mellannivå och högre nivå 2022 var fyra av nio tjänster besatta av kvinnor. Parlamentet noterar att könsfördelningen bland styrelseledamöterna är 41 % män och 59 % kvinnor (11 respektive 16 ledamöter) och bland personalen totalt 33 % män och 67 % kvinnor (41 respektive 84 medarbetare). Parlamentet påminner om vikten av att säkerställa en jämn könsfördelning och uppmanar stiftelsen att ta hänsyn till denna aspekt när det gäller framtida rekryteringar av personal och utnämningar av mellanchefer och höga chefer. Parlamentet uppmanar kommissionen och medlemsstaterna att beakta vikten av att säkerställa en jämn könsfördelning när de nominerar sina ledamöter till stiftelsens styrelse.</w:t>
      </w:r>
    </w:p>
    <w:p w:rsidR="00C176EC" w:rsidRPr="00B4011E" w:rsidRDefault="00C176EC" w:rsidP="00C176EC">
      <w:pPr>
        <w:pStyle w:val="NormalHanging12a"/>
      </w:pPr>
      <w:r w:rsidRPr="00B4011E">
        <w:t>19.</w:t>
      </w:r>
      <w:r w:rsidRPr="00B4011E">
        <w:tab/>
        <w:t>Europaparlamentet noterar att stiftelsen enligt uppföljningen av iakttagelserna om ansvarsfrihet för 2021 har sett över sina platsannonser för att göra arbetsplatsen mer attraktiv och att den håller på att diversifiera sina kommunikationskanaler för att nå ut till länder som är mindre representerade via LinkedIn.</w:t>
      </w:r>
    </w:p>
    <w:p w:rsidR="00C176EC" w:rsidRPr="00B4011E" w:rsidRDefault="00C176EC" w:rsidP="00C176EC">
      <w:pPr>
        <w:pStyle w:val="Normal12Hanging"/>
        <w:rPr>
          <w:szCs w:val="24"/>
        </w:rPr>
      </w:pPr>
      <w:r w:rsidRPr="00B4011E">
        <w:t>20.</w:t>
      </w:r>
      <w:r w:rsidRPr="00B4011E">
        <w:tab/>
        <w:t>Europaparlamentet noterar att stiftelsen i december 2022 antog stadgan för mångfald och inkludering. Parlamentet noterar att personalen under 2022 hade många förmåner för att förbättra sitt välbefinnande på arbetet och dessutom antogs det nya regler avseende arbetstid och hybridarbete som fortsatt ger personalen möjlighet att dra fördel av nya flexibla arbetssätt.</w:t>
      </w:r>
    </w:p>
    <w:p w:rsidR="00C176EC" w:rsidRPr="00B4011E" w:rsidRDefault="00C176EC" w:rsidP="00C176EC">
      <w:pPr>
        <w:pStyle w:val="Normal12Hanging"/>
        <w:rPr>
          <w:b/>
          <w:i/>
          <w:szCs w:val="24"/>
        </w:rPr>
      </w:pPr>
      <w:r w:rsidRPr="00B4011E">
        <w:rPr>
          <w:b/>
          <w:i/>
        </w:rPr>
        <w:t>Upphandling</w:t>
      </w:r>
    </w:p>
    <w:p w:rsidR="00C176EC" w:rsidRPr="00B4011E" w:rsidRDefault="00C176EC" w:rsidP="00C176EC">
      <w:pPr>
        <w:pStyle w:val="Normal12Hanging"/>
        <w:rPr>
          <w:szCs w:val="24"/>
        </w:rPr>
      </w:pPr>
      <w:r w:rsidRPr="00B4011E">
        <w:t>21.</w:t>
      </w:r>
      <w:r w:rsidRPr="00B4011E">
        <w:tab/>
        <w:t>Europaparlamentet noterar revisionsrättens iakttagelse om att tilldelningen av ett ramavtal till ett belopp på 1 miljon EUR för tillhandahållande av innehållsstöd, som inleddes 2021, var oriktig till följd av en avvikelse från de tekniska specifikationerna. Parlamentet noterar att anbudsgivarna var tvungna att tillhandahålla avslutade och godkända räkenskaper som visade att de hade haft en omsättning på minst 250 000 EUR för de två senaste räkenskapsåren (dvs. 2019 och 2020) för att påvisa sin finansiella kapacitet. Parlamentet noterar att den vinnande anbudsgivarens omsättning för 2019 inte nådde upp till det belopp som krävdes, men att stiftelsen beslutade att inte förkasta anbudsgivarens anbud på grundval av den högre omsättning som de preliminära räkenskaperna för 2021 visade. Parlamentet framhäver att revisionsrätten drog slutsatsen att utvärderingsförfarandet och det avtal som detta resulterade i är oriktiga liksom alla tillhörande betalningar, vilka 2022 uppgick till 100 100 EUR. Parlamentet noterar att stiftelsen efter revisionsrättens iakttagelse kommer att förenkla sin metod. Detta innebär att metoden fortsatt kommer att användas för att bedöma entreprenörernas finansiella tillförlitlighet, men att den kommer att anpassas mer till den rådande ekonomiska situationen (efter covid-19-pandemin och kriget i Ukraina).</w:t>
      </w:r>
    </w:p>
    <w:p w:rsidR="00C176EC" w:rsidRPr="00B4011E" w:rsidRDefault="00C176EC" w:rsidP="00C176EC">
      <w:pPr>
        <w:pStyle w:val="Normal12Hanging"/>
        <w:keepNext/>
        <w:keepLines/>
        <w:widowControl/>
      </w:pPr>
      <w:r w:rsidRPr="00B4011E">
        <w:t>22.</w:t>
      </w:r>
      <w:r w:rsidRPr="00B4011E">
        <w:tab/>
        <w:t>Europaparlamentet noterar att anbudsgivarnas finansiella och ekonomiska kapacitet i ett annat öppet upphandlingsförfarande för stödtjänster på plats till ett belopp på 4 miljoner EUR skulle bedömas utifrån två kriterier: i) en stabil finansiell ställning som kan påvisas med en uppsättning parametrar, däribland en positiv nettovinst, och ii) en årsomsättning på minst 1 miljon EUR de senaste två räkenskapsåren. Parlamentet noterar att stiftelsen tilldelade kontraktet till ett konsortium bestående av fem icke-kommersiella enheter, trots att ingen av dessa enheter hade redovisat någon vinst de senaste två åren. Dessutom beslutade stiftelsen att omsättningskravet, som den vinnande anbudsgivaren inte uppfyllde, inte skulle gälla för icke-kommersiella enheter. Parlamentet framhäver att revisionsrätten drog slutsatsen att stiftelsen tillämpade urvalskriterierna felaktigt och att den vinnande anbudsgivarens ekonomiska och finansiella kapacitet inte hade påvisats. Parlamentet noterar vidare att utvärderingsförfarandet och det avtal som detta resulterade i därför är oriktiga liksom alla tillhörande betalningar, vilka 2022 uppgick till 70 500 EUR. Parlamentet noterar att upphandlingsförfarandet i fråga avsåg humankapitalutveckling i Centralasien, och att stiftelsen efter revisionsrättens iakttagelse kommer att föra diskussioner med kommissionens berörda avdelningar om möjliga alternativa metoder för att genomföra verksamheten i partnerländerna. Parallellt med detta kommer stiftelsen att förenkla sin metod för finansiell bedömning för att, i tillämpliga, rikta in sig på marknaden utanför EU.</w:t>
      </w:r>
    </w:p>
    <w:p w:rsidR="00C176EC" w:rsidRPr="00B4011E" w:rsidRDefault="00C176EC" w:rsidP="00C176EC">
      <w:pPr>
        <w:pStyle w:val="Normal12Hanging"/>
        <w:rPr>
          <w:szCs w:val="24"/>
        </w:rPr>
      </w:pPr>
      <w:r w:rsidRPr="00B4011E">
        <w:t>23.</w:t>
      </w:r>
      <w:r w:rsidRPr="00B4011E">
        <w:tab/>
        <w:t>Europaparlamentet påminner om vikten av att alla upphandlingsförfaranden säkerställer rättvis konkurrens mellan anbudsgivare och anskaffar varor och tjänster till bästa pris, med iakttagande av principerna om insyn och sund användning av offentliga medel, proportionalitet, likabehandling och icke-diskriminering. Parlamentet uppmanar stiftelsen att vidta åtgärder för att garantera att framtida upphandlingsförfaranden till fullo följer gällande regler för att säkerställa insyn, rättvisa och integritet i anbudsförfarandet.</w:t>
      </w:r>
    </w:p>
    <w:p w:rsidR="00C176EC" w:rsidRPr="00B4011E" w:rsidRDefault="00C176EC" w:rsidP="00C176EC">
      <w:pPr>
        <w:pStyle w:val="Normal12Hanging"/>
        <w:rPr>
          <w:szCs w:val="24"/>
        </w:rPr>
      </w:pPr>
      <w:r w:rsidRPr="00B4011E">
        <w:t>24.</w:t>
      </w:r>
      <w:r w:rsidRPr="00B4011E">
        <w:tab/>
        <w:t>Europaparlamentet noterar att stiftelsen i slutet av 2022 bara hade en iakttagelse från revisionsrätten, från 2018, om upphandlingsförfarandet för tillfälligt anställda kvar att åtgärda. Parlamentet hade tidigare noterat denna iakttagelse i sitt betänkande om ansvarsfrihet. Parlamentet noterar dessutom att stiftelsen åtgärdade detta ärende när den inledde det nya ramavtalet, som skulle undertecknas 2023.</w:t>
      </w:r>
    </w:p>
    <w:p w:rsidR="00C176EC" w:rsidRPr="00B4011E" w:rsidRDefault="00C176EC" w:rsidP="00C176EC">
      <w:pPr>
        <w:pStyle w:val="Normal12Hanging"/>
        <w:rPr>
          <w:b/>
          <w:i/>
          <w:szCs w:val="24"/>
        </w:rPr>
      </w:pPr>
      <w:r w:rsidRPr="00B4011E">
        <w:rPr>
          <w:b/>
          <w:i/>
        </w:rPr>
        <w:t>Förebyggande och hantering av intressekonflikter samt transparens</w:t>
      </w:r>
    </w:p>
    <w:p w:rsidR="00C176EC" w:rsidRPr="00B4011E" w:rsidRDefault="00C176EC" w:rsidP="00C176EC">
      <w:pPr>
        <w:pStyle w:val="Normal12Hanging"/>
        <w:rPr>
          <w:szCs w:val="24"/>
        </w:rPr>
      </w:pPr>
      <w:r w:rsidRPr="00B4011E">
        <w:t>25.</w:t>
      </w:r>
      <w:r w:rsidRPr="00B4011E">
        <w:tab/>
        <w:t>Europaparlamentet noterar att stiftelsen har offentliggjort alla styrelseledamöters, högre chefers och mellanchefers förklaringar om intressekonflikter och meritförteckningar. Parlamentet noterar vidare att stiftelsen på sin webbplats anger alla möten som den verkställande direktören håller med organisationer och egenföretagare.</w:t>
      </w:r>
    </w:p>
    <w:p w:rsidR="00C176EC" w:rsidRPr="00B4011E" w:rsidRDefault="00C176EC" w:rsidP="00C176EC">
      <w:pPr>
        <w:pStyle w:val="Normal12Hanging"/>
        <w:rPr>
          <w:rStyle w:val="normaltextrun"/>
        </w:rPr>
      </w:pPr>
      <w:r w:rsidRPr="00B4011E">
        <w:rPr>
          <w:rStyle w:val="normaltextrun"/>
        </w:rPr>
        <w:t>26.</w:t>
      </w:r>
      <w:r w:rsidRPr="00B4011E">
        <w:rPr>
          <w:rStyle w:val="normaltextrun"/>
        </w:rPr>
        <w:tab/>
        <w:t>Europaparlamentet noterar att stiftelsen har en intern strategi för att bekämpa bedrägerier, som regelbundet uppdateras, och att den skulle kunna överväga att komplettera denna strategi med ett avsnitt om korruptionsbekämpning. Parlamentet noterar vidare att stiftelsen nu håller på att ta fram en strategi för intressekonfliktärenden.</w:t>
      </w:r>
    </w:p>
    <w:p w:rsidR="00C176EC" w:rsidRPr="00B4011E" w:rsidRDefault="00C176EC" w:rsidP="00C176EC">
      <w:pPr>
        <w:pStyle w:val="Normal12Hanging"/>
        <w:keepNext/>
        <w:keepLines/>
        <w:widowControl/>
        <w:rPr>
          <w:b/>
          <w:i/>
          <w:szCs w:val="24"/>
        </w:rPr>
      </w:pPr>
      <w:r w:rsidRPr="00B4011E">
        <w:rPr>
          <w:b/>
          <w:i/>
        </w:rPr>
        <w:t>Internkontroll</w:t>
      </w:r>
    </w:p>
    <w:p w:rsidR="00C176EC" w:rsidRPr="00B4011E" w:rsidRDefault="00C176EC" w:rsidP="00C176EC">
      <w:pPr>
        <w:pStyle w:val="Normal12Hanging"/>
        <w:rPr>
          <w:b/>
          <w:i/>
          <w:szCs w:val="24"/>
        </w:rPr>
      </w:pPr>
      <w:r w:rsidRPr="00B4011E">
        <w:t>27.</w:t>
      </w:r>
      <w:r w:rsidRPr="00B4011E">
        <w:tab/>
        <w:t>Europaparlamentet välkomnar det positiva utlåtande som internrevisionstjänsten avgav i sin slutliga revisionsrapport i december 2022 om hur stiftelsen och kommissionen kompletterar varandra och om mekanismerna för samarbete dem emellan, i vilken man belyste den fackkunskap som stiftelsens personal besitter och inrättandet av en halvårsvis strukturerad dialog för att säkerställa bättre samordning av förberedelserna av styrelsesammanträdena. Parlamentet noterar att internrevisionstjänsten dock även påpekar två mycket viktiga frågor som rör stiftelsens mandat och övervakning av indikatorer, liksom två viktiga frågor som avser prioritetsanpassning och förbättringar av såväl databasen över EU-förfrågningar som förfaranden. Parlamentet konstaterar att stiftelsen som ett svar på detta i samarbete med GD EMPL har utarbetat en handlingsplan för att ta itu med dessa rekommendationer, vilken skulle tas i bruk 2023.</w:t>
      </w:r>
    </w:p>
    <w:p w:rsidR="00C176EC" w:rsidRPr="00B4011E" w:rsidRDefault="00C176EC" w:rsidP="00C176EC">
      <w:pPr>
        <w:pStyle w:val="Normal12Hanging"/>
        <w:rPr>
          <w:b/>
          <w:i/>
          <w:szCs w:val="24"/>
        </w:rPr>
      </w:pPr>
      <w:r w:rsidRPr="00B4011E">
        <w:rPr>
          <w:b/>
          <w:i/>
        </w:rPr>
        <w:t>Övriga kommentarer</w:t>
      </w:r>
    </w:p>
    <w:p w:rsidR="00C176EC" w:rsidRPr="00B4011E" w:rsidRDefault="00C176EC" w:rsidP="00C176EC">
      <w:pPr>
        <w:pStyle w:val="Normal12Hanging"/>
        <w:rPr>
          <w:szCs w:val="24"/>
        </w:rPr>
      </w:pPr>
      <w:r w:rsidRPr="00B4011E">
        <w:t>28.</w:t>
      </w:r>
      <w:r w:rsidRPr="00B4011E">
        <w:tab/>
        <w:t>Europaparlamentet noterar att stiftelsen uppmärksammade cybersäkerhet och digitala register och datahantering och att den vidtagit åtgärder för att följa unionens riktlinjer på området, såsom förbättringar av backupsystemen och penetrationstester för stiftelsens viktigaste webbplatser. Parlamentet noterar även att stiftelsen 2022 utvecklade och antog en riskhanteringsplan, efter att det 2021 gjorts en riskbedömning av informationssäkerheten som omfattade hela stiftelsen.</w:t>
      </w:r>
    </w:p>
    <w:p w:rsidR="00C176EC" w:rsidRPr="00B4011E" w:rsidRDefault="00C176EC" w:rsidP="00C176EC">
      <w:pPr>
        <w:pStyle w:val="Normal12Hanging"/>
        <w:rPr>
          <w:szCs w:val="24"/>
        </w:rPr>
      </w:pPr>
      <w:r w:rsidRPr="00B4011E">
        <w:t>29.</w:t>
      </w:r>
      <w:r w:rsidRPr="00B4011E">
        <w:tab/>
        <w:t>Europaparlamentet noterar att stiftelsen 2022 behöll både Emascertifieringen och ISO 14001-certifieringen efter en miljörevision som genomfördes i mars 2022 (och 2023).</w:t>
      </w:r>
    </w:p>
    <w:p w:rsidR="00C176EC" w:rsidRPr="00B4011E" w:rsidRDefault="00C176EC" w:rsidP="00C176EC">
      <w:pPr>
        <w:pStyle w:val="NormalHanging12a"/>
      </w:pPr>
      <w:r w:rsidRPr="00B4011E">
        <w:t>30.</w:t>
      </w:r>
      <w:r w:rsidRPr="00B4011E">
        <w:tab/>
        <w:t>Europaparlamentet välkomnar att stiftelsen har fortsatt att genomföra olika åtgärder för att öka sin offentliga närvaro och sin närvaro online, bl.a. genom att producera och marknadsföra tio poddsändningar, två internationella utmärkelser och tio gemensamma meddelanden, direktsända sju LearningConnects-intervjuer och delta i FN:s klimatkonferens för att presentera sitt arbete med grön kompetens. Parlamentet noterar i detta sammanhang en betydande ökning av siffrorna över stiftelsens närvaro på sociala medier 2022 jämfört med 2021.</w:t>
      </w:r>
    </w:p>
    <w:p w:rsidR="00C176EC" w:rsidRPr="00B4011E" w:rsidRDefault="00C176EC" w:rsidP="00C176EC">
      <w:pPr>
        <w:pStyle w:val="NormalHanging12a"/>
      </w:pPr>
      <w:r w:rsidRPr="00B4011E">
        <w:t>31.</w:t>
      </w:r>
      <w:r w:rsidRPr="00B4011E">
        <w:tab/>
        <w:t>Europaparlamentet uppmanar på nytt stiftelsen att säkerställa större transparens och offentlig ansvarsskyldighet genom bättre användning av medier och sociala medier.</w:t>
      </w:r>
    </w:p>
    <w:p w:rsidR="00C176EC" w:rsidRPr="00B4011E" w:rsidRDefault="00C176EC" w:rsidP="00C176EC">
      <w:pPr>
        <w:pStyle w:val="NormalCenter12a"/>
        <w:rPr>
          <w:color w:val="000000" w:themeColor="text1"/>
        </w:rPr>
      </w:pPr>
      <w:r w:rsidRPr="00B4011E">
        <w:rPr>
          <w:color w:val="000000" w:themeColor="text1"/>
        </w:rPr>
        <w:t>°</w:t>
      </w:r>
    </w:p>
    <w:p w:rsidR="00C176EC" w:rsidRPr="00B4011E" w:rsidRDefault="00C176EC" w:rsidP="00C176EC">
      <w:pPr>
        <w:pStyle w:val="NormalCenter12a"/>
      </w:pPr>
      <w:r w:rsidRPr="00B4011E">
        <w:t>°</w:t>
      </w:r>
      <w:r w:rsidRPr="00B4011E">
        <w:tab/>
        <w:t>°</w:t>
      </w:r>
    </w:p>
    <w:p w:rsidR="00C176EC" w:rsidRPr="00B4011E" w:rsidRDefault="00C176EC" w:rsidP="00C176EC">
      <w:pPr>
        <w:pStyle w:val="NormalHanging12a"/>
        <w:widowControl/>
      </w:pPr>
      <w:r w:rsidRPr="00B4011E">
        <w:t>32.</w:t>
      </w:r>
      <w:r w:rsidRPr="00B4011E">
        <w:tab/>
        <w:t xml:space="preserve">När det gäller andra övergripande iakttagelser som utgör en del av beslutet om ansvarsfrihet hänvisar Europaparlamentet till sin resolution av den </w:t>
      </w:r>
      <w:r w:rsidR="00200A86" w:rsidRPr="00B4011E">
        <w:t>11 april 2024</w:t>
      </w:r>
      <w:r w:rsidRPr="00B4011E">
        <w:rPr>
          <w:vertAlign w:val="superscript"/>
        </w:rPr>
        <w:footnoteReference w:id="12"/>
      </w:r>
      <w:r w:rsidRPr="00B4011E">
        <w:t xml:space="preserve"> om byråernas verksamhetsresultat, ekonomiska förvaltning och kontroll.</w:t>
      </w:r>
    </w:p>
    <w:p w:rsidR="00E365E1" w:rsidRPr="00B4011E" w:rsidRDefault="00E365E1" w:rsidP="00DA6C76"/>
    <w:sectPr w:rsidR="00E365E1" w:rsidRPr="00B4011E" w:rsidSect="000D41E9">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6C76" w:rsidRPr="000D41E9" w:rsidRDefault="00DA6C76">
      <w:r w:rsidRPr="000D41E9">
        <w:separator/>
      </w:r>
    </w:p>
  </w:endnote>
  <w:endnote w:type="continuationSeparator" w:id="0">
    <w:p w:rsidR="00DA6C76" w:rsidRPr="000D41E9" w:rsidRDefault="00DA6C76">
      <w:r w:rsidRPr="000D41E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76EC" w:rsidRPr="000D41E9" w:rsidRDefault="00C176EC" w:rsidP="0085101B">
    <w:pPr>
      <w:pStyle w:val="EPFooter"/>
    </w:pPr>
    <w:r w:rsidRPr="000D41E9">
      <w:t>PE</w:t>
    </w:r>
    <w:r w:rsidRPr="000D41E9">
      <w:rPr>
        <w:rStyle w:val="HideTWBExt"/>
      </w:rPr>
      <w:t>&lt;NoPE&gt;</w:t>
    </w:r>
    <w:r w:rsidRPr="000D41E9">
      <w:t>753.531</w:t>
    </w:r>
    <w:r w:rsidRPr="000D41E9">
      <w:rPr>
        <w:rStyle w:val="HideTWBExt"/>
      </w:rPr>
      <w:t>&lt;/NoPE&gt;&lt;Version&gt;</w:t>
    </w:r>
    <w:r w:rsidRPr="000D41E9">
      <w:t>v02-00</w:t>
    </w:r>
    <w:r w:rsidRPr="000D41E9">
      <w:rPr>
        <w:rStyle w:val="HideTWBExt"/>
      </w:rPr>
      <w:t>&lt;/Version&gt;</w:t>
    </w:r>
    <w:r w:rsidRPr="000D41E9">
      <w:tab/>
    </w:r>
    <w:r w:rsidRPr="000D41E9">
      <w:fldChar w:fldCharType="begin"/>
    </w:r>
    <w:r w:rsidRPr="000D41E9">
      <w:instrText xml:space="preserve"> PAGE  \* MERGEFORMAT </w:instrText>
    </w:r>
    <w:r w:rsidRPr="000D41E9">
      <w:fldChar w:fldCharType="separate"/>
    </w:r>
    <w:r w:rsidR="000D41E9" w:rsidRPr="000D41E9">
      <w:rPr>
        <w:noProof/>
      </w:rPr>
      <w:t>2</w:t>
    </w:r>
    <w:r w:rsidRPr="000D41E9">
      <w:fldChar w:fldCharType="end"/>
    </w:r>
    <w:r w:rsidRPr="000D41E9">
      <w:t>/</w:t>
    </w:r>
    <w:fldSimple w:instr=" NUMPAGES  \* MERGEFORMAT ">
      <w:r w:rsidR="000D41E9" w:rsidRPr="000D41E9">
        <w:rPr>
          <w:noProof/>
        </w:rPr>
        <w:t>3</w:t>
      </w:r>
    </w:fldSimple>
    <w:r w:rsidRPr="000D41E9">
      <w:tab/>
    </w:r>
    <w:r w:rsidRPr="000D41E9">
      <w:rPr>
        <w:rStyle w:val="HideTWBExt"/>
      </w:rPr>
      <w:t>&lt;PathFdR&gt;</w:t>
    </w:r>
    <w:r w:rsidRPr="000D41E9">
      <w:t>RR\1298972SV.docx</w:t>
    </w:r>
    <w:r w:rsidRPr="000D41E9">
      <w:rPr>
        <w:rStyle w:val="HideTWBExt"/>
      </w:rPr>
      <w:t>&lt;/PathFdR&gt;</w:t>
    </w:r>
  </w:p>
  <w:p w:rsidR="00C176EC" w:rsidRPr="000D41E9" w:rsidRDefault="00C176EC" w:rsidP="0085101B">
    <w:pPr>
      <w:pStyle w:val="EPFooter2"/>
    </w:pPr>
    <w:r w:rsidRPr="000D41E9">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76EC" w:rsidRPr="000D41E9" w:rsidRDefault="00C176EC" w:rsidP="0085101B">
    <w:pPr>
      <w:pStyle w:val="EPFooter"/>
    </w:pPr>
    <w:r w:rsidRPr="000D41E9">
      <w:rPr>
        <w:rStyle w:val="HideTWBExt"/>
      </w:rPr>
      <w:t>&lt;PathFdR&gt;</w:t>
    </w:r>
    <w:r w:rsidRPr="000D41E9">
      <w:t>RR\1298972SV.docx</w:t>
    </w:r>
    <w:r w:rsidRPr="000D41E9">
      <w:rPr>
        <w:rStyle w:val="HideTWBExt"/>
      </w:rPr>
      <w:t>&lt;/PathFdR&gt;</w:t>
    </w:r>
    <w:r w:rsidRPr="000D41E9">
      <w:tab/>
    </w:r>
    <w:r w:rsidRPr="000D41E9">
      <w:tab/>
      <w:t>PE</w:t>
    </w:r>
    <w:r w:rsidRPr="000D41E9">
      <w:rPr>
        <w:rStyle w:val="HideTWBExt"/>
      </w:rPr>
      <w:t>&lt;NoPE&gt;</w:t>
    </w:r>
    <w:r w:rsidRPr="000D41E9">
      <w:t>753.531</w:t>
    </w:r>
    <w:r w:rsidRPr="000D41E9">
      <w:rPr>
        <w:rStyle w:val="HideTWBExt"/>
      </w:rPr>
      <w:t>&lt;/NoPE&gt;&lt;Version&gt;</w:t>
    </w:r>
    <w:r w:rsidRPr="000D41E9">
      <w:t>v02-00</w:t>
    </w:r>
    <w:r w:rsidRPr="000D41E9">
      <w:rPr>
        <w:rStyle w:val="HideTWBExt"/>
      </w:rPr>
      <w:t>&lt;/Version&gt;</w:t>
    </w:r>
  </w:p>
  <w:p w:rsidR="00C176EC" w:rsidRPr="000D41E9" w:rsidRDefault="00C176EC" w:rsidP="0085101B">
    <w:pPr>
      <w:pStyle w:val="EPFooter2"/>
    </w:pPr>
    <w:r w:rsidRPr="000D41E9">
      <w:t>SV</w:t>
    </w:r>
    <w:r w:rsidRPr="000D41E9">
      <w:tab/>
    </w:r>
    <w:r w:rsidRPr="000D41E9">
      <w:rPr>
        <w:b w:val="0"/>
        <w:i/>
        <w:color w:val="C0C0C0"/>
        <w:sz w:val="22"/>
      </w:rPr>
      <w:t>Förenade i mångfalden</w:t>
    </w:r>
    <w:r w:rsidRPr="000D41E9">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41E9"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41E9"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41E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6C76" w:rsidRPr="000D41E9" w:rsidRDefault="00DA6C76">
      <w:r w:rsidRPr="000D41E9">
        <w:separator/>
      </w:r>
    </w:p>
  </w:footnote>
  <w:footnote w:type="continuationSeparator" w:id="0">
    <w:p w:rsidR="00DA6C76" w:rsidRPr="000D41E9" w:rsidRDefault="00DA6C76">
      <w:r w:rsidRPr="000D41E9">
        <w:continuationSeparator/>
      </w:r>
    </w:p>
  </w:footnote>
  <w:footnote w:id="1">
    <w:p w:rsidR="00C176EC" w:rsidRPr="00B4011E" w:rsidRDefault="00C176EC" w:rsidP="000D41E9">
      <w:pPr>
        <w:pStyle w:val="FootnoteText"/>
        <w:ind w:left="567" w:hanging="567"/>
        <w:rPr>
          <w:sz w:val="24"/>
        </w:rPr>
      </w:pPr>
      <w:r w:rsidRPr="00B4011E">
        <w:rPr>
          <w:rStyle w:val="FootnoteReference"/>
          <w:sz w:val="24"/>
          <w:lang w:val="sv-SE"/>
        </w:rPr>
        <w:footnoteRef/>
      </w:r>
      <w:r w:rsidR="000D41E9" w:rsidRPr="00B4011E">
        <w:rPr>
          <w:sz w:val="24"/>
        </w:rPr>
        <w:t xml:space="preserve"> </w:t>
      </w:r>
      <w:r w:rsidR="000D41E9" w:rsidRPr="00B4011E">
        <w:rPr>
          <w:sz w:val="24"/>
        </w:rPr>
        <w:tab/>
      </w:r>
      <w:r w:rsidRPr="00B4011E">
        <w:rPr>
          <w:sz w:val="24"/>
        </w:rPr>
        <w:t>EUT C, C/2023/594, 27.10.2023.</w:t>
      </w:r>
    </w:p>
  </w:footnote>
  <w:footnote w:id="2">
    <w:p w:rsidR="00C176EC" w:rsidRPr="00B4011E" w:rsidRDefault="00C176EC" w:rsidP="000D41E9">
      <w:pPr>
        <w:pStyle w:val="FootnoteText"/>
        <w:ind w:left="567" w:hanging="567"/>
        <w:rPr>
          <w:sz w:val="24"/>
        </w:rPr>
      </w:pPr>
      <w:r w:rsidRPr="00B4011E">
        <w:rPr>
          <w:rStyle w:val="FootnoteReference"/>
          <w:sz w:val="24"/>
          <w:lang w:val="sv-SE"/>
        </w:rPr>
        <w:footnoteRef/>
      </w:r>
      <w:r w:rsidR="000D41E9" w:rsidRPr="00B4011E">
        <w:rPr>
          <w:sz w:val="24"/>
        </w:rPr>
        <w:t xml:space="preserve"> </w:t>
      </w:r>
      <w:r w:rsidR="000D41E9" w:rsidRPr="00B4011E">
        <w:rPr>
          <w:sz w:val="24"/>
        </w:rPr>
        <w:tab/>
      </w:r>
      <w:r w:rsidRPr="00B4011E">
        <w:rPr>
          <w:sz w:val="24"/>
        </w:rPr>
        <w:t>EUT C, C/2023/112, 12.10.2023.</w:t>
      </w:r>
    </w:p>
  </w:footnote>
  <w:footnote w:id="3">
    <w:p w:rsidR="00C176EC" w:rsidRPr="00B4011E" w:rsidRDefault="00C176EC" w:rsidP="000D41E9">
      <w:pPr>
        <w:pStyle w:val="FootnoteText"/>
        <w:ind w:left="567" w:hanging="567"/>
        <w:rPr>
          <w:sz w:val="24"/>
        </w:rPr>
      </w:pPr>
      <w:r w:rsidRPr="00B4011E">
        <w:rPr>
          <w:rStyle w:val="FootnoteReference"/>
          <w:sz w:val="24"/>
          <w:lang w:val="sv-SE"/>
        </w:rPr>
        <w:footnoteRef/>
      </w:r>
      <w:r w:rsidR="000D41E9" w:rsidRPr="00B4011E">
        <w:rPr>
          <w:sz w:val="24"/>
        </w:rPr>
        <w:t xml:space="preserve"> </w:t>
      </w:r>
      <w:r w:rsidR="000D41E9" w:rsidRPr="00B4011E">
        <w:rPr>
          <w:sz w:val="24"/>
        </w:rPr>
        <w:tab/>
      </w:r>
      <w:r w:rsidRPr="00B4011E">
        <w:rPr>
          <w:sz w:val="24"/>
        </w:rPr>
        <w:t>EUT L 193, 30.7.2018, s. 1.</w:t>
      </w:r>
    </w:p>
  </w:footnote>
  <w:footnote w:id="4">
    <w:p w:rsidR="00C176EC" w:rsidRPr="00B4011E" w:rsidRDefault="00C176EC" w:rsidP="000D41E9">
      <w:pPr>
        <w:pStyle w:val="FootnoteText"/>
        <w:ind w:left="567" w:hanging="567"/>
        <w:rPr>
          <w:sz w:val="24"/>
        </w:rPr>
      </w:pPr>
      <w:r w:rsidRPr="00B4011E">
        <w:rPr>
          <w:rStyle w:val="FootnoteReference"/>
          <w:sz w:val="24"/>
          <w:lang w:val="sv-SE"/>
        </w:rPr>
        <w:footnoteRef/>
      </w:r>
      <w:r w:rsidR="000D41E9" w:rsidRPr="00B4011E">
        <w:rPr>
          <w:sz w:val="24"/>
        </w:rPr>
        <w:t xml:space="preserve"> </w:t>
      </w:r>
      <w:r w:rsidR="000D41E9" w:rsidRPr="00B4011E">
        <w:rPr>
          <w:sz w:val="24"/>
        </w:rPr>
        <w:tab/>
      </w:r>
      <w:r w:rsidRPr="00B4011E">
        <w:rPr>
          <w:sz w:val="24"/>
        </w:rPr>
        <w:t>EUT L 354, 31.12.2008, s. 82.</w:t>
      </w:r>
    </w:p>
  </w:footnote>
  <w:footnote w:id="5">
    <w:p w:rsidR="00C176EC" w:rsidRPr="00B4011E" w:rsidRDefault="00C176EC" w:rsidP="000D41E9">
      <w:pPr>
        <w:pStyle w:val="FootnoteText"/>
        <w:ind w:left="567" w:hanging="567"/>
        <w:rPr>
          <w:sz w:val="24"/>
          <w:szCs w:val="24"/>
        </w:rPr>
      </w:pPr>
      <w:r w:rsidRPr="00B4011E">
        <w:rPr>
          <w:rStyle w:val="FootnoteReference"/>
          <w:sz w:val="24"/>
          <w:lang w:val="sv-SE"/>
        </w:rPr>
        <w:footnoteRef/>
      </w:r>
      <w:r w:rsidR="000D41E9" w:rsidRPr="00B4011E">
        <w:rPr>
          <w:sz w:val="24"/>
        </w:rPr>
        <w:t xml:space="preserve"> </w:t>
      </w:r>
      <w:r w:rsidR="000D41E9" w:rsidRPr="00B4011E">
        <w:rPr>
          <w:sz w:val="24"/>
        </w:rPr>
        <w:tab/>
      </w:r>
      <w:r w:rsidRPr="00B4011E">
        <w:rPr>
          <w:sz w:val="24"/>
        </w:rPr>
        <w:t>EUT L 122, 10.5.2019, s. 1.</w:t>
      </w:r>
    </w:p>
  </w:footnote>
  <w:footnote w:id="6">
    <w:p w:rsidR="00C176EC" w:rsidRPr="00B4011E" w:rsidRDefault="00C176EC" w:rsidP="000D41E9">
      <w:pPr>
        <w:pStyle w:val="FootnoteText"/>
        <w:ind w:left="567" w:hanging="567"/>
        <w:rPr>
          <w:sz w:val="24"/>
        </w:rPr>
      </w:pPr>
      <w:r w:rsidRPr="00B4011E">
        <w:rPr>
          <w:rStyle w:val="FootnoteReference"/>
          <w:sz w:val="24"/>
          <w:lang w:val="sv-SE"/>
        </w:rPr>
        <w:footnoteRef/>
      </w:r>
      <w:r w:rsidR="000D41E9" w:rsidRPr="00B4011E">
        <w:rPr>
          <w:sz w:val="24"/>
        </w:rPr>
        <w:t xml:space="preserve"> </w:t>
      </w:r>
      <w:r w:rsidR="000D41E9" w:rsidRPr="00B4011E">
        <w:rPr>
          <w:sz w:val="24"/>
        </w:rPr>
        <w:tab/>
      </w:r>
      <w:r w:rsidRPr="00B4011E">
        <w:rPr>
          <w:sz w:val="24"/>
        </w:rPr>
        <w:t>EUT C, C/2023/594, 27.10.2023.</w:t>
      </w:r>
    </w:p>
  </w:footnote>
  <w:footnote w:id="7">
    <w:p w:rsidR="00C176EC" w:rsidRPr="00B4011E" w:rsidRDefault="00C176EC" w:rsidP="000D41E9">
      <w:pPr>
        <w:pStyle w:val="FootnoteText"/>
        <w:ind w:left="567" w:hanging="567"/>
        <w:rPr>
          <w:sz w:val="24"/>
        </w:rPr>
      </w:pPr>
      <w:r w:rsidRPr="00B4011E">
        <w:rPr>
          <w:rStyle w:val="FootnoteReference"/>
          <w:sz w:val="24"/>
          <w:lang w:val="sv-SE"/>
        </w:rPr>
        <w:footnoteRef/>
      </w:r>
      <w:r w:rsidR="000D41E9" w:rsidRPr="00B4011E">
        <w:rPr>
          <w:sz w:val="24"/>
        </w:rPr>
        <w:t xml:space="preserve"> </w:t>
      </w:r>
      <w:r w:rsidR="000D41E9" w:rsidRPr="00B4011E">
        <w:rPr>
          <w:sz w:val="24"/>
        </w:rPr>
        <w:tab/>
      </w:r>
      <w:r w:rsidRPr="00B4011E">
        <w:rPr>
          <w:sz w:val="24"/>
        </w:rPr>
        <w:t>EUT C, C/2023/112, 12.10.2023.</w:t>
      </w:r>
    </w:p>
  </w:footnote>
  <w:footnote w:id="8">
    <w:p w:rsidR="00C176EC" w:rsidRPr="00B4011E" w:rsidRDefault="00C176EC" w:rsidP="000D41E9">
      <w:pPr>
        <w:pStyle w:val="FootnoteText"/>
        <w:ind w:left="567" w:hanging="567"/>
        <w:rPr>
          <w:sz w:val="24"/>
        </w:rPr>
      </w:pPr>
      <w:r w:rsidRPr="00B4011E">
        <w:rPr>
          <w:rStyle w:val="FootnoteReference"/>
          <w:sz w:val="24"/>
          <w:lang w:val="sv-SE"/>
        </w:rPr>
        <w:footnoteRef/>
      </w:r>
      <w:r w:rsidR="000D41E9" w:rsidRPr="00B4011E">
        <w:rPr>
          <w:sz w:val="24"/>
        </w:rPr>
        <w:t xml:space="preserve"> </w:t>
      </w:r>
      <w:r w:rsidR="000D41E9" w:rsidRPr="00B4011E">
        <w:rPr>
          <w:sz w:val="24"/>
        </w:rPr>
        <w:tab/>
      </w:r>
      <w:r w:rsidRPr="00B4011E">
        <w:rPr>
          <w:sz w:val="24"/>
        </w:rPr>
        <w:t>EUT L 193, 30.7.2018, s. 1.</w:t>
      </w:r>
    </w:p>
  </w:footnote>
  <w:footnote w:id="9">
    <w:p w:rsidR="00C176EC" w:rsidRPr="00B4011E" w:rsidRDefault="00C176EC" w:rsidP="000D41E9">
      <w:pPr>
        <w:pStyle w:val="FootnoteText"/>
        <w:ind w:left="567" w:hanging="567"/>
        <w:rPr>
          <w:sz w:val="24"/>
        </w:rPr>
      </w:pPr>
      <w:r w:rsidRPr="00B4011E">
        <w:rPr>
          <w:rStyle w:val="FootnoteReference"/>
          <w:sz w:val="24"/>
          <w:lang w:val="sv-SE"/>
        </w:rPr>
        <w:footnoteRef/>
      </w:r>
      <w:r w:rsidR="000D41E9" w:rsidRPr="00B4011E">
        <w:rPr>
          <w:sz w:val="24"/>
        </w:rPr>
        <w:t xml:space="preserve"> </w:t>
      </w:r>
      <w:r w:rsidR="000D41E9" w:rsidRPr="00B4011E">
        <w:rPr>
          <w:sz w:val="24"/>
        </w:rPr>
        <w:tab/>
      </w:r>
      <w:r w:rsidRPr="00B4011E">
        <w:rPr>
          <w:sz w:val="24"/>
        </w:rPr>
        <w:t>EUT L 354, 31.12.2008, s. 82.</w:t>
      </w:r>
    </w:p>
  </w:footnote>
  <w:footnote w:id="10">
    <w:p w:rsidR="00C176EC" w:rsidRPr="00B4011E" w:rsidRDefault="00C176EC" w:rsidP="000D41E9">
      <w:pPr>
        <w:pStyle w:val="FootnoteText"/>
        <w:ind w:left="567" w:hanging="567"/>
        <w:rPr>
          <w:sz w:val="24"/>
          <w:szCs w:val="24"/>
        </w:rPr>
      </w:pPr>
      <w:r w:rsidRPr="00B4011E">
        <w:rPr>
          <w:rStyle w:val="FootnoteReference"/>
          <w:sz w:val="24"/>
          <w:lang w:val="sv-SE"/>
        </w:rPr>
        <w:footnoteRef/>
      </w:r>
      <w:r w:rsidR="000D41E9" w:rsidRPr="00B4011E">
        <w:rPr>
          <w:sz w:val="24"/>
        </w:rPr>
        <w:t xml:space="preserve"> </w:t>
      </w:r>
      <w:r w:rsidR="000D41E9" w:rsidRPr="00B4011E">
        <w:rPr>
          <w:sz w:val="24"/>
        </w:rPr>
        <w:tab/>
      </w:r>
      <w:r w:rsidRPr="00B4011E">
        <w:rPr>
          <w:sz w:val="24"/>
        </w:rPr>
        <w:t>EUT L 122, 10.5.2019, s. 1.</w:t>
      </w:r>
    </w:p>
  </w:footnote>
  <w:footnote w:id="11">
    <w:p w:rsidR="00C176EC" w:rsidRPr="00B4011E" w:rsidRDefault="00C176EC" w:rsidP="000D41E9">
      <w:pPr>
        <w:pStyle w:val="FootnoteText"/>
        <w:ind w:left="567" w:hanging="567"/>
        <w:rPr>
          <w:sz w:val="24"/>
          <w:lang w:val="sv-SE"/>
        </w:rPr>
      </w:pPr>
      <w:r w:rsidRPr="00B4011E">
        <w:rPr>
          <w:rStyle w:val="FootnoteReference"/>
          <w:sz w:val="24"/>
          <w:lang w:val="sv-SE"/>
        </w:rPr>
        <w:footnoteRef/>
      </w:r>
      <w:r w:rsidR="000D41E9" w:rsidRPr="00B4011E">
        <w:rPr>
          <w:sz w:val="24"/>
          <w:lang w:val="sv-SE"/>
        </w:rPr>
        <w:t xml:space="preserve"> </w:t>
      </w:r>
      <w:r w:rsidR="000D41E9" w:rsidRPr="00B4011E">
        <w:rPr>
          <w:sz w:val="24"/>
          <w:lang w:val="sv-SE"/>
        </w:rPr>
        <w:tab/>
      </w:r>
      <w:r w:rsidRPr="00B4011E">
        <w:rPr>
          <w:sz w:val="24"/>
          <w:lang w:val="sv-SE"/>
        </w:rPr>
        <w:t>EUT C 38, 31.1.2023</w:t>
      </w:r>
      <w:r w:rsidRPr="00B4011E">
        <w:rPr>
          <w:color w:val="000000"/>
          <w:sz w:val="24"/>
          <w:lang w:val="sv-SE"/>
        </w:rPr>
        <w:t>, s. 13.</w:t>
      </w:r>
    </w:p>
  </w:footnote>
  <w:footnote w:id="12">
    <w:p w:rsidR="00C176EC" w:rsidRPr="000D41E9" w:rsidRDefault="00C176EC" w:rsidP="000D41E9">
      <w:pPr>
        <w:pStyle w:val="FootnoteText"/>
        <w:ind w:left="567" w:hanging="567"/>
        <w:rPr>
          <w:sz w:val="24"/>
          <w:lang w:val="sv-SE"/>
        </w:rPr>
      </w:pPr>
      <w:r w:rsidRPr="00B4011E">
        <w:rPr>
          <w:rStyle w:val="FootnoteReference"/>
          <w:sz w:val="24"/>
          <w:lang w:val="sv-SE"/>
        </w:rPr>
        <w:footnoteRef/>
      </w:r>
      <w:r w:rsidR="000D41E9" w:rsidRPr="00B4011E">
        <w:rPr>
          <w:sz w:val="24"/>
          <w:lang w:val="sv-SE"/>
        </w:rPr>
        <w:t xml:space="preserve"> </w:t>
      </w:r>
      <w:r w:rsidR="000D41E9" w:rsidRPr="00B4011E">
        <w:rPr>
          <w:sz w:val="24"/>
          <w:lang w:val="sv-SE"/>
        </w:rPr>
        <w:tab/>
      </w:r>
      <w:r w:rsidRPr="00B4011E">
        <w:rPr>
          <w:sz w:val="24"/>
          <w:lang w:val="sv-SE"/>
        </w:rPr>
        <w:t>Antagna texter, P9_TA(2024)</w:t>
      </w:r>
      <w:r w:rsidR="00B4011E" w:rsidRPr="00B4011E">
        <w:rPr>
          <w:sz w:val="24"/>
          <w:lang w:val="sv-SE"/>
        </w:rPr>
        <w:t>0280</w:t>
      </w:r>
      <w:r w:rsidRPr="00B4011E">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41E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41E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41E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4/2024"/>
    <w:docVar w:name="dvlangue" w:val="SV"/>
    <w:docVar w:name="dvnumam" w:val="0"/>
    <w:docVar w:name="dvpe" w:val="753.531"/>
    <w:docVar w:name="dvrapporteur" w:val="Föredragande: "/>
    <w:docVar w:name="dvtitre" w:val="Europaparlamentets beslut av den xx xx 2024 om ansvarsfrihet för genomförandet av budgeten för Europeiska yrkesutbildningsstiftelsen för budgetåret 2022(2023/2163(DEC))"/>
  </w:docVars>
  <w:rsids>
    <w:rsidRoot w:val="00DA6C76"/>
    <w:rsid w:val="00002272"/>
    <w:rsid w:val="00064002"/>
    <w:rsid w:val="000677B9"/>
    <w:rsid w:val="000831BA"/>
    <w:rsid w:val="000A42CC"/>
    <w:rsid w:val="000D41E9"/>
    <w:rsid w:val="000E7DD9"/>
    <w:rsid w:val="0010095E"/>
    <w:rsid w:val="00125B37"/>
    <w:rsid w:val="00187494"/>
    <w:rsid w:val="001F32AE"/>
    <w:rsid w:val="00200A86"/>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011E"/>
    <w:rsid w:val="00B558F0"/>
    <w:rsid w:val="00BD48FE"/>
    <w:rsid w:val="00BD7BD8"/>
    <w:rsid w:val="00BE6ADC"/>
    <w:rsid w:val="00C05BFE"/>
    <w:rsid w:val="00C176EC"/>
    <w:rsid w:val="00C23CD4"/>
    <w:rsid w:val="00C61C0C"/>
    <w:rsid w:val="00C941CB"/>
    <w:rsid w:val="00CC2357"/>
    <w:rsid w:val="00CF071A"/>
    <w:rsid w:val="00D058B8"/>
    <w:rsid w:val="00D56C11"/>
    <w:rsid w:val="00D834A0"/>
    <w:rsid w:val="00D872DF"/>
    <w:rsid w:val="00D91E21"/>
    <w:rsid w:val="00DA6C76"/>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B11DE9"/>
  <w15:chartTrackingRefBased/>
  <w15:docId w15:val="{12259496-2B74-4612-A27E-CCE55652B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176E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176EC"/>
    <w:pPr>
      <w:spacing w:before="480" w:after="240"/>
    </w:pPr>
  </w:style>
  <w:style w:type="paragraph" w:customStyle="1" w:styleId="PageHeading">
    <w:name w:val="PageHeading"/>
    <w:basedOn w:val="Normal"/>
    <w:rsid w:val="00C176EC"/>
    <w:pPr>
      <w:keepNext/>
      <w:spacing w:after="480"/>
      <w:jc w:val="center"/>
    </w:pPr>
    <w:rPr>
      <w:rFonts w:ascii="Arial" w:hAnsi="Arial" w:cs="Arial"/>
      <w:b/>
    </w:rPr>
  </w:style>
  <w:style w:type="paragraph" w:customStyle="1" w:styleId="NormalBold">
    <w:name w:val="NormalBold"/>
    <w:basedOn w:val="Normal"/>
    <w:rsid w:val="00C176EC"/>
    <w:rPr>
      <w:b/>
    </w:rPr>
  </w:style>
  <w:style w:type="paragraph" w:customStyle="1" w:styleId="NormalHanging12a">
    <w:name w:val="NormalHanging12a"/>
    <w:basedOn w:val="Normal"/>
    <w:link w:val="NormalHanging12aChar"/>
    <w:rsid w:val="00C176EC"/>
    <w:pPr>
      <w:spacing w:after="240"/>
      <w:ind w:left="567" w:hanging="567"/>
    </w:pPr>
  </w:style>
  <w:style w:type="paragraph" w:customStyle="1" w:styleId="NormalCenter12a">
    <w:name w:val="NormalCenter12a"/>
    <w:basedOn w:val="Normal"/>
    <w:rsid w:val="00C176EC"/>
    <w:pPr>
      <w:spacing w:after="240"/>
      <w:jc w:val="center"/>
    </w:pPr>
  </w:style>
  <w:style w:type="paragraph" w:styleId="Header">
    <w:name w:val="header"/>
    <w:basedOn w:val="Normal"/>
    <w:link w:val="HeaderChar"/>
    <w:rsid w:val="00C176EC"/>
    <w:pPr>
      <w:tabs>
        <w:tab w:val="center" w:pos="4513"/>
        <w:tab w:val="right" w:pos="9026"/>
      </w:tabs>
    </w:pPr>
  </w:style>
  <w:style w:type="character" w:customStyle="1" w:styleId="HeaderChar">
    <w:name w:val="Header Char"/>
    <w:basedOn w:val="DefaultParagraphFont"/>
    <w:link w:val="Header"/>
    <w:rsid w:val="00C176EC"/>
    <w:rPr>
      <w:sz w:val="24"/>
      <w:lang w:val="sv-SE"/>
    </w:rPr>
  </w:style>
  <w:style w:type="paragraph" w:customStyle="1" w:styleId="EPFooter">
    <w:name w:val="EPFooter"/>
    <w:basedOn w:val="Normal"/>
    <w:rsid w:val="00C176EC"/>
    <w:pPr>
      <w:tabs>
        <w:tab w:val="center" w:pos="4535"/>
        <w:tab w:val="right" w:pos="9071"/>
      </w:tabs>
      <w:spacing w:before="240" w:after="240"/>
    </w:pPr>
    <w:rPr>
      <w:color w:val="010000"/>
      <w:sz w:val="22"/>
    </w:rPr>
  </w:style>
  <w:style w:type="paragraph" w:customStyle="1" w:styleId="Normal12Hanging">
    <w:name w:val="Normal12Hanging"/>
    <w:basedOn w:val="Normal"/>
    <w:rsid w:val="00C176EC"/>
    <w:pPr>
      <w:spacing w:after="240"/>
      <w:ind w:left="567" w:hanging="567"/>
    </w:pPr>
  </w:style>
  <w:style w:type="character" w:customStyle="1" w:styleId="normaltextrun">
    <w:name w:val="normaltextrun"/>
    <w:basedOn w:val="DefaultParagraphFont"/>
    <w:rsid w:val="00C176EC"/>
  </w:style>
  <w:style w:type="character" w:customStyle="1" w:styleId="NormalHanging12aChar">
    <w:name w:val="NormalHanging12a Char"/>
    <w:link w:val="NormalHanging12a"/>
    <w:locked/>
    <w:rsid w:val="00C176EC"/>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A561BC-DADD-4E31-AD80-F1599BEFA8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2838</Words>
  <Characters>19186</Characters>
  <Application>Microsoft Office Word</Application>
  <DocSecurity>0</DocSecurity>
  <Lines>159</Lines>
  <Paragraphs>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2024-04-11T16:38:00Z</dcterms:created>
  <dcterms:modified xsi:type="dcterms:W3CDTF">2024-04-11T16:38:00Z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A9-0114/2024</vt:lpwstr>
  </property>
  <property fmtid="{D5CDD505-2E9C-101B-9397-08002B2CF9AE}" pid="4" name="&lt;Type&gt;">
    <vt:lpwstr>RR</vt:lpwstr>
  </property>
</Properties>
</file>