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21CD" w:rsidTr="0010095E">
        <w:trPr>
          <w:trHeight w:hRule="exact" w:val="1418"/>
        </w:trPr>
        <w:tc>
          <w:tcPr>
            <w:tcW w:w="6804" w:type="dxa"/>
            <w:shd w:val="clear" w:color="auto" w:fill="auto"/>
            <w:vAlign w:val="center"/>
          </w:tcPr>
          <w:p w:rsidR="00751A4A" w:rsidRPr="001021CD" w:rsidRDefault="00B9028F" w:rsidP="0010095E">
            <w:pPr>
              <w:pStyle w:val="EPName"/>
            </w:pPr>
            <w:r>
              <w:t>Е</w:t>
            </w:r>
            <w:r w:rsidR="009318CB" w:rsidRPr="001021CD">
              <w:t>вропейски парламент</w:t>
            </w:r>
          </w:p>
          <w:p w:rsidR="00751A4A" w:rsidRPr="001021CD" w:rsidRDefault="00B9028F" w:rsidP="00756632">
            <w:pPr>
              <w:pStyle w:val="EPTerm"/>
              <w:rPr>
                <w:rStyle w:val="HideTWBExt"/>
                <w:noProof w:val="0"/>
                <w:vanish w:val="0"/>
                <w:color w:val="auto"/>
              </w:rPr>
            </w:pPr>
            <w:r>
              <w:t>2019 – </w:t>
            </w:r>
            <w:r w:rsidR="00817416" w:rsidRPr="001021CD">
              <w:t>2024</w:t>
            </w:r>
          </w:p>
        </w:tc>
        <w:tc>
          <w:tcPr>
            <w:tcW w:w="2268" w:type="dxa"/>
            <w:shd w:val="clear" w:color="auto" w:fill="auto"/>
          </w:tcPr>
          <w:p w:rsidR="00751A4A" w:rsidRPr="001021CD" w:rsidRDefault="00187494" w:rsidP="0010095E">
            <w:pPr>
              <w:pStyle w:val="EPLogo"/>
            </w:pPr>
            <w:r w:rsidRPr="001021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21CD" w:rsidRDefault="00D058B8" w:rsidP="004C5D52">
      <w:pPr>
        <w:pStyle w:val="LineTop"/>
      </w:pPr>
    </w:p>
    <w:p w:rsidR="00680577" w:rsidRPr="001021CD" w:rsidRDefault="009318CB" w:rsidP="00680577">
      <w:pPr>
        <w:pStyle w:val="EPBodyTA1"/>
      </w:pPr>
      <w:r w:rsidRPr="001021CD">
        <w:t>ПРИЕТИ ТЕКСТОВЕ</w:t>
      </w:r>
    </w:p>
    <w:p w:rsidR="00D058B8" w:rsidRPr="001021CD" w:rsidRDefault="00D058B8" w:rsidP="00D058B8">
      <w:pPr>
        <w:pStyle w:val="LineBottom"/>
      </w:pPr>
    </w:p>
    <w:p w:rsidR="009318CB" w:rsidRPr="001021CD" w:rsidRDefault="009318CB" w:rsidP="009318CB">
      <w:pPr>
        <w:pStyle w:val="ATHeading1"/>
      </w:pPr>
      <w:bookmarkStart w:id="0" w:name="TANumber"/>
      <w:r w:rsidRPr="001021CD">
        <w:t>P9_TA(2024)0</w:t>
      </w:r>
      <w:r w:rsidR="00E84641">
        <w:rPr>
          <w:lang w:val="en-GB"/>
        </w:rPr>
        <w:t>248</w:t>
      </w:r>
      <w:bookmarkEnd w:id="0"/>
    </w:p>
    <w:p w:rsidR="009318CB" w:rsidRPr="001021CD" w:rsidRDefault="009318CB" w:rsidP="009318CB">
      <w:pPr>
        <w:pStyle w:val="ATHeading2"/>
      </w:pPr>
      <w:bookmarkStart w:id="1" w:name="title"/>
      <w:r w:rsidRPr="001021CD">
        <w:t>Освобождаване от отговорност във връзка с изпълнението на бюджета за 2022 г.: Европейска агенция по морска безопасност</w:t>
      </w:r>
      <w:bookmarkEnd w:id="1"/>
    </w:p>
    <w:p w:rsidR="009318CB" w:rsidRPr="001021CD" w:rsidRDefault="009318CB" w:rsidP="009318CB">
      <w:pPr>
        <w:rPr>
          <w:i/>
          <w:vanish/>
        </w:rPr>
      </w:pPr>
      <w:r w:rsidRPr="001021CD">
        <w:rPr>
          <w:i/>
        </w:rPr>
        <w:fldChar w:fldCharType="begin"/>
      </w:r>
      <w:r w:rsidRPr="001021CD">
        <w:rPr>
          <w:i/>
        </w:rPr>
        <w:instrText xml:space="preserve"> TC"(</w:instrText>
      </w:r>
      <w:bookmarkStart w:id="2" w:name="DocNumber"/>
      <w:r w:rsidRPr="001021CD">
        <w:rPr>
          <w:i/>
        </w:rPr>
        <w:instrText>A9-0107/2024</w:instrText>
      </w:r>
      <w:bookmarkEnd w:id="2"/>
      <w:r w:rsidRPr="001021CD">
        <w:rPr>
          <w:i/>
        </w:rPr>
        <w:instrText xml:space="preserve"> - Докладчик: </w:instrText>
      </w:r>
      <w:proofErr w:type="spellStart"/>
      <w:r w:rsidRPr="001021CD">
        <w:rPr>
          <w:i/>
        </w:rPr>
        <w:instrText>Петри</w:instrText>
      </w:r>
      <w:proofErr w:type="spellEnd"/>
      <w:r w:rsidRPr="001021CD">
        <w:rPr>
          <w:i/>
        </w:rPr>
        <w:instrText xml:space="preserve"> </w:instrText>
      </w:r>
      <w:proofErr w:type="spellStart"/>
      <w:r w:rsidRPr="001021CD">
        <w:rPr>
          <w:i/>
        </w:rPr>
        <w:instrText>Сарвама</w:instrText>
      </w:r>
      <w:proofErr w:type="spellEnd"/>
      <w:r w:rsidRPr="001021CD">
        <w:rPr>
          <w:i/>
        </w:rPr>
        <w:instrText xml:space="preserve">)"\l3 \n&gt; \* MERGEFORMAT </w:instrText>
      </w:r>
      <w:r w:rsidRPr="001021CD">
        <w:rPr>
          <w:i/>
        </w:rPr>
        <w:fldChar w:fldCharType="end"/>
      </w:r>
    </w:p>
    <w:p w:rsidR="009318CB" w:rsidRPr="001021CD" w:rsidRDefault="009318CB" w:rsidP="009318CB">
      <w:pPr>
        <w:rPr>
          <w:vanish/>
        </w:rPr>
      </w:pPr>
      <w:bookmarkStart w:id="3" w:name="Commission"/>
      <w:r w:rsidRPr="001021CD">
        <w:rPr>
          <w:vanish/>
        </w:rPr>
        <w:t>Комисия по бюджетен контрол</w:t>
      </w:r>
      <w:bookmarkEnd w:id="3"/>
    </w:p>
    <w:p w:rsidR="009318CB" w:rsidRPr="001021CD" w:rsidRDefault="009318CB" w:rsidP="009318CB">
      <w:pPr>
        <w:rPr>
          <w:vanish/>
        </w:rPr>
      </w:pPr>
      <w:bookmarkStart w:id="4" w:name="PE"/>
      <w:r w:rsidRPr="001021CD">
        <w:rPr>
          <w:vanish/>
        </w:rPr>
        <w:t>PE753.526</w:t>
      </w:r>
      <w:bookmarkEnd w:id="4"/>
    </w:p>
    <w:p w:rsidR="009318CB" w:rsidRPr="001021CD" w:rsidRDefault="00B9028F" w:rsidP="00B9028F">
      <w:pPr>
        <w:pStyle w:val="ATHeading3"/>
      </w:pPr>
      <w:bookmarkStart w:id="5" w:name="Sujet"/>
      <w:r>
        <w:t xml:space="preserve">1. </w:t>
      </w:r>
      <w:r w:rsidR="009318CB" w:rsidRPr="001021CD">
        <w:t xml:space="preserve">Решение на Европейския парламент от </w:t>
      </w:r>
      <w:r>
        <w:t>11 април</w:t>
      </w:r>
      <w:r w:rsidRPr="001021CD">
        <w:t xml:space="preserve"> </w:t>
      </w:r>
      <w:r w:rsidR="009318CB" w:rsidRPr="001021CD">
        <w:t>2024 г. относно освобождаването от отговорност във връзка с изпълнението на бюджета на Европейската агенция по морска безопасност за финансовата 2022 година</w:t>
      </w:r>
      <w:bookmarkEnd w:id="5"/>
      <w:r w:rsidR="009318CB" w:rsidRPr="001021CD">
        <w:t xml:space="preserve"> </w:t>
      </w:r>
      <w:bookmarkStart w:id="6" w:name="References"/>
      <w:r w:rsidR="009318CB" w:rsidRPr="001021CD">
        <w:t>(2023/2158(DEC))</w:t>
      </w:r>
      <w:bookmarkEnd w:id="6"/>
    </w:p>
    <w:p w:rsidR="00033639" w:rsidRPr="001021CD" w:rsidRDefault="00033639" w:rsidP="00033639">
      <w:pPr>
        <w:pStyle w:val="EPComma"/>
      </w:pPr>
      <w:bookmarkStart w:id="7" w:name="TextBodyBegin"/>
      <w:bookmarkEnd w:id="7"/>
      <w:r w:rsidRPr="001021CD">
        <w:rPr>
          <w:i/>
        </w:rPr>
        <w:t>Европейският парламент</w:t>
      </w:r>
      <w:r w:rsidRPr="001021CD">
        <w:t>,</w:t>
      </w:r>
    </w:p>
    <w:p w:rsidR="00033639" w:rsidRPr="001021CD" w:rsidRDefault="00033639" w:rsidP="00033639">
      <w:pPr>
        <w:pStyle w:val="NormalHanging12a"/>
      </w:pPr>
      <w:r w:rsidRPr="001021CD">
        <w:t>–</w:t>
      </w:r>
      <w:r w:rsidRPr="001021CD">
        <w:tab/>
        <w:t>като взе предвид окончателните годишни отчети на Европейската агенция по морска безопасност за финансовата 2022 година,</w:t>
      </w:r>
    </w:p>
    <w:p w:rsidR="00033639" w:rsidRPr="001021CD" w:rsidRDefault="00033639" w:rsidP="00033639">
      <w:pPr>
        <w:pStyle w:val="NormalHanging12a"/>
      </w:pPr>
      <w:r w:rsidRPr="001021CD">
        <w:t>–</w:t>
      </w:r>
      <w:r w:rsidRPr="001021CD">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1021CD">
        <w:rPr>
          <w:rStyle w:val="FootnoteReference"/>
        </w:rPr>
        <w:footnoteReference w:id="1"/>
      </w:r>
      <w:r w:rsidRPr="001021CD">
        <w:t>,</w:t>
      </w:r>
    </w:p>
    <w:p w:rsidR="00033639" w:rsidRPr="001021CD" w:rsidRDefault="00033639" w:rsidP="00033639">
      <w:pPr>
        <w:pStyle w:val="NormalHanging12a"/>
      </w:pPr>
      <w:r w:rsidRPr="001021CD">
        <w:t>–</w:t>
      </w:r>
      <w:r w:rsidRPr="001021CD">
        <w:tab/>
        <w:t>като взе предвид декларацията за достоверност</w:t>
      </w:r>
      <w:r w:rsidRPr="001021CD">
        <w:rPr>
          <w:rStyle w:val="FootnoteReference"/>
        </w:rPr>
        <w:footnoteReference w:id="2"/>
      </w:r>
      <w:r w:rsidRPr="001021CD">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033639" w:rsidRPr="001021CD" w:rsidRDefault="00033639" w:rsidP="00033639">
      <w:pPr>
        <w:pStyle w:val="NormalHanging12a"/>
      </w:pPr>
      <w:r w:rsidRPr="001021CD">
        <w:t>–</w:t>
      </w:r>
      <w:r w:rsidRPr="001021CD">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A860F3" w:rsidRPr="00A860F3">
        <w:t>06180</w:t>
      </w:r>
      <w:r w:rsidRPr="001021CD">
        <w:t>/2024 – C9</w:t>
      </w:r>
      <w:r w:rsidRPr="001021CD">
        <w:noBreakHyphen/>
      </w:r>
      <w:r w:rsidR="00A860F3" w:rsidRPr="00A860F3">
        <w:t>0096</w:t>
      </w:r>
      <w:r w:rsidRPr="001021CD">
        <w:t>/2024),</w:t>
      </w:r>
    </w:p>
    <w:p w:rsidR="00033639" w:rsidRPr="001021CD" w:rsidRDefault="00033639" w:rsidP="00033639">
      <w:pPr>
        <w:pStyle w:val="NormalHanging12a"/>
      </w:pPr>
      <w:r w:rsidRPr="001021CD">
        <w:t>–</w:t>
      </w:r>
      <w:r w:rsidRPr="001021CD">
        <w:tab/>
        <w:t>като взе предвид член 319 от Договора за функционирането на Европейския съюз,</w:t>
      </w:r>
    </w:p>
    <w:p w:rsidR="00033639" w:rsidRPr="001021CD" w:rsidRDefault="00033639" w:rsidP="00033639">
      <w:pPr>
        <w:pStyle w:val="NormalHanging12a"/>
      </w:pPr>
      <w:r w:rsidRPr="001021CD">
        <w:t>–</w:t>
      </w:r>
      <w:r w:rsidRPr="001021CD">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021CD">
        <w:rPr>
          <w:rStyle w:val="FootnoteReference"/>
        </w:rPr>
        <w:footnoteReference w:id="3"/>
      </w:r>
      <w:r w:rsidRPr="001021CD">
        <w:t xml:space="preserve">, и по-специално член 70 от </w:t>
      </w:r>
      <w:r w:rsidRPr="001021CD">
        <w:lastRenderedPageBreak/>
        <w:t>него,</w:t>
      </w:r>
    </w:p>
    <w:p w:rsidR="00033639" w:rsidRPr="001021CD" w:rsidRDefault="00033639" w:rsidP="00033639">
      <w:pPr>
        <w:pStyle w:val="NormalHanging12a"/>
      </w:pPr>
      <w:r w:rsidRPr="001021CD">
        <w:t>–</w:t>
      </w:r>
      <w:r w:rsidRPr="001021CD">
        <w:tab/>
        <w:t>като взе предвид Регламент (ЕО) № 1406/2002 на Европейския парламент и на Съвета от 27 юни 2002 г. за създаване на Европейска агенция за морска безопасност</w:t>
      </w:r>
      <w:r w:rsidRPr="001021CD">
        <w:rPr>
          <w:rStyle w:val="FootnoteReference"/>
        </w:rPr>
        <w:footnoteReference w:id="4"/>
      </w:r>
      <w:r w:rsidRPr="001021CD">
        <w:t>, и по-специално член 19 от него,</w:t>
      </w:r>
    </w:p>
    <w:p w:rsidR="00033639" w:rsidRPr="001021CD" w:rsidRDefault="00033639" w:rsidP="00033639">
      <w:pPr>
        <w:pStyle w:val="NormalHanging12a"/>
      </w:pPr>
      <w:r w:rsidRPr="001021CD">
        <w:t>–</w:t>
      </w:r>
      <w:r w:rsidRPr="001021CD">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021CD">
        <w:rPr>
          <w:rStyle w:val="FootnoteReference"/>
        </w:rPr>
        <w:footnoteReference w:id="5"/>
      </w:r>
      <w:r w:rsidRPr="001021CD">
        <w:t>, и по-специално член 105 от него,</w:t>
      </w:r>
    </w:p>
    <w:p w:rsidR="00033639" w:rsidRPr="001021CD" w:rsidRDefault="00033639" w:rsidP="00033639">
      <w:pPr>
        <w:pStyle w:val="NormalHanging12a"/>
      </w:pPr>
      <w:r w:rsidRPr="001021CD">
        <w:t>–</w:t>
      </w:r>
      <w:r w:rsidRPr="001021CD">
        <w:tab/>
        <w:t>като взе предвид член 100 и приложение V към своя Правилник за дейността,</w:t>
      </w:r>
    </w:p>
    <w:p w:rsidR="00033639" w:rsidRPr="001021CD" w:rsidRDefault="00033639" w:rsidP="00033639">
      <w:pPr>
        <w:pStyle w:val="NormalHanging12a"/>
      </w:pPr>
      <w:r w:rsidRPr="001021CD">
        <w:t>–</w:t>
      </w:r>
      <w:r w:rsidRPr="001021CD">
        <w:tab/>
        <w:t>като взе предвид становището на комисията по транспорт и туризъм,</w:t>
      </w:r>
    </w:p>
    <w:p w:rsidR="00033639" w:rsidRPr="001021CD" w:rsidRDefault="00033639" w:rsidP="00033639">
      <w:pPr>
        <w:pStyle w:val="NormalHanging12a"/>
      </w:pPr>
      <w:r w:rsidRPr="001021CD">
        <w:t>–</w:t>
      </w:r>
      <w:r w:rsidRPr="001021CD">
        <w:tab/>
        <w:t>като взе предвид доклада на комисията по бюджетен контрол (A9-0107/2024),</w:t>
      </w:r>
    </w:p>
    <w:p w:rsidR="00033639" w:rsidRPr="001021CD" w:rsidRDefault="00033639" w:rsidP="00033639">
      <w:pPr>
        <w:pStyle w:val="NormalHanging12a"/>
      </w:pPr>
      <w:r w:rsidRPr="001021CD">
        <w:t>1.</w:t>
      </w:r>
      <w:r w:rsidRPr="001021CD">
        <w:tab/>
        <w:t>освобождава от отговорност изпълнителния директор на Европейската агенция по морска безопасност във връзка с изпълнението на бюджета на Агенцията за финансовата 2022 година;</w:t>
      </w:r>
    </w:p>
    <w:p w:rsidR="00033639" w:rsidRPr="001021CD" w:rsidRDefault="00033639" w:rsidP="00033639">
      <w:pPr>
        <w:pStyle w:val="NormalHanging12a"/>
      </w:pPr>
      <w:r w:rsidRPr="001021CD">
        <w:t>2.</w:t>
      </w:r>
      <w:r w:rsidRPr="001021CD">
        <w:tab/>
        <w:t>представя своите забележки в резолюцията по-долу;</w:t>
      </w:r>
    </w:p>
    <w:p w:rsidR="00033639" w:rsidRPr="001021CD" w:rsidRDefault="00033639" w:rsidP="00033639">
      <w:pPr>
        <w:pStyle w:val="NormalHanging12a"/>
      </w:pPr>
      <w:r w:rsidRPr="001021CD">
        <w:t>3.</w:t>
      </w:r>
      <w:r w:rsidRPr="001021CD">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по морска безопасност, на Съвета, Комисията и Сметната палата и да осигури публикуването им в </w:t>
      </w:r>
      <w:r w:rsidRPr="001021CD">
        <w:rPr>
          <w:i/>
        </w:rPr>
        <w:t>Официален вестник на Европейския съюз</w:t>
      </w:r>
      <w:r w:rsidRPr="001021CD">
        <w:t xml:space="preserve"> (серия L).</w:t>
      </w:r>
    </w:p>
    <w:p w:rsidR="00033639" w:rsidRPr="001021CD" w:rsidRDefault="00033639" w:rsidP="00033639"/>
    <w:p w:rsidR="00033639" w:rsidRPr="001021CD" w:rsidRDefault="00033639" w:rsidP="00033639">
      <w:pPr>
        <w:widowControl/>
        <w:rPr>
          <w:rFonts w:ascii="Arial" w:hAnsi="Arial" w:cs="Arial"/>
          <w:b/>
        </w:rPr>
        <w:sectPr w:rsidR="00033639" w:rsidRPr="001021CD" w:rsidSect="001021C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33639" w:rsidRPr="001021CD" w:rsidRDefault="00033639" w:rsidP="00B9028F">
      <w:pPr>
        <w:pStyle w:val="ATHeading3"/>
      </w:pPr>
      <w:bookmarkStart w:id="8" w:name="_Toc146811167"/>
      <w:bookmarkStart w:id="9" w:name="_Toc161924779"/>
      <w:r w:rsidRPr="001021CD">
        <w:lastRenderedPageBreak/>
        <w:t xml:space="preserve">2. </w:t>
      </w:r>
      <w:r w:rsidR="00B9028F" w:rsidRPr="001021CD">
        <w:t>Решение на Европейския парламент</w:t>
      </w:r>
      <w:bookmarkEnd w:id="8"/>
      <w:bookmarkEnd w:id="9"/>
      <w:r w:rsidR="00B9028F" w:rsidRPr="001021CD">
        <w:t xml:space="preserve"> от </w:t>
      </w:r>
      <w:r w:rsidR="00B9028F">
        <w:t>11 април</w:t>
      </w:r>
      <w:r w:rsidR="00B9028F" w:rsidRPr="001021CD">
        <w:t xml:space="preserve"> 2024 г.</w:t>
      </w:r>
      <w:r w:rsidR="00B9028F">
        <w:t xml:space="preserve"> </w:t>
      </w:r>
      <w:r w:rsidRPr="001021CD">
        <w:t>относно приключването на сметките на Европейската агенция по морска безопасност за финансовата 2022 година</w:t>
      </w:r>
      <w:r w:rsidR="00B9028F">
        <w:t xml:space="preserve"> </w:t>
      </w:r>
      <w:r w:rsidRPr="001021CD">
        <w:t>(2023/2158(DEC))</w:t>
      </w:r>
    </w:p>
    <w:p w:rsidR="00033639" w:rsidRPr="001021CD" w:rsidRDefault="00033639" w:rsidP="00033639">
      <w:pPr>
        <w:pStyle w:val="EPComma"/>
      </w:pPr>
      <w:r w:rsidRPr="001021CD">
        <w:rPr>
          <w:i/>
        </w:rPr>
        <w:t>Европейският парламент</w:t>
      </w:r>
      <w:r w:rsidRPr="001021CD">
        <w:t>,</w:t>
      </w:r>
    </w:p>
    <w:p w:rsidR="00033639" w:rsidRPr="001021CD" w:rsidRDefault="00033639" w:rsidP="00033639">
      <w:pPr>
        <w:pStyle w:val="NormalHanging12a"/>
      </w:pPr>
      <w:r w:rsidRPr="001021CD">
        <w:t>–</w:t>
      </w:r>
      <w:r w:rsidRPr="001021CD">
        <w:tab/>
        <w:t>като взе предвид окончателните годишни отчети на Европейската агенция по морска безопасност за финансовата 2022 година,</w:t>
      </w:r>
    </w:p>
    <w:p w:rsidR="00033639" w:rsidRPr="001021CD" w:rsidRDefault="00033639" w:rsidP="00033639">
      <w:pPr>
        <w:pStyle w:val="NormalHanging12a"/>
      </w:pPr>
      <w:r w:rsidRPr="001021CD">
        <w:t>–</w:t>
      </w:r>
      <w:r w:rsidRPr="001021CD">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1021CD">
        <w:rPr>
          <w:rStyle w:val="FootnoteReference"/>
        </w:rPr>
        <w:footnoteReference w:id="6"/>
      </w:r>
      <w:r w:rsidRPr="001021CD">
        <w:t>,</w:t>
      </w:r>
    </w:p>
    <w:p w:rsidR="00033639" w:rsidRPr="001021CD" w:rsidRDefault="00033639" w:rsidP="00033639">
      <w:pPr>
        <w:pStyle w:val="NormalHanging12a"/>
      </w:pPr>
      <w:r w:rsidRPr="001021CD">
        <w:t>–</w:t>
      </w:r>
      <w:r w:rsidRPr="001021CD">
        <w:tab/>
        <w:t>като взе предвид декларацията за достоверност</w:t>
      </w:r>
      <w:r w:rsidRPr="001021CD">
        <w:rPr>
          <w:rStyle w:val="FootnoteReference"/>
        </w:rPr>
        <w:footnoteReference w:id="7"/>
      </w:r>
      <w:r w:rsidRPr="001021CD">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033639" w:rsidRPr="001021CD" w:rsidRDefault="00033639" w:rsidP="00033639">
      <w:pPr>
        <w:pStyle w:val="NormalHanging12a"/>
      </w:pPr>
      <w:r w:rsidRPr="001021CD">
        <w:t>–</w:t>
      </w:r>
      <w:r w:rsidRPr="001021CD">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A860F3" w:rsidRPr="00A860F3">
        <w:t>06180</w:t>
      </w:r>
      <w:r w:rsidRPr="001021CD">
        <w:t>/2024 – C9</w:t>
      </w:r>
      <w:r w:rsidRPr="001021CD">
        <w:noBreakHyphen/>
      </w:r>
      <w:r w:rsidR="00A860F3" w:rsidRPr="00A860F3">
        <w:t>0096</w:t>
      </w:r>
      <w:r w:rsidRPr="001021CD">
        <w:t>/2024),</w:t>
      </w:r>
    </w:p>
    <w:p w:rsidR="00033639" w:rsidRPr="001021CD" w:rsidRDefault="00033639" w:rsidP="00033639">
      <w:pPr>
        <w:pStyle w:val="NormalHanging12a"/>
      </w:pPr>
      <w:r w:rsidRPr="001021CD">
        <w:t>–</w:t>
      </w:r>
      <w:r w:rsidRPr="001021CD">
        <w:tab/>
        <w:t>като взе предвид член 319 от Договора за функционирането на Европейския съюз,</w:t>
      </w:r>
    </w:p>
    <w:p w:rsidR="00033639" w:rsidRPr="001021CD" w:rsidRDefault="00033639" w:rsidP="00033639">
      <w:pPr>
        <w:pStyle w:val="NormalHanging12a"/>
      </w:pPr>
      <w:r w:rsidRPr="001021CD">
        <w:t>–</w:t>
      </w:r>
      <w:r w:rsidRPr="001021CD">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021CD">
        <w:rPr>
          <w:rStyle w:val="FootnoteReference"/>
        </w:rPr>
        <w:footnoteReference w:id="8"/>
      </w:r>
      <w:r w:rsidRPr="001021CD">
        <w:t>, и по-специално член 70 от него,</w:t>
      </w:r>
    </w:p>
    <w:p w:rsidR="00033639" w:rsidRPr="001021CD" w:rsidRDefault="00033639" w:rsidP="00033639">
      <w:pPr>
        <w:pStyle w:val="NormalHanging12a"/>
      </w:pPr>
      <w:r w:rsidRPr="001021CD">
        <w:t>–</w:t>
      </w:r>
      <w:r w:rsidRPr="001021CD">
        <w:tab/>
        <w:t>като взе предвид Регламент (ЕО) № 1406/2002 на Европейския парламент и на Съвета от 27 юни 2002 г. за създаване на Европейска агенция за морска безопасност</w:t>
      </w:r>
      <w:r w:rsidRPr="001021CD">
        <w:rPr>
          <w:rStyle w:val="FootnoteReference"/>
        </w:rPr>
        <w:footnoteReference w:id="9"/>
      </w:r>
      <w:r w:rsidRPr="001021CD">
        <w:t>, и по-специално член 19 от него,</w:t>
      </w:r>
    </w:p>
    <w:p w:rsidR="00033639" w:rsidRPr="001021CD" w:rsidRDefault="00033639" w:rsidP="00033639">
      <w:pPr>
        <w:pStyle w:val="NormalHanging12a"/>
      </w:pPr>
      <w:r w:rsidRPr="001021CD">
        <w:t>–</w:t>
      </w:r>
      <w:r w:rsidRPr="001021CD">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021CD">
        <w:rPr>
          <w:rStyle w:val="FootnoteReference"/>
        </w:rPr>
        <w:footnoteReference w:id="10"/>
      </w:r>
      <w:r w:rsidRPr="001021CD">
        <w:t>, и по-специално член 105 от него,</w:t>
      </w:r>
    </w:p>
    <w:p w:rsidR="00033639" w:rsidRPr="001021CD" w:rsidRDefault="00033639" w:rsidP="00033639">
      <w:pPr>
        <w:pStyle w:val="NormalHanging12a"/>
      </w:pPr>
      <w:r w:rsidRPr="001021CD">
        <w:t>–</w:t>
      </w:r>
      <w:r w:rsidRPr="001021CD">
        <w:tab/>
        <w:t>като взе предвид член 100 и приложение V към своя Правилник за дейността,</w:t>
      </w:r>
    </w:p>
    <w:p w:rsidR="00033639" w:rsidRPr="001021CD" w:rsidRDefault="00033639" w:rsidP="00033639">
      <w:pPr>
        <w:pStyle w:val="NormalHanging12a"/>
      </w:pPr>
      <w:r w:rsidRPr="001021CD">
        <w:t>–</w:t>
      </w:r>
      <w:r w:rsidRPr="001021CD">
        <w:tab/>
        <w:t>като взе предвид становището на комисията по транспорт и туризъм,</w:t>
      </w:r>
    </w:p>
    <w:p w:rsidR="00033639" w:rsidRPr="001021CD" w:rsidRDefault="00033639" w:rsidP="00033639">
      <w:pPr>
        <w:pStyle w:val="NormalHanging12a"/>
      </w:pPr>
      <w:r w:rsidRPr="001021CD">
        <w:lastRenderedPageBreak/>
        <w:t>–</w:t>
      </w:r>
      <w:r w:rsidRPr="001021CD">
        <w:tab/>
        <w:t>като взе предвид доклада на комисията по бюджетен контрол (A9-0107/2024),</w:t>
      </w:r>
    </w:p>
    <w:p w:rsidR="00033639" w:rsidRPr="001021CD" w:rsidRDefault="00033639" w:rsidP="00033639">
      <w:pPr>
        <w:pStyle w:val="NormalHanging12a"/>
      </w:pPr>
      <w:r w:rsidRPr="001021CD">
        <w:t>1.</w:t>
      </w:r>
      <w:r w:rsidRPr="001021CD">
        <w:tab/>
        <w:t>одобрява приключването на сметките на Европейската агенция по морска безопасност за финансовата 2022 година;</w:t>
      </w:r>
    </w:p>
    <w:p w:rsidR="00033639" w:rsidRPr="001021CD" w:rsidRDefault="00033639" w:rsidP="00033639">
      <w:pPr>
        <w:pStyle w:val="NormalHanging12a"/>
      </w:pPr>
      <w:r w:rsidRPr="001021CD">
        <w:t>2.</w:t>
      </w:r>
      <w:r w:rsidRPr="001021CD">
        <w:tab/>
        <w:t xml:space="preserve">възлага на своя председател да предаде настоящото решение на изпълнителния директор на Европейската агенция по морска безопасност, на Съвета, Комисията и Сметната палата и да осигури публикуването му в </w:t>
      </w:r>
      <w:r w:rsidRPr="001021CD">
        <w:rPr>
          <w:i/>
        </w:rPr>
        <w:t>Официален вестник на Европейския съюз</w:t>
      </w:r>
      <w:r w:rsidRPr="001021CD">
        <w:t xml:space="preserve"> (серия L).</w:t>
      </w:r>
    </w:p>
    <w:p w:rsidR="00033639" w:rsidRPr="001021CD" w:rsidRDefault="00033639" w:rsidP="00033639"/>
    <w:p w:rsidR="00033639" w:rsidRPr="001021CD" w:rsidRDefault="00033639" w:rsidP="00033639">
      <w:pPr>
        <w:widowControl/>
        <w:rPr>
          <w:rFonts w:ascii="Arial" w:hAnsi="Arial" w:cs="Arial"/>
          <w:b/>
        </w:rPr>
        <w:sectPr w:rsidR="00033639" w:rsidRPr="001021CD" w:rsidSect="001021CD">
          <w:footnotePr>
            <w:numRestart w:val="eachPage"/>
          </w:footnotePr>
          <w:endnotePr>
            <w:numFmt w:val="decimal"/>
          </w:endnotePr>
          <w:pgSz w:w="11906" w:h="16838"/>
          <w:pgMar w:top="1134" w:right="1418" w:bottom="1418" w:left="1418" w:header="567" w:footer="567" w:gutter="0"/>
          <w:cols w:space="720"/>
          <w:docGrid w:linePitch="326"/>
        </w:sectPr>
      </w:pPr>
    </w:p>
    <w:p w:rsidR="00033639" w:rsidRPr="001021CD" w:rsidRDefault="00033639" w:rsidP="00B9028F">
      <w:pPr>
        <w:pStyle w:val="ATHeading3"/>
      </w:pPr>
      <w:bookmarkStart w:id="10" w:name="_Toc146811168"/>
      <w:bookmarkStart w:id="11" w:name="_Toc161924780"/>
      <w:r w:rsidRPr="001021CD">
        <w:lastRenderedPageBreak/>
        <w:t xml:space="preserve">3. </w:t>
      </w:r>
      <w:r w:rsidR="00B9028F" w:rsidRPr="001021CD">
        <w:t>Резолюция на Европейския парламент</w:t>
      </w:r>
      <w:bookmarkEnd w:id="10"/>
      <w:bookmarkEnd w:id="11"/>
      <w:r w:rsidR="00B9028F" w:rsidRPr="001021CD">
        <w:t xml:space="preserve"> от </w:t>
      </w:r>
      <w:r w:rsidR="00B9028F">
        <w:t>11 април</w:t>
      </w:r>
      <w:r w:rsidR="00B9028F" w:rsidRPr="001021CD">
        <w:t xml:space="preserve"> 2024 г.</w:t>
      </w:r>
      <w:r w:rsidR="00B9028F">
        <w:t xml:space="preserve">, </w:t>
      </w:r>
      <w:r w:rsidRPr="001021CD">
        <w:t>съдържащ</w:t>
      </w:r>
      <w:r w:rsidR="00B9028F">
        <w:t>а</w:t>
      </w:r>
      <w:r w:rsidRPr="001021CD">
        <w:t xml:space="preserve"> забележките, които са неразделна част от решението за освобождаване от отговорност във връзка с изпълнението на бюджета на Европейската агенция по морска безопасност за финансовата 2022 година</w:t>
      </w:r>
      <w:r w:rsidR="00B9028F">
        <w:t xml:space="preserve"> </w:t>
      </w:r>
      <w:r w:rsidRPr="001021CD">
        <w:t>(2023/2158(DEC))</w:t>
      </w:r>
    </w:p>
    <w:p w:rsidR="00033639" w:rsidRPr="001021CD" w:rsidRDefault="00033639" w:rsidP="00033639">
      <w:pPr>
        <w:pStyle w:val="EPComma"/>
      </w:pPr>
      <w:r w:rsidRPr="001021CD">
        <w:rPr>
          <w:i/>
        </w:rPr>
        <w:t>Европейският парламент</w:t>
      </w:r>
      <w:r w:rsidRPr="001021CD">
        <w:t>,</w:t>
      </w:r>
    </w:p>
    <w:p w:rsidR="00033639" w:rsidRPr="001021CD" w:rsidRDefault="00033639" w:rsidP="00033639">
      <w:pPr>
        <w:pStyle w:val="NormalHanging12a"/>
      </w:pPr>
      <w:r w:rsidRPr="001021CD">
        <w:t>–</w:t>
      </w:r>
      <w:r w:rsidRPr="001021CD">
        <w:tab/>
        <w:t>като взе предвид своето решение за освобождаване от отговорност във връзка с изпълнението на бюджета на Европейската агенция по морска безопасност за финансовата 2022 година,</w:t>
      </w:r>
    </w:p>
    <w:p w:rsidR="00033639" w:rsidRPr="001021CD" w:rsidRDefault="00033639" w:rsidP="00033639">
      <w:pPr>
        <w:pStyle w:val="NormalHanging12a"/>
      </w:pPr>
      <w:r w:rsidRPr="001021CD">
        <w:t>–</w:t>
      </w:r>
      <w:r w:rsidRPr="001021CD">
        <w:tab/>
        <w:t>като взе предвид член 100 и приложение V към своя Правилник за дейността,</w:t>
      </w:r>
    </w:p>
    <w:p w:rsidR="00033639" w:rsidRPr="001021CD" w:rsidRDefault="00033639" w:rsidP="00033639">
      <w:pPr>
        <w:pStyle w:val="NormalHanging12a"/>
      </w:pPr>
      <w:r w:rsidRPr="001021CD">
        <w:t>–</w:t>
      </w:r>
      <w:r w:rsidRPr="001021CD">
        <w:tab/>
        <w:t>като взе предвид становището на комисията по транспорт и туризъм,</w:t>
      </w:r>
    </w:p>
    <w:p w:rsidR="00033639" w:rsidRPr="001021CD" w:rsidRDefault="00033639" w:rsidP="00033639">
      <w:pPr>
        <w:pStyle w:val="NormalHanging12a"/>
      </w:pPr>
      <w:r w:rsidRPr="001021CD">
        <w:t>–</w:t>
      </w:r>
      <w:r w:rsidRPr="001021CD">
        <w:tab/>
        <w:t>като взе предвид доклада на комисията по бюджетен контрол (A9-0107/2024),</w:t>
      </w:r>
    </w:p>
    <w:p w:rsidR="00033639" w:rsidRPr="001021CD" w:rsidRDefault="00033639" w:rsidP="00033639">
      <w:pPr>
        <w:spacing w:after="240"/>
        <w:ind w:left="567" w:hanging="567"/>
        <w:rPr>
          <w:szCs w:val="24"/>
        </w:rPr>
      </w:pPr>
      <w:r w:rsidRPr="001021CD">
        <w:t>А.</w:t>
      </w:r>
      <w:r w:rsidRPr="001021CD">
        <w:tab/>
        <w:t>като има предвид, че според отчета за приходите и разходите</w:t>
      </w:r>
      <w:r w:rsidRPr="001021CD">
        <w:rPr>
          <w:rStyle w:val="FootnoteReference"/>
          <w:szCs w:val="24"/>
        </w:rPr>
        <w:footnoteReference w:id="11"/>
      </w:r>
      <w:r w:rsidRPr="001021CD">
        <w:t xml:space="preserve"> на Европейската агенция по морска безопасност („Агенцията“), нейният окончателен бюджет за финансовата 2022 година възлиза на 115 807 269,88 EUR, което представлява увеличение с 9,48% спрямо 2021 г.; като има предвид, че бюджетът на Агенцията се осигурява от бюджета на Съюза и от оперативни приходи;</w:t>
      </w:r>
    </w:p>
    <w:p w:rsidR="00033639" w:rsidRPr="001021CD" w:rsidRDefault="00033639" w:rsidP="00033639">
      <w:pPr>
        <w:spacing w:after="240"/>
        <w:ind w:left="567" w:hanging="567"/>
        <w:rPr>
          <w:szCs w:val="24"/>
        </w:rPr>
      </w:pPr>
      <w:r w:rsidRPr="001021CD">
        <w:t>Б.</w:t>
      </w:r>
      <w:r w:rsidRPr="001021CD">
        <w:tab/>
        <w:t>като има предвид, че Сметната палата („Палатата“), в своя доклад относно годишните отчети на Агенцията за финансовата 2022 година („доклада на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033639" w:rsidRPr="001021CD" w:rsidRDefault="00033639" w:rsidP="00033639">
      <w:pPr>
        <w:spacing w:after="240"/>
        <w:ind w:left="567" w:hanging="567"/>
        <w:rPr>
          <w:szCs w:val="24"/>
        </w:rPr>
      </w:pPr>
      <w:r w:rsidRPr="001021CD">
        <w:t>В.</w:t>
      </w:r>
      <w:r w:rsidRPr="001021CD">
        <w:tab/>
        <w:t>като има предвид, че по отношение на обществените поръчки на Агенцията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033639" w:rsidRPr="001021CD" w:rsidRDefault="00033639" w:rsidP="00033639">
      <w:pPr>
        <w:widowControl/>
        <w:spacing w:after="240"/>
        <w:ind w:left="567" w:hanging="567"/>
        <w:rPr>
          <w:szCs w:val="24"/>
        </w:rPr>
      </w:pPr>
      <w:r w:rsidRPr="001021CD">
        <w:t>Г.</w:t>
      </w:r>
      <w:r w:rsidRPr="001021CD">
        <w:tab/>
        <w:t>като има предвид, че по отношение на системите за вътрешен контрол на Агенцията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033639" w:rsidRPr="001021CD" w:rsidRDefault="00033639" w:rsidP="00033639">
      <w:pPr>
        <w:spacing w:after="240"/>
        <w:ind w:left="567" w:hanging="567"/>
        <w:rPr>
          <w:b/>
          <w:i/>
          <w:szCs w:val="24"/>
        </w:rPr>
      </w:pPr>
      <w:r w:rsidRPr="001021CD">
        <w:rPr>
          <w:b/>
          <w:i/>
        </w:rPr>
        <w:t>Бюджетно и финансово управление</w:t>
      </w:r>
    </w:p>
    <w:p w:rsidR="00033639" w:rsidRPr="001021CD" w:rsidRDefault="00033639" w:rsidP="00033639">
      <w:pPr>
        <w:spacing w:after="240"/>
        <w:ind w:left="567" w:hanging="567"/>
        <w:rPr>
          <w:szCs w:val="24"/>
        </w:rPr>
      </w:pPr>
      <w:r w:rsidRPr="001021CD">
        <w:t>1.</w:t>
      </w:r>
      <w:r w:rsidRPr="001021CD">
        <w:tab/>
        <w:t>отбелязва със задоволство,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99,80%, което представлява леко увеличение с 0,14% спрямо 2021 г., и че степента на изпълнение за бюджетните кредити за плащания за текущата година е 98,42%, което също представлява увеличение с 1,10%;</w:t>
      </w:r>
    </w:p>
    <w:p w:rsidR="00033639" w:rsidRPr="001021CD" w:rsidRDefault="00033639" w:rsidP="00033639">
      <w:pPr>
        <w:spacing w:after="240"/>
        <w:ind w:left="567" w:hanging="567"/>
        <w:rPr>
          <w:b/>
          <w:i/>
          <w:szCs w:val="24"/>
        </w:rPr>
      </w:pPr>
      <w:r w:rsidRPr="001021CD">
        <w:rPr>
          <w:b/>
          <w:i/>
        </w:rPr>
        <w:lastRenderedPageBreak/>
        <w:t>Резултати от дейността</w:t>
      </w:r>
    </w:p>
    <w:p w:rsidR="00033639" w:rsidRPr="001021CD" w:rsidRDefault="00033639" w:rsidP="00033639">
      <w:pPr>
        <w:spacing w:after="240"/>
        <w:ind w:left="567" w:hanging="567"/>
        <w:rPr>
          <w:szCs w:val="24"/>
        </w:rPr>
      </w:pPr>
      <w:r w:rsidRPr="001021CD">
        <w:t>2.</w:t>
      </w:r>
      <w:r w:rsidRPr="001021CD">
        <w:tab/>
        <w:t>приветства използването от Агенцията на ключови показатели за ефективността (КПИ) за измерване на изпълнението на годишната ѝ работна програма в ключовите области, за които Агенцията допринася (устойчивост, наблюдение, безопасност и сигурност, опростяване, цифровизация, техническа помощ, изграждане на капацитет и стратегическа подкрепа); приветства постигането на целите като цяло, като много малко цели изостават главно поради основателни причини; отбелязва освен това, че Агенцията е постигнала своите цели за 2022 г. в съответствие с годишната работна програма и многогодишната стратегическа рамка;</w:t>
      </w:r>
    </w:p>
    <w:p w:rsidR="00033639" w:rsidRPr="001021CD" w:rsidRDefault="00033639" w:rsidP="00033639">
      <w:pPr>
        <w:spacing w:after="240"/>
        <w:ind w:left="567" w:hanging="567"/>
        <w:rPr>
          <w:szCs w:val="24"/>
        </w:rPr>
      </w:pPr>
      <w:r w:rsidRPr="001021CD">
        <w:t>3.</w:t>
      </w:r>
      <w:r w:rsidRPr="001021CD">
        <w:tab/>
        <w:t xml:space="preserve">отбелязва, че Агенцията е участвала активно в няколко инициативи, свързани с Европейския зелен пакт, и е предоставила подкрепа и данни на Комисията и </w:t>
      </w:r>
      <w:r w:rsidR="00A860F3">
        <w:t xml:space="preserve">на </w:t>
      </w:r>
      <w:r w:rsidRPr="001021CD">
        <w:t xml:space="preserve">държавите членки със специален акцент върху различни предложения в рамките на пакета „Подготвени за цел 55“, като например инициативата </w:t>
      </w:r>
      <w:proofErr w:type="spellStart"/>
      <w:r w:rsidRPr="001021CD">
        <w:t>FuelEU</w:t>
      </w:r>
      <w:proofErr w:type="spellEnd"/>
      <w:r w:rsidRPr="001021CD">
        <w:t xml:space="preserve"> — сектор „Морско пространство“ и предложението, целящо разширяване на схемата за търговия с емисии, така че да обхване морския транспорт;</w:t>
      </w:r>
    </w:p>
    <w:p w:rsidR="00033639" w:rsidRPr="001021CD" w:rsidRDefault="00033639" w:rsidP="00033639">
      <w:pPr>
        <w:spacing w:after="240"/>
        <w:ind w:left="567" w:hanging="567"/>
        <w:rPr>
          <w:szCs w:val="24"/>
        </w:rPr>
      </w:pPr>
      <w:r w:rsidRPr="001021CD">
        <w:t>4.</w:t>
      </w:r>
      <w:r w:rsidRPr="001021CD">
        <w:tab/>
        <w:t xml:space="preserve">приветства факта, че Агенцията се е превърнала във важен фактор по отношение на мониторинга и докладването на представляващи интерес плавателни съдове след незаконното и </w:t>
      </w:r>
      <w:proofErr w:type="spellStart"/>
      <w:r w:rsidRPr="001021CD">
        <w:t>непровокирано</w:t>
      </w:r>
      <w:proofErr w:type="spellEnd"/>
      <w:r w:rsidRPr="001021CD">
        <w:t xml:space="preserve"> руско нашествие в Украйна през февруари 2022 г.; отбелязва в тази връзка, че Службата за морска подкрепа докладва на държавите членки и на Комисията за плавателни съдове, плаващи под руски флаг, за посещения на кораби в пристанища на ЕС на конкретни държави членки и на Комисията, както и за посещения на кораби, свързани със санкции (напр. внос на въглища);</w:t>
      </w:r>
    </w:p>
    <w:p w:rsidR="00033639" w:rsidRPr="001021CD" w:rsidRDefault="00033639" w:rsidP="00033639">
      <w:pPr>
        <w:spacing w:after="240"/>
        <w:ind w:left="567" w:hanging="567"/>
        <w:rPr>
          <w:szCs w:val="24"/>
        </w:rPr>
      </w:pPr>
      <w:r w:rsidRPr="001021CD">
        <w:t>5.</w:t>
      </w:r>
      <w:r w:rsidRPr="001021CD">
        <w:tab/>
        <w:t xml:space="preserve">отбелязва, че услугите на Агенцията за наблюдение на Земята са продължили да се развиват и да предоставят капацитет за наблюдение, с акцент върху европейската сателитна система за наблюдение на нефтени разливи, услугите за морско наблюдение по програмата „Коперник“ за </w:t>
      </w:r>
      <w:proofErr w:type="spellStart"/>
      <w:r w:rsidRPr="001021CD">
        <w:t>Frontex</w:t>
      </w:r>
      <w:proofErr w:type="spellEnd"/>
      <w:r w:rsidRPr="001021CD">
        <w:t xml:space="preserve"> и подкрепата при извънредни ситуации в морето в контекста на плана на Агенцията за действие при извънредни ситуации;</w:t>
      </w:r>
    </w:p>
    <w:p w:rsidR="00033639" w:rsidRPr="001021CD" w:rsidRDefault="00033639" w:rsidP="00033639">
      <w:pPr>
        <w:spacing w:after="240"/>
        <w:ind w:left="567" w:hanging="567"/>
        <w:rPr>
          <w:szCs w:val="24"/>
        </w:rPr>
      </w:pPr>
      <w:r w:rsidRPr="001021CD">
        <w:t>6.</w:t>
      </w:r>
      <w:r w:rsidRPr="001021CD">
        <w:tab/>
        <w:t xml:space="preserve">приветства предоставянето на техническа подкрепа от Агенцията на Комисията и </w:t>
      </w:r>
      <w:r w:rsidR="00A860F3">
        <w:t xml:space="preserve">на </w:t>
      </w:r>
      <w:r w:rsidRPr="001021CD">
        <w:t>Надзорния орган на ЕАСТ, с участието ѝ в инспекциите, организирани от тях с цел оценка и проверка на изпълнението и прилагането на законодателството на ЕС в областта на морската сигурност в държавите членки;</w:t>
      </w:r>
    </w:p>
    <w:p w:rsidR="00033639" w:rsidRPr="001021CD" w:rsidRDefault="00033639" w:rsidP="00033639">
      <w:pPr>
        <w:spacing w:after="240"/>
        <w:ind w:left="567" w:hanging="567"/>
        <w:rPr>
          <w:szCs w:val="24"/>
        </w:rPr>
      </w:pPr>
      <w:r w:rsidRPr="001021CD">
        <w:t>7.</w:t>
      </w:r>
      <w:r w:rsidRPr="001021CD">
        <w:tab/>
        <w:t>отбелязва, че през 2022 г. Агенцията е предоставила на Агенцията на Европейския съюз за сътрудничество в областта на правоприлагането (Европол) достъп до информационни услуги в областта на морското дело и наблюдението, за да подкрепи Европол в областта на правоприлагането и на дейностите на организираната престъпност по море;</w:t>
      </w:r>
    </w:p>
    <w:p w:rsidR="00033639" w:rsidRPr="001021CD" w:rsidRDefault="00033639" w:rsidP="00033639">
      <w:pPr>
        <w:spacing w:after="240"/>
        <w:ind w:left="567" w:hanging="567"/>
        <w:rPr>
          <w:i/>
          <w:szCs w:val="24"/>
        </w:rPr>
      </w:pPr>
      <w:r w:rsidRPr="001021CD">
        <w:t>8.</w:t>
      </w:r>
      <w:r w:rsidRPr="001021CD">
        <w:tab/>
        <w:t>отбелязва, че Агенцията е запазила ролята си на център за високи постижения за изграждане на капацитет, като е изпълнявала проекта ИПП II и завършила проекти за техническа помощ в Средиземно море (SAFEMED IV) и Черно и Каспийско море (BCSEA) през 2022 г.;</w:t>
      </w:r>
    </w:p>
    <w:p w:rsidR="00033639" w:rsidRPr="001021CD" w:rsidRDefault="00033639" w:rsidP="00033639">
      <w:pPr>
        <w:spacing w:after="240"/>
        <w:ind w:left="567" w:hanging="567"/>
      </w:pPr>
      <w:r w:rsidRPr="001021CD">
        <w:lastRenderedPageBreak/>
        <w:t>9.</w:t>
      </w:r>
      <w:r w:rsidRPr="001021CD">
        <w:tab/>
        <w:t>приветства подкрепата на Агенцията за Комисията в Международната морска организация (ИМО), по-специално на форуми като MEPC, PPR и CCC; тази подкрепа обхваща важни области като предотвратяване на замърсяването и устойчивост, включително стратегията на ИМО за намаляване на емисиите на парникови газове и въглеродния интензитет на корабоплаването, безопасността, оценката, внедряването и използването на устойчиви алтернативни горива и технологии, морските отпадъци и подводния шум; подчертава, че предстоящото разработване от ИМО на съответните изисквания и стандарти за използването на нови горива и технологии ще бъде от ключово значение за тяхното внедряване както на световно равнище, така и на равнището ЕС;</w:t>
      </w:r>
    </w:p>
    <w:p w:rsidR="00033639" w:rsidRPr="001021CD" w:rsidRDefault="00033639" w:rsidP="00033639">
      <w:pPr>
        <w:pStyle w:val="NormalHanging12a"/>
        <w:rPr>
          <w:b/>
          <w:i/>
          <w:color w:val="000000" w:themeColor="text1"/>
          <w:szCs w:val="24"/>
        </w:rPr>
      </w:pPr>
      <w:r w:rsidRPr="001021CD">
        <w:rPr>
          <w:b/>
          <w:i/>
          <w:color w:val="000000" w:themeColor="text1"/>
        </w:rPr>
        <w:t>Ефикасност и успехи</w:t>
      </w:r>
    </w:p>
    <w:p w:rsidR="00033639" w:rsidRPr="001021CD" w:rsidRDefault="00033639" w:rsidP="00033639">
      <w:pPr>
        <w:widowControl/>
        <w:spacing w:after="240"/>
        <w:ind w:left="567" w:hanging="567"/>
        <w:rPr>
          <w:szCs w:val="24"/>
        </w:rPr>
      </w:pPr>
      <w:r w:rsidRPr="001021CD">
        <w:rPr>
          <w:color w:val="000000" w:themeColor="text1"/>
        </w:rPr>
        <w:t>10.</w:t>
      </w:r>
      <w:r w:rsidRPr="001021CD">
        <w:rPr>
          <w:color w:val="000000" w:themeColor="text1"/>
        </w:rPr>
        <w:tab/>
      </w:r>
      <w:r w:rsidRPr="001021CD">
        <w:t xml:space="preserve">отбелязва, че в рамките на новия мандат за европейско сътрудничество по отношение на функциите за брегова охрана Агенцията е споделяла информация, експертен опит, процедури и учебни материали и инструменти с Европейската агенция за контрол на рибарството (EFCA) и </w:t>
      </w:r>
      <w:proofErr w:type="spellStart"/>
      <w:r w:rsidRPr="001021CD">
        <w:t>Frontex</w:t>
      </w:r>
      <w:proofErr w:type="spellEnd"/>
      <w:r w:rsidRPr="001021CD">
        <w:t>;</w:t>
      </w:r>
      <w:r w:rsidRPr="001021CD">
        <w:rPr>
          <w:color w:val="000000" w:themeColor="text1"/>
        </w:rPr>
        <w:t xml:space="preserve"> отбелязва освен това, че Агенцията продължава да работи в тясно сътрудничество с Европейския център за мониторинг на наркотици и наркомании (ЕЦМНН) с цел повишаване на ефективността и спестяване на разходи поради географската близост на двете агенции; приветства факта, че Агенцията е подкрепила ЕЦМНН чрез споделяне на знания по отношение на регистрацията по EMAS и че заедно с Европейската агенция за контрол на рибарството (EFCA) е продължила предоставянето на взаимна подкрепа за счетоводната функция и в двете агенции; </w:t>
      </w:r>
      <w:r w:rsidRPr="001021CD">
        <w:t>посочва хоризонталните ползи на съвместната работа и адаптирането на най-добрите практики, както и това, че съвместните инициативи обединяват различни гледни точки, намаляват дублирането на усилия, подобряват ученето и укрепват отношенията между участниците;</w:t>
      </w:r>
    </w:p>
    <w:p w:rsidR="00033639" w:rsidRPr="001021CD" w:rsidRDefault="00033639" w:rsidP="00033639">
      <w:pPr>
        <w:pStyle w:val="NormalHanging12a"/>
        <w:rPr>
          <w:color w:val="000000" w:themeColor="text1"/>
          <w:szCs w:val="24"/>
        </w:rPr>
      </w:pPr>
      <w:r w:rsidRPr="001021CD">
        <w:rPr>
          <w:color w:val="000000" w:themeColor="text1"/>
        </w:rPr>
        <w:t>11.</w:t>
      </w:r>
      <w:r w:rsidRPr="001021CD">
        <w:rPr>
          <w:color w:val="000000" w:themeColor="text1"/>
        </w:rPr>
        <w:tab/>
        <w:t>отбелязва, че Агенцията е работила за подобряване на своята ефикасност и ефективност чрез автоматизация на процедурите с цел значително намаляване на административното натоварване на конкретни служители, което им е позволило да се съсредоточат върху задачи в свързани области с по-висока добавена стойност; отбелязва, че освен това Агенцията е започнала пилотни проекти за квалифициран електронен подпис и интегриране на корпоративни инструменти в ARES; приканва Агенцията да намери повече вътрешни процедури, които биха могли да бъдат рационализирани чрез автоматизация;</w:t>
      </w:r>
    </w:p>
    <w:p w:rsidR="00033639" w:rsidRPr="001021CD" w:rsidRDefault="00033639" w:rsidP="00033639">
      <w:pPr>
        <w:spacing w:after="240"/>
        <w:ind w:left="567" w:hanging="567"/>
        <w:rPr>
          <w:b/>
          <w:i/>
          <w:szCs w:val="24"/>
        </w:rPr>
      </w:pPr>
      <w:r w:rsidRPr="001021CD">
        <w:rPr>
          <w:b/>
          <w:i/>
        </w:rPr>
        <w:t>Политика относно персонала</w:t>
      </w:r>
    </w:p>
    <w:p w:rsidR="00033639" w:rsidRPr="001021CD" w:rsidRDefault="00033639" w:rsidP="00033639">
      <w:pPr>
        <w:pStyle w:val="NormalHanging12a"/>
        <w:rPr>
          <w:szCs w:val="24"/>
        </w:rPr>
      </w:pPr>
      <w:r w:rsidRPr="001021CD">
        <w:t>12.</w:t>
      </w:r>
      <w:r w:rsidRPr="001021CD">
        <w:tab/>
        <w:t>отбелязва, че към 31 декември 2022 г. щатното разписание е било стабилно и изпълнено на 99,06%, с 210 длъжностни лица и срочно наети служители, назначени на общо 212-те длъжности, разрешени съгласно бюджета на Съюза (същия брой, както през 2021 г.); отбелязва, че през 2022 г. за Агенцията също така са работили 28 договорно наети служители и 16 командировани национални експерти;</w:t>
      </w:r>
    </w:p>
    <w:p w:rsidR="00033639" w:rsidRPr="001021CD" w:rsidRDefault="00033639" w:rsidP="00033639">
      <w:pPr>
        <w:pStyle w:val="NormalHanging12a"/>
      </w:pPr>
      <w:r w:rsidRPr="001021CD">
        <w:t>13.</w:t>
      </w:r>
      <w:r w:rsidRPr="001021CD">
        <w:tab/>
        <w:t xml:space="preserve">отбелязва липсата на равенство между половете сред членовете на висшето и средното ръководство на Агенцията, от които 5 от общо 16 са жени (31%); отбелязва липсата на баланс между половете сред членовете на управителния съвет на Агенцията, от които 10 от общо 57 са жени (18%); отбелязва също така </w:t>
      </w:r>
      <w:r w:rsidRPr="001021CD">
        <w:lastRenderedPageBreak/>
        <w:t>липсата на баланс между половете сред служителите на Агенцията като цяло, от които 99 от общо 264 са жени (38%); припомня, че е важно да се осигури баланс между половете и призовава Агенцията да взема предвид този аспект при набирането и назначаването на служители в рамките на висшето и средното си ръководство в бъдеще; приветства в тази връзка факта, че Агенцията е стартирала план за действие относно равенството между половете за периода 2022 – 2025 г., с акцент върху подобряването на баланса между половете и равенството в дългосрочен план въз основа на качеството; отправя искане към Комисията и държавите членки при номинирането на своите членове в управителния съвет на Агенцията да вземат предвид, че е важно да се осигури баланс между половете; насърчава Агенцията да приеме също така „Хартата за многообразието и приобщаването“ и да продължи да участва в инициативи, които насърчават многообразието и приобщаването на работното място;</w:t>
      </w:r>
    </w:p>
    <w:p w:rsidR="00033639" w:rsidRPr="001021CD" w:rsidRDefault="00033639" w:rsidP="00033639">
      <w:pPr>
        <w:spacing w:after="240"/>
        <w:ind w:left="567" w:hanging="567"/>
      </w:pPr>
      <w:r w:rsidRPr="001021CD">
        <w:t>14.</w:t>
      </w:r>
      <w:r w:rsidRPr="001021CD">
        <w:tab/>
        <w:t>подчертава продължаващите предизвикателства при набирането на командировани национални експерти (КНЕ) поради трудното привличането на експерти от държавите членки; посочва, че Агенцията е имала няколко неуспешни покани за представяне на кандидатури; предлага да се даде възможност на вътрешните договорно наети служители да преминат към следващата функционална група чрез обща процедура за подбор; що се отнася до повишаването на ефикасността, отбелязва, че Агенцията се стреми и работи за подобряване на своите процедури, за да повиши своята ефикасност и ефективност с цел оптимално използване на човешките и финансовите ресурси;</w:t>
      </w:r>
    </w:p>
    <w:p w:rsidR="00033639" w:rsidRPr="001021CD" w:rsidRDefault="00033639" w:rsidP="00033639">
      <w:pPr>
        <w:pStyle w:val="NormalHanging12a"/>
      </w:pPr>
      <w:r w:rsidRPr="001021CD">
        <w:t>15.</w:t>
      </w:r>
      <w:r w:rsidRPr="001021CD">
        <w:tab/>
        <w:t>приветства назначаването, в контекста на предотвратяването на тормоза на работното място, на шестима доверени съветници след успешно завършено задължително обучение, които понастоящем изпълняват активно тази си роля в Агенцията;</w:t>
      </w:r>
    </w:p>
    <w:p w:rsidR="00033639" w:rsidRPr="001021CD" w:rsidRDefault="00033639" w:rsidP="00033639">
      <w:pPr>
        <w:pStyle w:val="NormalHanging12a"/>
      </w:pPr>
      <w:r w:rsidRPr="001021CD">
        <w:t>16.</w:t>
      </w:r>
      <w:r w:rsidRPr="001021CD">
        <w:tab/>
        <w:t xml:space="preserve">отбелязва, че Агенцията е стартирала проект за стратегия в областта на човешките ресурси с провеждането на консултации със служителите, ръководството и комитета по персонала, проект за създаване на онлайн въвеждаща програма за </w:t>
      </w:r>
      <w:proofErr w:type="spellStart"/>
      <w:r w:rsidRPr="001021CD">
        <w:t>новопостъпилите</w:t>
      </w:r>
      <w:proofErr w:type="spellEnd"/>
      <w:r w:rsidRPr="001021CD">
        <w:t xml:space="preserve"> служители, както и подготвителна работа по решение относно работното време и хибридния модел на работа, с очакване те да бъдат приети през 2023 г.; отправя искане към Агенцията да информира редовно органа по освобождаване от отговорност за постигнатия напредък в това отношение;</w:t>
      </w:r>
    </w:p>
    <w:p w:rsidR="00033639" w:rsidRPr="001021CD" w:rsidRDefault="00033639" w:rsidP="00033639">
      <w:pPr>
        <w:pStyle w:val="NormalHanging12a"/>
        <w:rPr>
          <w:b/>
          <w:i/>
          <w:szCs w:val="24"/>
        </w:rPr>
      </w:pPr>
      <w:r w:rsidRPr="001021CD">
        <w:rPr>
          <w:b/>
          <w:i/>
        </w:rPr>
        <w:t>Предотвратяване и управление на конфликти на интереси и прозрачност</w:t>
      </w:r>
    </w:p>
    <w:p w:rsidR="00033639" w:rsidRPr="001021CD" w:rsidRDefault="00033639" w:rsidP="00033639">
      <w:pPr>
        <w:spacing w:after="240"/>
        <w:ind w:left="567" w:hanging="567"/>
        <w:rPr>
          <w:szCs w:val="24"/>
        </w:rPr>
      </w:pPr>
      <w:r w:rsidRPr="001021CD">
        <w:t>17.</w:t>
      </w:r>
      <w:r w:rsidRPr="001021CD">
        <w:tab/>
        <w:t>отбелязва, че от членовете на управителния съвет на Агенцията и техните заместниците се изисква да подписват Декларация за ангажираност и поверителност при назначаването си и ежегодно след това и да декларират всеки (потенциален) конфликт на интереси, който би могъл да наруши безпристрастността при разглеждането на която и да е точка от дневния ред в началото на всяко заседание на управителния съвет;  отбелязва, че всички служители (включително висшето ръководство, участващо в конкретни процедури) трябва да декларират (потенциалн</w:t>
      </w:r>
      <w:r w:rsidR="00A860F3">
        <w:t>и</w:t>
      </w:r>
      <w:r w:rsidRPr="001021CD">
        <w:t>) конфликт</w:t>
      </w:r>
      <w:r w:rsidR="00A860F3">
        <w:t>и</w:t>
      </w:r>
      <w:r w:rsidRPr="001021CD">
        <w:t xml:space="preserve"> на интереси при различни процедури, като възлагане на обществени поръчки и набиране на персонал;  отбелязва, че през 2022 г. е имало един случай на деклариран конфликт на интереси от член на комисията за подбор в процедура за набиране на персонал и че след анализ на декларирания конфликт на интереси този член е бил заменен;</w:t>
      </w:r>
    </w:p>
    <w:p w:rsidR="00033639" w:rsidRPr="001021CD" w:rsidRDefault="00033639" w:rsidP="00033639">
      <w:pPr>
        <w:spacing w:after="240"/>
        <w:ind w:left="567" w:hanging="567"/>
        <w:rPr>
          <w:szCs w:val="24"/>
        </w:rPr>
      </w:pPr>
      <w:r w:rsidRPr="001021CD">
        <w:lastRenderedPageBreak/>
        <w:t>18.</w:t>
      </w:r>
      <w:r w:rsidRPr="001021CD">
        <w:tab/>
        <w:t>отбелязва, че Агенцията е приела „Политика на управителния съвет на ЕАМБ относно конфликтите на интереси“, с която се установяват принципи за управление на безпристрастността и независимостта на неговите членове и техните заместници и се определят мерките за гарантиране на тяхното прилагане на практика с цел предотвратяване и смекчаване на риска от това минали, настоящи или бъдещи интереси да оказват неправомерно влияние върху безпристрастността и независимостта на членовете на управителния съвет в процеса на изпълнението на техните задължения;</w:t>
      </w:r>
    </w:p>
    <w:p w:rsidR="00033639" w:rsidRPr="001021CD" w:rsidRDefault="00033639" w:rsidP="00033639">
      <w:pPr>
        <w:spacing w:after="240"/>
        <w:ind w:left="567" w:hanging="567"/>
        <w:rPr>
          <w:szCs w:val="24"/>
        </w:rPr>
      </w:pPr>
      <w:r w:rsidRPr="001021CD">
        <w:t>19.</w:t>
      </w:r>
      <w:r w:rsidRPr="001021CD">
        <w:tab/>
        <w:t>отбелязва</w:t>
      </w:r>
      <w:r w:rsidR="00A860F3">
        <w:t xml:space="preserve"> факта</w:t>
      </w:r>
      <w:r w:rsidRPr="001021CD">
        <w:t>, че автобиографиите на членовете на управителния съвет и на ръководния персонал са публикувани на уебсайта на Агенцията;</w:t>
      </w:r>
    </w:p>
    <w:p w:rsidR="00033639" w:rsidRPr="001021CD" w:rsidRDefault="00033639" w:rsidP="00033639">
      <w:pPr>
        <w:pStyle w:val="Normal12Hanging"/>
        <w:rPr>
          <w:b/>
          <w:i/>
          <w:szCs w:val="24"/>
        </w:rPr>
      </w:pPr>
      <w:r w:rsidRPr="001021CD">
        <w:rPr>
          <w:b/>
          <w:i/>
        </w:rPr>
        <w:t>Други коментари</w:t>
      </w:r>
    </w:p>
    <w:p w:rsidR="00033639" w:rsidRPr="001021CD" w:rsidRDefault="00033639" w:rsidP="00033639">
      <w:pPr>
        <w:spacing w:after="240"/>
        <w:ind w:left="567" w:hanging="567"/>
        <w:rPr>
          <w:szCs w:val="24"/>
        </w:rPr>
      </w:pPr>
      <w:r w:rsidRPr="001021CD">
        <w:t>20.</w:t>
      </w:r>
      <w:r w:rsidRPr="001021CD">
        <w:tab/>
        <w:t>приветства пълното актуализиране и прецизиране на регистъра на риска през 2022 г. в съответствие с рамката за управление на риска на Агенцията и специалното внимание отделено на установяването на потенциалните рискове, свързани с измами, и на възможностите като цяло; приветства също така установяването и включването в актуализираните регистри на риска на някои нови рискове и възможности, произтичащи от кризата, предизвикана от нахлуването на Русия в Украйна;</w:t>
      </w:r>
    </w:p>
    <w:p w:rsidR="00033639" w:rsidRPr="001021CD" w:rsidRDefault="00033639" w:rsidP="00033639">
      <w:pPr>
        <w:spacing w:after="240"/>
        <w:ind w:left="567" w:hanging="567"/>
        <w:rPr>
          <w:szCs w:val="24"/>
        </w:rPr>
      </w:pPr>
      <w:r w:rsidRPr="001021CD">
        <w:t>21.</w:t>
      </w:r>
      <w:r w:rsidRPr="001021CD">
        <w:tab/>
        <w:t xml:space="preserve">приветства Агенцията за разработването на редица </w:t>
      </w:r>
      <w:r w:rsidRPr="001021CD">
        <w:rPr>
          <w:i/>
          <w:iCs/>
        </w:rPr>
        <w:t>ad hoc</w:t>
      </w:r>
      <w:r w:rsidRPr="001021CD">
        <w:t xml:space="preserve"> продукти за подпомагане на държавите членки и Комисията при прилагането на санкциите на ЕС, свързани с нахлуването на Руската федерация в Украйна, като докладване за посещения на кораби за конкретни товари и на кораби, плаващи под конкретни флагове; приветства също така разработването и предоставянето от Агенцията на съответните заинтересовани лица на месечни доклади относно въздействието на събитията в Украйна върху морския трафик и търговията;</w:t>
      </w:r>
    </w:p>
    <w:p w:rsidR="00033639" w:rsidRPr="001021CD" w:rsidRDefault="00033639" w:rsidP="00033639">
      <w:pPr>
        <w:spacing w:after="240"/>
        <w:ind w:left="567" w:hanging="567"/>
        <w:rPr>
          <w:szCs w:val="24"/>
        </w:rPr>
      </w:pPr>
      <w:r w:rsidRPr="001021CD">
        <w:t>22.</w:t>
      </w:r>
      <w:r w:rsidRPr="001021CD">
        <w:tab/>
        <w:t xml:space="preserve">приветства извършването на различни дейности за екологизиране от Агенцията през 2022 г., включително мащабна комуникационна кампания относно </w:t>
      </w:r>
      <w:proofErr w:type="spellStart"/>
      <w:r w:rsidRPr="001021CD">
        <w:t>екологизирането</w:t>
      </w:r>
      <w:proofErr w:type="spellEnd"/>
      <w:r w:rsidRPr="001021CD">
        <w:t>, създаването на офис с консумативи за многократна употреба, участие в Европейската седмица на мобилността и понижаване на основната температура в помещенията през зимния сезон;</w:t>
      </w:r>
    </w:p>
    <w:p w:rsidR="00033639" w:rsidRPr="001021CD" w:rsidRDefault="00033639" w:rsidP="00033639">
      <w:pPr>
        <w:spacing w:after="240"/>
        <w:ind w:left="567" w:hanging="567"/>
        <w:rPr>
          <w:szCs w:val="24"/>
        </w:rPr>
      </w:pPr>
      <w:r w:rsidRPr="001021CD">
        <w:t>23.</w:t>
      </w:r>
      <w:r w:rsidRPr="001021CD">
        <w:tab/>
        <w:t>припомня, че през 2019 г. Агенцията стартира инициативата „Екологизиране на ЕАМБ“ с цел въвеждане на схема за управление на околната среда, и отбелязва, че последната стъпка – външният одит за проверка, е направена през януари 2022 г.; отбелязва, че вследствие на това Агенцията е получила знака EMAS и публикувала своята екологична декларация;</w:t>
      </w:r>
    </w:p>
    <w:p w:rsidR="00033639" w:rsidRPr="001021CD" w:rsidRDefault="00033639" w:rsidP="00033639">
      <w:pPr>
        <w:spacing w:after="240"/>
        <w:ind w:left="567" w:hanging="567"/>
        <w:rPr>
          <w:szCs w:val="24"/>
        </w:rPr>
      </w:pPr>
      <w:r w:rsidRPr="001021CD">
        <w:t>24.</w:t>
      </w:r>
      <w:r w:rsidRPr="001021CD">
        <w:tab/>
        <w:t xml:space="preserve">отбелязва, че Агенцията е засилила сътрудничеството си с Агенцията на Европейския съюз за киберсигурност, като е участвала в пилотния проект за бъдещото прилагане на предстоящия Регламент за киберсигурността; отбелязва освен това, че Агенцията е засилила сътрудничеството си с екипа за незабавно реагиране при компютърни инциденти за институциите, органите и агенциите на ЕС CERT EU чрез подновяване на специално споразумение за нивото на обслужване, което сега включва повече действия, като по-голям брой оценки на сигурността, и чрез предоставяне на достъп за наблюдение в реално време на събития, свързани със сигурността в ИТ инфраструктурата на Агенцията; </w:t>
      </w:r>
      <w:r w:rsidRPr="001021CD">
        <w:lastRenderedPageBreak/>
        <w:t>отбелязва също така, че Агенцията извършва редовни оценки на сигурността със CERT EU и доставчика на междуинституционални услуги за сигурност на Съвета;</w:t>
      </w:r>
    </w:p>
    <w:p w:rsidR="00033639" w:rsidRPr="001021CD" w:rsidRDefault="00033639" w:rsidP="00033639">
      <w:pPr>
        <w:spacing w:after="240"/>
        <w:ind w:left="567" w:hanging="567"/>
        <w:rPr>
          <w:szCs w:val="24"/>
        </w:rPr>
      </w:pPr>
      <w:r w:rsidRPr="001021CD">
        <w:t>25.</w:t>
      </w:r>
      <w:r w:rsidRPr="001021CD">
        <w:tab/>
        <w:t>отбелязва, че Агенцията е приложила различни мерки, за да увеличи обществената си видимост и присъствието си онлайн, като организиране на конференции, споделяне на видеоматериали, обясняващи основните дейности и компетентности на Агенцията, излъчване на живо в реално време и стартирането на концепцията за „Ден на отворените врати на ЕАМБ“;</w:t>
      </w:r>
    </w:p>
    <w:p w:rsidR="00033639" w:rsidRPr="001021CD" w:rsidRDefault="00033639" w:rsidP="00033639">
      <w:pPr>
        <w:pStyle w:val="NormalHanging12a"/>
      </w:pPr>
      <w:r w:rsidRPr="001021CD">
        <w:t>26.</w:t>
      </w:r>
      <w:r w:rsidRPr="001021CD">
        <w:tab/>
        <w:t>приветства стремежа на Агенцията да подобри многоезичната си комуникация, осигурявайки по-голяма достъпност за всички европейски граждани; отбелязва, че петгодишната стратегия на Агенцията, Европейският доклад за морската среда и Европейският доклад за морска безопасност вече са достъпни на всички 24 езика на ЕС;</w:t>
      </w:r>
    </w:p>
    <w:p w:rsidR="00033639" w:rsidRPr="001021CD" w:rsidRDefault="00033639" w:rsidP="00033639">
      <w:pPr>
        <w:spacing w:after="240"/>
        <w:ind w:left="567" w:hanging="567"/>
      </w:pPr>
      <w:r w:rsidRPr="001021CD">
        <w:t>27.</w:t>
      </w:r>
      <w:r w:rsidRPr="001021CD">
        <w:tab/>
        <w:t>подчерта значението на дейностите на Агенцията в областта на морската сигурност и изисква продължаване на техническата помощ, която Агенцията оказва на Комисията по време на инспекциите в тази област в рамките на Регламент (ЕО) № 725/2004 на Европейския парламент и на Съвета относно подобряване на сигурността на корабите и на пристанищните съоръжения; подчертава същественото увеличаване на инцидентите в областта на киберсигурността в морския сектор през последните години;</w:t>
      </w:r>
    </w:p>
    <w:p w:rsidR="00033639" w:rsidRPr="001021CD" w:rsidRDefault="00033639" w:rsidP="00033639">
      <w:pPr>
        <w:spacing w:after="240"/>
        <w:ind w:left="567" w:hanging="567"/>
      </w:pPr>
      <w:r w:rsidRPr="001021CD">
        <w:t>28.</w:t>
      </w:r>
      <w:r w:rsidRPr="001021CD">
        <w:tab/>
        <w:t>призовава за насърчаване на цифровизацията на морския сектор чрез улесняване на електронното предаване на данни, подкрепа за опростяването и предоставяне на Комисията и на държавите членки на интегрирани системи и услуги за морско наблюдение и осведоменост;</w:t>
      </w:r>
    </w:p>
    <w:p w:rsidR="00033639" w:rsidRDefault="00033639" w:rsidP="00B9028F">
      <w:pPr>
        <w:spacing w:after="240"/>
        <w:ind w:left="567" w:hanging="567"/>
      </w:pPr>
      <w:r w:rsidRPr="001021CD">
        <w:t>29.</w:t>
      </w:r>
      <w:r w:rsidRPr="001021CD">
        <w:tab/>
        <w:t>подчертава, че растежът на флота на ЕС (както по отношение на корабите, така и по отношение на тонажа) е по-бавен в сравнение с растежа на флота в световен мащаб; през последните пет години флотът на ЕС се е увеличил с 3,4%, за разлика от световния флот, който отбелязва по-съществен ръст от 7%;</w:t>
      </w:r>
    </w:p>
    <w:p w:rsidR="00B9028F" w:rsidRDefault="00B9028F" w:rsidP="00B9028F">
      <w:pPr>
        <w:widowControl/>
        <w:spacing w:after="240"/>
        <w:jc w:val="center"/>
        <w:rPr>
          <w:szCs w:val="24"/>
        </w:rPr>
      </w:pPr>
      <w:r>
        <w:rPr>
          <w:szCs w:val="24"/>
        </w:rPr>
        <w:t>°</w:t>
      </w:r>
    </w:p>
    <w:p w:rsidR="00B9028F" w:rsidRDefault="00B9028F" w:rsidP="00B9028F">
      <w:pPr>
        <w:widowControl/>
        <w:spacing w:after="240"/>
        <w:jc w:val="center"/>
        <w:rPr>
          <w:szCs w:val="24"/>
        </w:rPr>
      </w:pPr>
      <w:r>
        <w:rPr>
          <w:szCs w:val="24"/>
        </w:rPr>
        <w:t>°     °</w:t>
      </w:r>
    </w:p>
    <w:p w:rsidR="00033639" w:rsidRPr="001021CD" w:rsidRDefault="00033639" w:rsidP="00033639">
      <w:pPr>
        <w:widowControl/>
        <w:ind w:left="567" w:hanging="567"/>
        <w:rPr>
          <w:szCs w:val="24"/>
        </w:rPr>
      </w:pPr>
      <w:r w:rsidRPr="001021CD">
        <w:t>30.</w:t>
      </w:r>
      <w:r w:rsidRPr="001021CD">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B9028F">
        <w:t>11 април 2024 г.</w:t>
      </w:r>
      <w:r w:rsidRPr="001021CD">
        <w:rPr>
          <w:rStyle w:val="FootnoteReference"/>
        </w:rPr>
        <w:footnoteReference w:id="12"/>
      </w:r>
      <w:r w:rsidRPr="001021CD">
        <w:t xml:space="preserve"> относно резултатите от дейността, финансовото управление и контрола на агенциите.</w:t>
      </w:r>
    </w:p>
    <w:p w:rsidR="00E365E1" w:rsidRPr="001021CD" w:rsidRDefault="00E365E1" w:rsidP="009318CB">
      <w:bookmarkStart w:id="13" w:name="TextBodyEnd"/>
      <w:bookmarkEnd w:id="13"/>
    </w:p>
    <w:sectPr w:rsidR="00E365E1" w:rsidRPr="001021CD" w:rsidSect="001021C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8CB" w:rsidRPr="001021CD" w:rsidRDefault="009318CB">
      <w:r w:rsidRPr="001021CD">
        <w:separator/>
      </w:r>
    </w:p>
  </w:endnote>
  <w:endnote w:type="continuationSeparator" w:id="0">
    <w:p w:rsidR="009318CB" w:rsidRPr="001021CD" w:rsidRDefault="009318CB">
      <w:r w:rsidRPr="001021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639" w:rsidRPr="001021CD" w:rsidRDefault="00033639" w:rsidP="006B4610">
    <w:pPr>
      <w:pStyle w:val="EPFooter"/>
    </w:pPr>
    <w:r w:rsidRPr="001021CD">
      <w:t>PE</w:t>
    </w:r>
    <w:r w:rsidRPr="001021CD">
      <w:rPr>
        <w:rStyle w:val="HideTWBExt"/>
      </w:rPr>
      <w:t>&lt;</w:t>
    </w:r>
    <w:proofErr w:type="spellStart"/>
    <w:r w:rsidRPr="001021CD">
      <w:rPr>
        <w:rStyle w:val="HideTWBExt"/>
      </w:rPr>
      <w:t>NoPE</w:t>
    </w:r>
    <w:proofErr w:type="spellEnd"/>
    <w:r w:rsidRPr="001021CD">
      <w:rPr>
        <w:rStyle w:val="HideTWBExt"/>
      </w:rPr>
      <w:t>&gt;</w:t>
    </w:r>
    <w:r w:rsidRPr="001021CD">
      <w:t>753.526</w:t>
    </w:r>
    <w:r w:rsidRPr="001021CD">
      <w:rPr>
        <w:rStyle w:val="HideTWBExt"/>
      </w:rPr>
      <w:t>&lt;/</w:t>
    </w:r>
    <w:proofErr w:type="spellStart"/>
    <w:r w:rsidRPr="001021CD">
      <w:rPr>
        <w:rStyle w:val="HideTWBExt"/>
      </w:rPr>
      <w:t>NoPE</w:t>
    </w:r>
    <w:proofErr w:type="spellEnd"/>
    <w:r w:rsidRPr="001021CD">
      <w:rPr>
        <w:rStyle w:val="HideTWBExt"/>
      </w:rPr>
      <w:t>&gt;&lt;Version&gt;</w:t>
    </w:r>
    <w:r w:rsidRPr="001021CD">
      <w:t>v02-00</w:t>
    </w:r>
    <w:r w:rsidRPr="001021CD">
      <w:rPr>
        <w:rStyle w:val="HideTWBExt"/>
      </w:rPr>
      <w:t>&lt;/</w:t>
    </w:r>
    <w:proofErr w:type="spellStart"/>
    <w:r w:rsidRPr="001021CD">
      <w:rPr>
        <w:rStyle w:val="HideTWBExt"/>
      </w:rPr>
      <w:t>Version</w:t>
    </w:r>
    <w:proofErr w:type="spellEnd"/>
    <w:r w:rsidRPr="001021CD">
      <w:rPr>
        <w:rStyle w:val="HideTWBExt"/>
      </w:rPr>
      <w:t>&gt;</w:t>
    </w:r>
    <w:r w:rsidRPr="001021CD">
      <w:tab/>
    </w:r>
    <w:r w:rsidRPr="001021CD">
      <w:fldChar w:fldCharType="begin"/>
    </w:r>
    <w:r w:rsidRPr="001021CD">
      <w:instrText xml:space="preserve"> PAGE  \* MERGEFORMAT </w:instrText>
    </w:r>
    <w:r w:rsidRPr="001021CD">
      <w:fldChar w:fldCharType="separate"/>
    </w:r>
    <w:r w:rsidR="001021CD" w:rsidRPr="001021CD">
      <w:rPr>
        <w:noProof/>
      </w:rPr>
      <w:t>2</w:t>
    </w:r>
    <w:r w:rsidRPr="001021CD">
      <w:fldChar w:fldCharType="end"/>
    </w:r>
    <w:r w:rsidRPr="001021CD">
      <w:t>/</w:t>
    </w:r>
    <w:r w:rsidR="00635B4B">
      <w:fldChar w:fldCharType="begin"/>
    </w:r>
    <w:r w:rsidR="00635B4B">
      <w:instrText xml:space="preserve"> NUMPAGES  \* MERGEFORMAT </w:instrText>
    </w:r>
    <w:r w:rsidR="00635B4B">
      <w:fldChar w:fldCharType="separate"/>
    </w:r>
    <w:r w:rsidR="001021CD" w:rsidRPr="001021CD">
      <w:rPr>
        <w:noProof/>
      </w:rPr>
      <w:t>3</w:t>
    </w:r>
    <w:r w:rsidR="00635B4B">
      <w:rPr>
        <w:noProof/>
      </w:rPr>
      <w:fldChar w:fldCharType="end"/>
    </w:r>
    <w:r w:rsidRPr="001021CD">
      <w:tab/>
    </w:r>
    <w:r w:rsidRPr="001021CD">
      <w:rPr>
        <w:rStyle w:val="HideTWBExt"/>
      </w:rPr>
      <w:t>&lt;PathFdR&gt;</w:t>
    </w:r>
    <w:r w:rsidRPr="001021CD">
      <w:t>RR\1298830BG.docx</w:t>
    </w:r>
    <w:r w:rsidRPr="001021CD">
      <w:rPr>
        <w:rStyle w:val="HideTWBExt"/>
      </w:rPr>
      <w:t>&lt;/</w:t>
    </w:r>
    <w:proofErr w:type="spellStart"/>
    <w:r w:rsidRPr="001021CD">
      <w:rPr>
        <w:rStyle w:val="HideTWBExt"/>
      </w:rPr>
      <w:t>PathFdR</w:t>
    </w:r>
    <w:proofErr w:type="spellEnd"/>
    <w:r w:rsidRPr="001021CD">
      <w:rPr>
        <w:rStyle w:val="HideTWBExt"/>
      </w:rPr>
      <w:t>&gt;</w:t>
    </w:r>
  </w:p>
  <w:p w:rsidR="00033639" w:rsidRPr="001021CD" w:rsidRDefault="00033639" w:rsidP="006B4610">
    <w:pPr>
      <w:pStyle w:val="EPFooter2"/>
    </w:pPr>
    <w:r w:rsidRPr="001021CD">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639" w:rsidRPr="001021CD" w:rsidRDefault="00033639" w:rsidP="006B4610">
    <w:pPr>
      <w:pStyle w:val="EPFooter"/>
    </w:pPr>
    <w:r w:rsidRPr="001021CD">
      <w:rPr>
        <w:rStyle w:val="HideTWBExt"/>
      </w:rPr>
      <w:t>&lt;PathFdR&gt;</w:t>
    </w:r>
    <w:r w:rsidRPr="001021CD">
      <w:t>RR\1298830BG.docx</w:t>
    </w:r>
    <w:r w:rsidRPr="001021CD">
      <w:rPr>
        <w:rStyle w:val="HideTWBExt"/>
      </w:rPr>
      <w:t>&lt;/</w:t>
    </w:r>
    <w:proofErr w:type="spellStart"/>
    <w:r w:rsidRPr="001021CD">
      <w:rPr>
        <w:rStyle w:val="HideTWBExt"/>
      </w:rPr>
      <w:t>PathFdR</w:t>
    </w:r>
    <w:proofErr w:type="spellEnd"/>
    <w:r w:rsidRPr="001021CD">
      <w:rPr>
        <w:rStyle w:val="HideTWBExt"/>
      </w:rPr>
      <w:t>&gt;</w:t>
    </w:r>
    <w:r w:rsidRPr="001021CD">
      <w:tab/>
    </w:r>
    <w:r w:rsidRPr="001021CD">
      <w:tab/>
      <w:t>PE</w:t>
    </w:r>
    <w:r w:rsidRPr="001021CD">
      <w:rPr>
        <w:rStyle w:val="HideTWBExt"/>
      </w:rPr>
      <w:t>&lt;</w:t>
    </w:r>
    <w:proofErr w:type="spellStart"/>
    <w:r w:rsidRPr="001021CD">
      <w:rPr>
        <w:rStyle w:val="HideTWBExt"/>
      </w:rPr>
      <w:t>NoPE</w:t>
    </w:r>
    <w:proofErr w:type="spellEnd"/>
    <w:r w:rsidRPr="001021CD">
      <w:rPr>
        <w:rStyle w:val="HideTWBExt"/>
      </w:rPr>
      <w:t>&gt;</w:t>
    </w:r>
    <w:r w:rsidRPr="001021CD">
      <w:t>753.526</w:t>
    </w:r>
    <w:r w:rsidRPr="001021CD">
      <w:rPr>
        <w:rStyle w:val="HideTWBExt"/>
      </w:rPr>
      <w:t>&lt;/</w:t>
    </w:r>
    <w:proofErr w:type="spellStart"/>
    <w:r w:rsidRPr="001021CD">
      <w:rPr>
        <w:rStyle w:val="HideTWBExt"/>
      </w:rPr>
      <w:t>NoPE</w:t>
    </w:r>
    <w:proofErr w:type="spellEnd"/>
    <w:r w:rsidRPr="001021CD">
      <w:rPr>
        <w:rStyle w:val="HideTWBExt"/>
      </w:rPr>
      <w:t>&gt;&lt;Version&gt;</w:t>
    </w:r>
    <w:r w:rsidRPr="001021CD">
      <w:t>v02-00</w:t>
    </w:r>
    <w:r w:rsidRPr="001021CD">
      <w:rPr>
        <w:rStyle w:val="HideTWBExt"/>
      </w:rPr>
      <w:t>&lt;/</w:t>
    </w:r>
    <w:proofErr w:type="spellStart"/>
    <w:r w:rsidRPr="001021CD">
      <w:rPr>
        <w:rStyle w:val="HideTWBExt"/>
      </w:rPr>
      <w:t>Version</w:t>
    </w:r>
    <w:proofErr w:type="spellEnd"/>
    <w:r w:rsidRPr="001021CD">
      <w:rPr>
        <w:rStyle w:val="HideTWBExt"/>
      </w:rPr>
      <w:t>&gt;</w:t>
    </w:r>
  </w:p>
  <w:p w:rsidR="00033639" w:rsidRPr="001021CD" w:rsidRDefault="00033639" w:rsidP="006B4610">
    <w:pPr>
      <w:pStyle w:val="EPFooter2"/>
    </w:pPr>
    <w:r w:rsidRPr="001021CD">
      <w:t>BG</w:t>
    </w:r>
    <w:r w:rsidRPr="001021CD">
      <w:tab/>
    </w:r>
    <w:r w:rsidRPr="001021CD">
      <w:rPr>
        <w:b w:val="0"/>
        <w:i/>
        <w:color w:val="C0C0C0"/>
        <w:sz w:val="22"/>
      </w:rPr>
      <w:t>Единство в многообразието</w:t>
    </w:r>
    <w:r w:rsidRPr="001021CD">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21C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21C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21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8CB" w:rsidRPr="001021CD" w:rsidRDefault="009318CB">
      <w:r w:rsidRPr="001021CD">
        <w:separator/>
      </w:r>
    </w:p>
  </w:footnote>
  <w:footnote w:type="continuationSeparator" w:id="0">
    <w:p w:rsidR="009318CB" w:rsidRPr="001021CD" w:rsidRDefault="009318CB">
      <w:r w:rsidRPr="001021CD">
        <w:continuationSeparator/>
      </w:r>
    </w:p>
  </w:footnote>
  <w:footnote w:id="1">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ОВ C, C/2023/594, 27.10.2023 г.</w:t>
      </w:r>
    </w:p>
  </w:footnote>
  <w:footnote w:id="2">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ОВ C, C/2023/112, 12.10.2023 г.</w:t>
      </w:r>
    </w:p>
  </w:footnote>
  <w:footnote w:id="3">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OВ L 193, 30.7.2018 г., стр. 1.</w:t>
      </w:r>
    </w:p>
  </w:footnote>
  <w:footnote w:id="4">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ОВ L 208, 5.8.2002 г., стр. 1.</w:t>
      </w:r>
    </w:p>
  </w:footnote>
  <w:footnote w:id="5">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ОВ L 122, 10.5.2019 г., стр. 1.</w:t>
      </w:r>
    </w:p>
  </w:footnote>
  <w:footnote w:id="6">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ОВ C, C/2023/594, 27.10.2023 г.</w:t>
      </w:r>
    </w:p>
  </w:footnote>
  <w:footnote w:id="7">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ОВ C, C/2023/112, 12.10.2023 г.</w:t>
      </w:r>
    </w:p>
  </w:footnote>
  <w:footnote w:id="8">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OВ L 193, 30.7.2018 г., стр. 1.</w:t>
      </w:r>
    </w:p>
  </w:footnote>
  <w:footnote w:id="9">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ОВ L 208, 5.8.2002 г., стр. 1.</w:t>
      </w:r>
    </w:p>
  </w:footnote>
  <w:footnote w:id="10">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ОВ L 122, 10.5.2019 г., стр. 1.</w:t>
      </w:r>
    </w:p>
  </w:footnote>
  <w:footnote w:id="11">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OВ C 73, 28.2.2023 г., стр. </w:t>
      </w:r>
      <w:r w:rsidRPr="001021CD">
        <w:rPr>
          <w:sz w:val="24"/>
          <w:lang w:val="bg-BG"/>
        </w:rPr>
        <w:t>9</w:t>
      </w:r>
      <w:r w:rsidR="00635B4B">
        <w:rPr>
          <w:sz w:val="24"/>
          <w:lang w:val="bg-BG"/>
        </w:rPr>
        <w:t>1</w:t>
      </w:r>
      <w:bookmarkStart w:id="12" w:name="_GoBack"/>
      <w:bookmarkEnd w:id="12"/>
      <w:r w:rsidRPr="001021CD">
        <w:rPr>
          <w:sz w:val="24"/>
          <w:lang w:val="bg-BG"/>
        </w:rPr>
        <w:t>.</w:t>
      </w:r>
    </w:p>
  </w:footnote>
  <w:footnote w:id="12">
    <w:p w:rsidR="00033639" w:rsidRPr="001021CD" w:rsidRDefault="00033639" w:rsidP="001021CD">
      <w:pPr>
        <w:pStyle w:val="FootnoteText"/>
        <w:ind w:left="567" w:hanging="567"/>
        <w:rPr>
          <w:sz w:val="24"/>
          <w:lang w:val="bg-BG"/>
        </w:rPr>
      </w:pPr>
      <w:r w:rsidRPr="001021CD">
        <w:rPr>
          <w:rStyle w:val="FootnoteReference"/>
          <w:sz w:val="24"/>
          <w:lang w:val="bg-BG"/>
        </w:rPr>
        <w:footnoteRef/>
      </w:r>
      <w:r w:rsidR="001021CD" w:rsidRPr="001021CD">
        <w:rPr>
          <w:sz w:val="24"/>
          <w:lang w:val="bg-BG"/>
        </w:rPr>
        <w:t xml:space="preserve"> </w:t>
      </w:r>
      <w:r w:rsidR="001021CD" w:rsidRPr="001021CD">
        <w:rPr>
          <w:sz w:val="24"/>
          <w:lang w:val="bg-BG"/>
        </w:rPr>
        <w:tab/>
      </w:r>
      <w:r w:rsidRPr="001021CD">
        <w:rPr>
          <w:sz w:val="24"/>
          <w:lang w:val="bg-BG"/>
        </w:rPr>
        <w:t>Приети текстове, P9_TA(2024)</w:t>
      </w:r>
      <w:r w:rsidR="00BB615A" w:rsidRPr="00635445">
        <w:rPr>
          <w:sz w:val="24"/>
          <w:lang w:val="bg-BG"/>
        </w:rPr>
        <w:t>0</w:t>
      </w:r>
      <w:r w:rsidR="00BB615A">
        <w:rPr>
          <w:sz w:val="24"/>
          <w:lang w:val="en-GB"/>
        </w:rPr>
        <w:t>28</w:t>
      </w:r>
      <w:r w:rsidR="00BB615A" w:rsidRPr="00635445">
        <w:rPr>
          <w:sz w:val="24"/>
          <w:lang w:val="bg-BG"/>
        </w:rPr>
        <w:t>0</w:t>
      </w:r>
      <w:r w:rsidRPr="001021CD">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21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21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21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BG"/>
    <w:docVar w:name="dvnumam" w:val="0"/>
    <w:docVar w:name="dvpe" w:val="753.526"/>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ата агенция по морска безопасност за финансовата 2022 година(2023/2158(DEC))"/>
  </w:docVars>
  <w:rsids>
    <w:rsidRoot w:val="009318CB"/>
    <w:rsid w:val="00002272"/>
    <w:rsid w:val="00033639"/>
    <w:rsid w:val="00064002"/>
    <w:rsid w:val="000677B9"/>
    <w:rsid w:val="000831BA"/>
    <w:rsid w:val="000A42CC"/>
    <w:rsid w:val="000E7DD9"/>
    <w:rsid w:val="0010095E"/>
    <w:rsid w:val="001021CD"/>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5B4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8CB"/>
    <w:rsid w:val="0093193B"/>
    <w:rsid w:val="009509D8"/>
    <w:rsid w:val="00950B64"/>
    <w:rsid w:val="00981893"/>
    <w:rsid w:val="00A1687D"/>
    <w:rsid w:val="00A43E52"/>
    <w:rsid w:val="00A4678D"/>
    <w:rsid w:val="00A778C7"/>
    <w:rsid w:val="00A860F3"/>
    <w:rsid w:val="00AB441E"/>
    <w:rsid w:val="00AB6293"/>
    <w:rsid w:val="00AE0928"/>
    <w:rsid w:val="00AF3B82"/>
    <w:rsid w:val="00B12E95"/>
    <w:rsid w:val="00B22876"/>
    <w:rsid w:val="00B558F0"/>
    <w:rsid w:val="00B9028F"/>
    <w:rsid w:val="00BB615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64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6A05B"/>
  <w15:chartTrackingRefBased/>
  <w15:docId w15:val="{54244C35-49F8-4018-9381-4E888A5B9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3363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33639"/>
    <w:pPr>
      <w:spacing w:before="480" w:after="240"/>
    </w:pPr>
  </w:style>
  <w:style w:type="paragraph" w:customStyle="1" w:styleId="PageHeading">
    <w:name w:val="PageHeading"/>
    <w:basedOn w:val="Normal"/>
    <w:rsid w:val="00033639"/>
    <w:pPr>
      <w:keepNext/>
      <w:spacing w:after="480"/>
      <w:jc w:val="center"/>
    </w:pPr>
    <w:rPr>
      <w:rFonts w:ascii="Arial" w:hAnsi="Arial" w:cs="Arial"/>
      <w:b/>
    </w:rPr>
  </w:style>
  <w:style w:type="paragraph" w:customStyle="1" w:styleId="NormalBold">
    <w:name w:val="NormalBold"/>
    <w:basedOn w:val="Normal"/>
    <w:rsid w:val="00033639"/>
    <w:rPr>
      <w:b/>
    </w:rPr>
  </w:style>
  <w:style w:type="paragraph" w:customStyle="1" w:styleId="NormalHanging12a">
    <w:name w:val="NormalHanging12a"/>
    <w:basedOn w:val="Normal"/>
    <w:link w:val="NormalHanging12aChar"/>
    <w:rsid w:val="00033639"/>
    <w:pPr>
      <w:spacing w:after="240"/>
      <w:ind w:left="567" w:hanging="567"/>
    </w:pPr>
  </w:style>
  <w:style w:type="paragraph" w:customStyle="1" w:styleId="NormalCenter12a">
    <w:name w:val="NormalCenter12a"/>
    <w:basedOn w:val="Normal"/>
    <w:rsid w:val="00033639"/>
    <w:pPr>
      <w:spacing w:after="240"/>
      <w:jc w:val="center"/>
    </w:pPr>
  </w:style>
  <w:style w:type="paragraph" w:styleId="Header">
    <w:name w:val="header"/>
    <w:basedOn w:val="Normal"/>
    <w:link w:val="HeaderChar"/>
    <w:rsid w:val="00033639"/>
    <w:pPr>
      <w:tabs>
        <w:tab w:val="center" w:pos="4513"/>
        <w:tab w:val="right" w:pos="9026"/>
      </w:tabs>
    </w:pPr>
  </w:style>
  <w:style w:type="character" w:customStyle="1" w:styleId="HeaderChar">
    <w:name w:val="Header Char"/>
    <w:basedOn w:val="DefaultParagraphFont"/>
    <w:link w:val="Header"/>
    <w:rsid w:val="00033639"/>
    <w:rPr>
      <w:sz w:val="24"/>
      <w:lang w:val="bg-BG"/>
    </w:rPr>
  </w:style>
  <w:style w:type="paragraph" w:customStyle="1" w:styleId="EPFooter">
    <w:name w:val="EPFooter"/>
    <w:basedOn w:val="Normal"/>
    <w:rsid w:val="0003363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33639"/>
    <w:rPr>
      <w:sz w:val="24"/>
      <w:lang w:val="bg-BG"/>
    </w:rPr>
  </w:style>
  <w:style w:type="paragraph" w:customStyle="1" w:styleId="Normal12Hanging">
    <w:name w:val="Normal12Hanging"/>
    <w:basedOn w:val="Normal"/>
    <w:rsid w:val="0003363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29926-4D14-46C2-8B7E-797520B40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3293</Words>
  <Characters>19191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2024-05-22T12:39:00Z</dcterms:created>
  <dcterms:modified xsi:type="dcterms:W3CDTF">2024-05-22T12:39:00Z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P9_TA(2024)0248_</vt:lpwstr>
  </property>
  <property fmtid="{D5CDD505-2E9C-101B-9397-08002B2CF9AE}" pid="4" name="&lt;Type&gt;">
    <vt:lpwstr>RR</vt:lpwstr>
  </property>
</Properties>
</file>