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B7E2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B7E2B" w:rsidRDefault="00BD2D8F" w:rsidP="0010095E">
            <w:pPr>
              <w:pStyle w:val="EPName"/>
            </w:pPr>
            <w:r w:rsidRPr="006B7E2B">
              <w:t>Evropský parlament</w:t>
            </w:r>
          </w:p>
          <w:p w:rsidR="00751A4A" w:rsidRPr="006B7E2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B7E2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B7E2B" w:rsidRDefault="00187494" w:rsidP="0010095E">
            <w:pPr>
              <w:pStyle w:val="EPLogo"/>
            </w:pPr>
            <w:r w:rsidRPr="006B7E2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B7E2B" w:rsidRDefault="00D058B8" w:rsidP="004C5D52">
      <w:pPr>
        <w:pStyle w:val="LineTop"/>
      </w:pPr>
    </w:p>
    <w:p w:rsidR="00680577" w:rsidRPr="006B7E2B" w:rsidRDefault="00BD2D8F" w:rsidP="00680577">
      <w:pPr>
        <w:pStyle w:val="EPBodyTA1"/>
      </w:pPr>
      <w:r w:rsidRPr="006B7E2B">
        <w:t>PŘIJATÉ TEXTY</w:t>
      </w:r>
    </w:p>
    <w:p w:rsidR="00D058B8" w:rsidRPr="006B7E2B" w:rsidRDefault="00D058B8" w:rsidP="00D058B8">
      <w:pPr>
        <w:pStyle w:val="LineBottom"/>
      </w:pPr>
    </w:p>
    <w:p w:rsidR="00BD2D8F" w:rsidRPr="006B7E2B" w:rsidRDefault="00BD2D8F" w:rsidP="00BD2D8F">
      <w:pPr>
        <w:pStyle w:val="ATHeading1"/>
      </w:pPr>
      <w:bookmarkStart w:id="0" w:name="TANumber"/>
      <w:r w:rsidRPr="006B7E2B">
        <w:t>P9_TA(2024)0</w:t>
      </w:r>
      <w:bookmarkEnd w:id="0"/>
      <w:r w:rsidR="00BD7731">
        <w:t>248</w:t>
      </w:r>
    </w:p>
    <w:p w:rsidR="00BD2D8F" w:rsidRPr="006B7E2B" w:rsidRDefault="00BD2D8F" w:rsidP="00BD2D8F">
      <w:pPr>
        <w:pStyle w:val="ATHeading2"/>
      </w:pPr>
      <w:bookmarkStart w:id="1" w:name="title"/>
      <w:r w:rsidRPr="006B7E2B">
        <w:t>Udělení absolutoria za rok 2022: Evropská agentura pro námořní bezpečnost</w:t>
      </w:r>
      <w:bookmarkEnd w:id="1"/>
    </w:p>
    <w:p w:rsidR="00BD2D8F" w:rsidRPr="006B7E2B" w:rsidRDefault="00BD2D8F" w:rsidP="00BD2D8F">
      <w:pPr>
        <w:rPr>
          <w:i/>
          <w:vanish/>
        </w:rPr>
      </w:pPr>
      <w:r w:rsidRPr="006B7E2B">
        <w:rPr>
          <w:i/>
        </w:rPr>
        <w:fldChar w:fldCharType="begin"/>
      </w:r>
      <w:r w:rsidRPr="006B7E2B">
        <w:rPr>
          <w:i/>
        </w:rPr>
        <w:instrText xml:space="preserve"> TC"(</w:instrText>
      </w:r>
      <w:bookmarkStart w:id="2" w:name="DocNumber"/>
      <w:r w:rsidRPr="006B7E2B">
        <w:rPr>
          <w:i/>
        </w:rPr>
        <w:instrText>A9-0107/2024</w:instrText>
      </w:r>
      <w:bookmarkEnd w:id="2"/>
      <w:r w:rsidRPr="006B7E2B">
        <w:rPr>
          <w:i/>
        </w:rPr>
        <w:instrText xml:space="preserve"> - Zpravodaj: Petri Sarvamaa)"\l3 \n&gt; \* MERGEFORMAT </w:instrText>
      </w:r>
      <w:r w:rsidRPr="006B7E2B">
        <w:rPr>
          <w:i/>
        </w:rPr>
        <w:fldChar w:fldCharType="end"/>
      </w:r>
    </w:p>
    <w:p w:rsidR="00BD2D8F" w:rsidRPr="006B7E2B" w:rsidRDefault="00BD2D8F" w:rsidP="00BD2D8F">
      <w:pPr>
        <w:rPr>
          <w:vanish/>
        </w:rPr>
      </w:pPr>
      <w:bookmarkStart w:id="3" w:name="Commission"/>
      <w:r w:rsidRPr="006B7E2B">
        <w:rPr>
          <w:vanish/>
        </w:rPr>
        <w:t>Výbor pro rozpočtovou kontrolu</w:t>
      </w:r>
      <w:bookmarkEnd w:id="3"/>
    </w:p>
    <w:p w:rsidR="00BD2D8F" w:rsidRPr="006B7E2B" w:rsidRDefault="00BD2D8F" w:rsidP="00BD2D8F">
      <w:pPr>
        <w:rPr>
          <w:vanish/>
        </w:rPr>
      </w:pPr>
      <w:bookmarkStart w:id="4" w:name="PE"/>
      <w:r w:rsidRPr="006B7E2B">
        <w:rPr>
          <w:vanish/>
        </w:rPr>
        <w:t>PE753.526</w:t>
      </w:r>
      <w:bookmarkEnd w:id="4"/>
    </w:p>
    <w:p w:rsidR="00BD2D8F" w:rsidRPr="006B7E2B" w:rsidRDefault="00BD2D8F" w:rsidP="00BD2D8F">
      <w:pPr>
        <w:pStyle w:val="ATHeading3"/>
      </w:pPr>
      <w:bookmarkStart w:id="5" w:name="Sujet"/>
      <w:r w:rsidRPr="006B7E2B">
        <w:t xml:space="preserve">1. Rozhodnutí </w:t>
      </w:r>
      <w:r w:rsidR="008E248F">
        <w:t>Evropského parlamentu ze dne 11. dubna</w:t>
      </w:r>
      <w:r w:rsidRPr="006B7E2B">
        <w:t xml:space="preserve"> 2024 o udělení absolutoria za plnění rozpočtu Evropské agentury pro námořní bezpečnost na rozpočtový rok 2022</w:t>
      </w:r>
      <w:bookmarkEnd w:id="5"/>
      <w:r w:rsidRPr="006B7E2B">
        <w:t xml:space="preserve"> </w:t>
      </w:r>
      <w:bookmarkStart w:id="6" w:name="References"/>
      <w:r w:rsidRPr="006B7E2B">
        <w:t>(2023/2158(DEC))</w:t>
      </w:r>
      <w:bookmarkEnd w:id="6"/>
    </w:p>
    <w:p w:rsidR="00D5673B" w:rsidRPr="006B7E2B" w:rsidRDefault="00D5673B" w:rsidP="00D5673B">
      <w:pPr>
        <w:pStyle w:val="EPComma"/>
      </w:pPr>
      <w:bookmarkStart w:id="7" w:name="TextBodyBegin"/>
      <w:bookmarkEnd w:id="7"/>
      <w:r w:rsidRPr="006B7E2B">
        <w:rPr>
          <w:i/>
        </w:rPr>
        <w:t>Evropský parlament</w:t>
      </w:r>
      <w:r w:rsidRPr="006B7E2B">
        <w:t>,</w:t>
      </w:r>
    </w:p>
    <w:p w:rsidR="00D5673B" w:rsidRPr="006B7E2B" w:rsidRDefault="00D5673B" w:rsidP="00D5673B">
      <w:pPr>
        <w:pStyle w:val="NormalHanging12a"/>
      </w:pPr>
      <w:r w:rsidRPr="006B7E2B">
        <w:t>–</w:t>
      </w:r>
      <w:r w:rsidRPr="006B7E2B">
        <w:tab/>
        <w:t>s ohledem na konečnou roční účetní závěrku Evropské agentury pro námořní bezpečnost za rozpočtový rok 2022,</w:t>
      </w:r>
    </w:p>
    <w:p w:rsidR="00D5673B" w:rsidRPr="006B7E2B" w:rsidRDefault="00D5673B" w:rsidP="00D5673B">
      <w:pPr>
        <w:pStyle w:val="NormalHanging12a"/>
      </w:pPr>
      <w:r w:rsidRPr="006B7E2B">
        <w:t>–</w:t>
      </w:r>
      <w:r w:rsidRPr="006B7E2B">
        <w:tab/>
        <w:t>s ohledem na výroční zprávu Účetního dvora o agenturách EU za rozpočtový rok 2022 spolu s odpověďmi agentur</w:t>
      </w:r>
      <w:r w:rsidRPr="006B7E2B">
        <w:rPr>
          <w:rStyle w:val="FootnoteReference"/>
        </w:rPr>
        <w:footnoteReference w:id="1"/>
      </w:r>
      <w:r w:rsidRPr="006B7E2B">
        <w:t>,</w:t>
      </w:r>
    </w:p>
    <w:p w:rsidR="00D5673B" w:rsidRPr="006B7E2B" w:rsidRDefault="00D5673B" w:rsidP="00D5673B">
      <w:pPr>
        <w:pStyle w:val="NormalHanging12a"/>
      </w:pPr>
      <w:r w:rsidRPr="006B7E2B">
        <w:t>–</w:t>
      </w:r>
      <w:r w:rsidRPr="006B7E2B">
        <w:tab/>
        <w:t>s ohledem na prohlášení o věrohodnosti</w:t>
      </w:r>
      <w:r w:rsidRPr="006B7E2B">
        <w:rPr>
          <w:rStyle w:val="FootnoteReference"/>
        </w:rPr>
        <w:footnoteReference w:id="2"/>
      </w:r>
      <w:r w:rsidRPr="006B7E2B">
        <w:t xml:space="preserve"> účetnictví a o legalitě a správnosti uskutečněných operací, které předložil Účetní dvůr za rozpočtový rok 2022 podle článku 287 Smlouvy o fungování Evropské unie,</w:t>
      </w:r>
    </w:p>
    <w:p w:rsidR="00D5673B" w:rsidRPr="006B7E2B" w:rsidRDefault="00D5673B" w:rsidP="00D5673B">
      <w:pPr>
        <w:pStyle w:val="NormalHanging12a"/>
      </w:pPr>
      <w:r w:rsidRPr="006B7E2B">
        <w:t>–</w:t>
      </w:r>
      <w:r w:rsidRPr="006B7E2B">
        <w:tab/>
        <w:t>s ohledem na doporučení Rady ze dne 22. února 2024 o udělení absolutoria agentuře za plnění rozpoč</w:t>
      </w:r>
      <w:r w:rsidR="006C0C8D">
        <w:t>tu na rozpočtový rok 2022 (06180</w:t>
      </w:r>
      <w:r w:rsidRPr="006B7E2B">
        <w:t>/2024 –</w:t>
      </w:r>
      <w:r w:rsidR="006C0C8D">
        <w:t xml:space="preserve"> C9</w:t>
      </w:r>
      <w:r w:rsidR="006C0C8D">
        <w:noBreakHyphen/>
        <w:t>0096</w:t>
      </w:r>
      <w:r w:rsidRPr="006B7E2B">
        <w:t>/2024),</w:t>
      </w:r>
    </w:p>
    <w:p w:rsidR="00D5673B" w:rsidRPr="006B7E2B" w:rsidRDefault="00D5673B" w:rsidP="00D5673B">
      <w:pPr>
        <w:pStyle w:val="NormalHanging12a"/>
      </w:pPr>
      <w:r w:rsidRPr="006B7E2B">
        <w:t>–</w:t>
      </w:r>
      <w:r w:rsidRPr="006B7E2B">
        <w:tab/>
        <w:t>s ohledem na článek 319 Smlouvy o fungování Evropské unie,</w:t>
      </w:r>
    </w:p>
    <w:p w:rsidR="00D5673B" w:rsidRPr="006B7E2B" w:rsidRDefault="00D5673B" w:rsidP="00D5673B">
      <w:pPr>
        <w:pStyle w:val="NormalHanging12a"/>
      </w:pPr>
      <w:r w:rsidRPr="006B7E2B">
        <w:t>–</w:t>
      </w:r>
      <w:r w:rsidRPr="006B7E2B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541/2014/EU a zrušuje nařízení (EU, Euratom) č. 966/2012</w:t>
      </w:r>
      <w:r w:rsidRPr="006B7E2B">
        <w:rPr>
          <w:rStyle w:val="FootnoteReference"/>
        </w:rPr>
        <w:footnoteReference w:id="3"/>
      </w:r>
      <w:r w:rsidRPr="006B7E2B">
        <w:t>, a zejména na článek 70 tohoto nařízení,</w:t>
      </w:r>
    </w:p>
    <w:p w:rsidR="00D5673B" w:rsidRPr="006B7E2B" w:rsidRDefault="00D5673B" w:rsidP="00D5673B">
      <w:pPr>
        <w:pStyle w:val="NormalHanging12a"/>
      </w:pPr>
      <w:r w:rsidRPr="006B7E2B">
        <w:t>–</w:t>
      </w:r>
      <w:r w:rsidRPr="006B7E2B">
        <w:tab/>
        <w:t>s ohledem na nařízení Evropského parlamentu a Rady (ES) č. 1406/2002 ze dne 27. června 2002, kterým se zřizuje Evropská agentura p</w:t>
      </w:r>
      <w:bookmarkStart w:id="8" w:name="_GoBack"/>
      <w:bookmarkEnd w:id="8"/>
      <w:r w:rsidRPr="006B7E2B">
        <w:t>ro námořní bezpečnost</w:t>
      </w:r>
      <w:r w:rsidRPr="006B7E2B">
        <w:rPr>
          <w:rStyle w:val="FootnoteReference"/>
        </w:rPr>
        <w:footnoteReference w:id="4"/>
      </w:r>
      <w:r w:rsidRPr="006B7E2B">
        <w:t>, a zejména na článek 19 tohoto nařízení,</w:t>
      </w:r>
    </w:p>
    <w:p w:rsidR="00D5673B" w:rsidRPr="006B7E2B" w:rsidRDefault="00D5673B" w:rsidP="00D5673B">
      <w:pPr>
        <w:pStyle w:val="NormalHanging12a"/>
      </w:pPr>
      <w:r w:rsidRPr="006B7E2B">
        <w:t>–</w:t>
      </w:r>
      <w:r w:rsidRPr="006B7E2B">
        <w:tab/>
        <w:t xml:space="preserve">s ohledem na nařízení Komise v přenesené pravomoci (EU) 2019/715 ze dne 18. </w:t>
      </w:r>
      <w:r w:rsidRPr="006B7E2B">
        <w:lastRenderedPageBreak/>
        <w:t xml:space="preserve">prosince 2018 o rámcovém finančním nařízení pro subjekty zřízené podle </w:t>
      </w:r>
      <w:r w:rsidR="00DC644D" w:rsidRPr="00DC644D">
        <w:t>Smlouvy o fungování Evropské unie</w:t>
      </w:r>
      <w:r w:rsidRPr="006B7E2B">
        <w:t xml:space="preserve"> a Smlouvy o Euratomu a uvedené v článku 70 nařízení Evropského parlamentu a Rady (EU, Euratom) 2018/1046</w:t>
      </w:r>
      <w:r w:rsidRPr="006B7E2B">
        <w:rPr>
          <w:rStyle w:val="FootnoteReference"/>
        </w:rPr>
        <w:footnoteReference w:id="5"/>
      </w:r>
      <w:r w:rsidRPr="006B7E2B">
        <w:t>, a zejména na článek 105 tohoto nařízení,</w:t>
      </w:r>
    </w:p>
    <w:p w:rsidR="00D5673B" w:rsidRPr="006B7E2B" w:rsidRDefault="00D5673B" w:rsidP="00D5673B">
      <w:pPr>
        <w:pStyle w:val="NormalHanging12a"/>
      </w:pPr>
      <w:r w:rsidRPr="006B7E2B">
        <w:t>–</w:t>
      </w:r>
      <w:r w:rsidRPr="006B7E2B">
        <w:tab/>
        <w:t>s ohledem na článek 100 a přílohu V jednacího řádu,</w:t>
      </w:r>
    </w:p>
    <w:p w:rsidR="00D5673B" w:rsidRPr="006B7E2B" w:rsidRDefault="00D5673B" w:rsidP="00D5673B">
      <w:pPr>
        <w:pStyle w:val="NormalHanging12a"/>
      </w:pPr>
      <w:r w:rsidRPr="006B7E2B">
        <w:t>–</w:t>
      </w:r>
      <w:r w:rsidRPr="006B7E2B">
        <w:tab/>
        <w:t>s ohledem na stanovisko Výboru pro dopravu a cestovní ruch</w:t>
      </w:r>
    </w:p>
    <w:p w:rsidR="00D5673B" w:rsidRPr="006B7E2B" w:rsidRDefault="00D5673B" w:rsidP="00D5673B">
      <w:pPr>
        <w:pStyle w:val="NormalHanging12a"/>
      </w:pPr>
      <w:r w:rsidRPr="006B7E2B">
        <w:t>–</w:t>
      </w:r>
      <w:r w:rsidRPr="006B7E2B">
        <w:tab/>
        <w:t>s ohledem na zprávu Výboru pro rozpočtovou kontrolu (A9</w:t>
      </w:r>
      <w:r w:rsidRPr="006B7E2B">
        <w:noBreakHyphen/>
        <w:t>0107/2024),</w:t>
      </w:r>
    </w:p>
    <w:p w:rsidR="00D5673B" w:rsidRPr="006B7E2B" w:rsidRDefault="00D5673B" w:rsidP="00D5673B">
      <w:pPr>
        <w:pStyle w:val="NormalHanging12a"/>
      </w:pPr>
      <w:r w:rsidRPr="006B7E2B">
        <w:t>1.</w:t>
      </w:r>
      <w:r w:rsidRPr="006B7E2B">
        <w:tab/>
        <w:t>uděluje absolutorium výkonné ředitelce Evropské agentury pro námořní bezpečnost za plnění rozpočtu agentury na rozpočtový rok 2022;</w:t>
      </w:r>
    </w:p>
    <w:p w:rsidR="00D5673B" w:rsidRPr="006B7E2B" w:rsidRDefault="00D5673B" w:rsidP="00D5673B">
      <w:pPr>
        <w:pStyle w:val="NormalHanging12a"/>
      </w:pPr>
      <w:r w:rsidRPr="006B7E2B">
        <w:t>2.</w:t>
      </w:r>
      <w:r w:rsidRPr="006B7E2B">
        <w:tab/>
        <w:t>předkládá své připomínky v níže uvedeném usnesení;</w:t>
      </w:r>
    </w:p>
    <w:p w:rsidR="00D5673B" w:rsidRPr="006B7E2B" w:rsidRDefault="00D5673B" w:rsidP="00D5673B">
      <w:pPr>
        <w:pStyle w:val="NormalHanging12a"/>
      </w:pPr>
      <w:r w:rsidRPr="006B7E2B">
        <w:t>3.</w:t>
      </w:r>
      <w:r w:rsidRPr="006B7E2B">
        <w:tab/>
        <w:t xml:space="preserve">pověřuje svou předsedkyni, aby předala toto rozhodnutí a usnesení, které je jeho nedílnou součástí, výkonné ředitelce Evropské agentury pro námořní bezpečnost, Radě, Komisi a Účetnímu dvoru a aby zajistila jejich zveřejnění v </w:t>
      </w:r>
      <w:r w:rsidRPr="006B7E2B">
        <w:rPr>
          <w:i/>
        </w:rPr>
        <w:t>Úředním věstníku Evropské unie</w:t>
      </w:r>
      <w:r w:rsidRPr="006B7E2B">
        <w:t xml:space="preserve"> (řada L).</w:t>
      </w:r>
    </w:p>
    <w:p w:rsidR="00D5673B" w:rsidRPr="006B7E2B" w:rsidRDefault="00D5673B" w:rsidP="00D5673B"/>
    <w:p w:rsidR="00D5673B" w:rsidRPr="006B7E2B" w:rsidRDefault="00D5673B" w:rsidP="00D5673B">
      <w:pPr>
        <w:pStyle w:val="PageHeading"/>
        <w:sectPr w:rsidR="00D5673B" w:rsidRPr="006B7E2B" w:rsidSect="006B7E2B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5673B" w:rsidRPr="008E248F" w:rsidRDefault="00D5673B" w:rsidP="008E248F">
      <w:pPr>
        <w:pStyle w:val="PageHeading"/>
        <w:jc w:val="left"/>
        <w:rPr>
          <w:rFonts w:ascii="Times New Roman" w:hAnsi="Times New Roman" w:cs="Times New Roman"/>
        </w:rPr>
      </w:pPr>
      <w:bookmarkStart w:id="9" w:name="_Toc161933345"/>
      <w:r w:rsidRPr="008E248F">
        <w:rPr>
          <w:rFonts w:ascii="Times New Roman" w:hAnsi="Times New Roman" w:cs="Times New Roman"/>
        </w:rPr>
        <w:lastRenderedPageBreak/>
        <w:t xml:space="preserve">2. </w:t>
      </w:r>
      <w:r w:rsidR="008E248F">
        <w:rPr>
          <w:rFonts w:ascii="Times New Roman" w:hAnsi="Times New Roman" w:cs="Times New Roman"/>
        </w:rPr>
        <w:t>Rozhodnutí E</w:t>
      </w:r>
      <w:r w:rsidR="008E248F" w:rsidRPr="008E248F">
        <w:rPr>
          <w:rFonts w:ascii="Times New Roman" w:hAnsi="Times New Roman" w:cs="Times New Roman"/>
        </w:rPr>
        <w:t>vropského parlamentu</w:t>
      </w:r>
      <w:bookmarkEnd w:id="9"/>
      <w:r w:rsidR="008E248F" w:rsidRPr="008E248F">
        <w:rPr>
          <w:rFonts w:ascii="Times New Roman" w:hAnsi="Times New Roman" w:cs="Times New Roman"/>
        </w:rPr>
        <w:t xml:space="preserve"> ze dne 11. dubna 2024 </w:t>
      </w:r>
      <w:r w:rsidRPr="008E248F">
        <w:rPr>
          <w:rFonts w:ascii="Times New Roman" w:hAnsi="Times New Roman" w:cs="Times New Roman"/>
        </w:rPr>
        <w:t>o uzavření účtů Evropské agentury pro námořní bezpečnost za rozpočtový rok 2022</w:t>
      </w:r>
      <w:r w:rsidR="008E248F" w:rsidRPr="008E248F">
        <w:rPr>
          <w:rFonts w:ascii="Times New Roman" w:hAnsi="Times New Roman" w:cs="Times New Roman"/>
        </w:rPr>
        <w:t xml:space="preserve"> </w:t>
      </w:r>
      <w:r w:rsidRPr="008E248F">
        <w:rPr>
          <w:rFonts w:ascii="Times New Roman" w:hAnsi="Times New Roman" w:cs="Times New Roman"/>
        </w:rPr>
        <w:t>(2023/2158(DEC))</w:t>
      </w:r>
    </w:p>
    <w:p w:rsidR="00D5673B" w:rsidRPr="006B7E2B" w:rsidRDefault="00D5673B" w:rsidP="00D5673B">
      <w:pPr>
        <w:pStyle w:val="EPComma"/>
      </w:pPr>
      <w:r w:rsidRPr="006B7E2B">
        <w:rPr>
          <w:i/>
        </w:rPr>
        <w:t>Evropský parlament</w:t>
      </w:r>
      <w:r w:rsidRPr="006B7E2B">
        <w:t>,</w:t>
      </w:r>
    </w:p>
    <w:p w:rsidR="00D5673B" w:rsidRPr="006B7E2B" w:rsidRDefault="00D5673B" w:rsidP="00D5673B">
      <w:pPr>
        <w:pStyle w:val="NormalHanging12a"/>
      </w:pPr>
      <w:r w:rsidRPr="006B7E2B">
        <w:t>–</w:t>
      </w:r>
      <w:r w:rsidRPr="006B7E2B">
        <w:tab/>
        <w:t>s ohledem na konečnou roční účetní závěrku Evropské agentury pro námořní bezpečnost za rozpočtový rok 2022,</w:t>
      </w:r>
    </w:p>
    <w:p w:rsidR="00D5673B" w:rsidRPr="006B7E2B" w:rsidRDefault="00D5673B" w:rsidP="00D5673B">
      <w:pPr>
        <w:pStyle w:val="NormalHanging12a"/>
      </w:pPr>
      <w:r w:rsidRPr="006B7E2B">
        <w:t>–</w:t>
      </w:r>
      <w:r w:rsidRPr="006B7E2B">
        <w:tab/>
        <w:t>s ohledem na výroční zprávu Účetního dvora o agenturách EU za rozpočtový rok 2022 spolu s odpověďmi agentur</w:t>
      </w:r>
      <w:r w:rsidRPr="006B7E2B">
        <w:rPr>
          <w:rStyle w:val="FootnoteReference"/>
        </w:rPr>
        <w:footnoteReference w:id="6"/>
      </w:r>
      <w:r w:rsidRPr="006B7E2B">
        <w:t>,</w:t>
      </w:r>
    </w:p>
    <w:p w:rsidR="00D5673B" w:rsidRPr="006B7E2B" w:rsidRDefault="00D5673B" w:rsidP="00D5673B">
      <w:pPr>
        <w:pStyle w:val="NormalHanging12a"/>
      </w:pPr>
      <w:r w:rsidRPr="006B7E2B">
        <w:t>–</w:t>
      </w:r>
      <w:r w:rsidRPr="006B7E2B">
        <w:tab/>
        <w:t>s ohledem na prohlášení o věrohodnosti</w:t>
      </w:r>
      <w:r w:rsidRPr="006B7E2B">
        <w:rPr>
          <w:rStyle w:val="FootnoteReference"/>
        </w:rPr>
        <w:footnoteReference w:id="7"/>
      </w:r>
      <w:r w:rsidRPr="006B7E2B">
        <w:t xml:space="preserve"> účetnictví a o legalitě a správnosti uskutečněných operací, které předložil Účetní dvůr za rozpočtový rok 2022 podle článku 287 Smlouvy o fungování Evropské unie,</w:t>
      </w:r>
    </w:p>
    <w:p w:rsidR="00D5673B" w:rsidRPr="006B7E2B" w:rsidRDefault="00D5673B" w:rsidP="00D5673B">
      <w:pPr>
        <w:pStyle w:val="NormalHanging12a"/>
      </w:pPr>
      <w:r w:rsidRPr="006B7E2B">
        <w:t>–</w:t>
      </w:r>
      <w:r w:rsidRPr="006B7E2B">
        <w:tab/>
        <w:t>s ohledem na doporučení Rady ze dne 22. února 2024 o udělení absolutoria agentuře za plnění rozpoč</w:t>
      </w:r>
      <w:r w:rsidR="006C0C8D">
        <w:t>tu na rozpočtový rok 2022 (06180</w:t>
      </w:r>
      <w:r w:rsidRPr="006B7E2B">
        <w:t>/20</w:t>
      </w:r>
      <w:r w:rsidR="006C0C8D">
        <w:t>24 – C9</w:t>
      </w:r>
      <w:r w:rsidR="006C0C8D">
        <w:noBreakHyphen/>
        <w:t>0096/2024),</w:t>
      </w:r>
    </w:p>
    <w:p w:rsidR="00D5673B" w:rsidRPr="006B7E2B" w:rsidRDefault="00D5673B" w:rsidP="00D5673B">
      <w:pPr>
        <w:pStyle w:val="NormalHanging12a"/>
      </w:pPr>
      <w:r w:rsidRPr="006B7E2B">
        <w:t>–</w:t>
      </w:r>
      <w:r w:rsidRPr="006B7E2B">
        <w:tab/>
        <w:t>s ohledem na článek 319 Smlouvy o fungování Evropské unie,</w:t>
      </w:r>
    </w:p>
    <w:p w:rsidR="00D5673B" w:rsidRPr="006B7E2B" w:rsidRDefault="00D5673B" w:rsidP="00D5673B">
      <w:pPr>
        <w:pStyle w:val="NormalHanging12a"/>
      </w:pPr>
      <w:r w:rsidRPr="006B7E2B">
        <w:t>–</w:t>
      </w:r>
      <w:r w:rsidRPr="006B7E2B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541/2014/EU a zrušuje nařízení (EU, Euratom) č. 966/2012</w:t>
      </w:r>
      <w:r w:rsidRPr="006B7E2B">
        <w:rPr>
          <w:rStyle w:val="FootnoteReference"/>
        </w:rPr>
        <w:footnoteReference w:id="8"/>
      </w:r>
      <w:r w:rsidRPr="006B7E2B">
        <w:t>, a zejména na článek 70 tohoto nařízení,</w:t>
      </w:r>
    </w:p>
    <w:p w:rsidR="00D5673B" w:rsidRPr="006B7E2B" w:rsidRDefault="00D5673B" w:rsidP="00D5673B">
      <w:pPr>
        <w:pStyle w:val="NormalHanging12a"/>
      </w:pPr>
      <w:r w:rsidRPr="006B7E2B">
        <w:t>–</w:t>
      </w:r>
      <w:r w:rsidRPr="006B7E2B">
        <w:tab/>
        <w:t>s ohledem na nařízení Evropského parlamentu a Rady (ES) č. 1406/2002 ze dne 27. června 2002, kterým se zřizuje Evropská agentura pro námořní bezpečnost</w:t>
      </w:r>
      <w:r w:rsidRPr="006B7E2B">
        <w:rPr>
          <w:rStyle w:val="FootnoteReference"/>
        </w:rPr>
        <w:footnoteReference w:id="9"/>
      </w:r>
      <w:r w:rsidRPr="006B7E2B">
        <w:t>, a zejména na článek 19 tohoto nařízení,</w:t>
      </w:r>
    </w:p>
    <w:p w:rsidR="00D5673B" w:rsidRPr="006B7E2B" w:rsidRDefault="00D5673B" w:rsidP="00D5673B">
      <w:pPr>
        <w:pStyle w:val="NormalHanging12a"/>
      </w:pPr>
      <w:r w:rsidRPr="006B7E2B">
        <w:t>–</w:t>
      </w:r>
      <w:r w:rsidRPr="006B7E2B">
        <w:tab/>
        <w:t xml:space="preserve">s ohledem na nařízení Komise v přenesené pravomoci (EU) 2019/715 ze dne 18. prosince 2018 o rámcovém finančním nařízení pro subjekty zřízené podle </w:t>
      </w:r>
      <w:r w:rsidR="00DC644D" w:rsidRPr="00DC644D">
        <w:t>Smlouvy o fungování Evropské unie</w:t>
      </w:r>
      <w:r w:rsidRPr="006B7E2B">
        <w:t xml:space="preserve"> a Smlouvy o Euratomu a uvedené v článku 70 nařízení Evropského parlamentu a Rady (EU, Euratom) 2018/1046</w:t>
      </w:r>
      <w:r w:rsidRPr="006B7E2B">
        <w:rPr>
          <w:rStyle w:val="FootnoteReference"/>
        </w:rPr>
        <w:footnoteReference w:id="10"/>
      </w:r>
      <w:r w:rsidRPr="006B7E2B">
        <w:t>, a zejména na článek 105 tohoto nařízení,</w:t>
      </w:r>
    </w:p>
    <w:p w:rsidR="00D5673B" w:rsidRPr="006B7E2B" w:rsidRDefault="00D5673B" w:rsidP="00D5673B">
      <w:pPr>
        <w:pStyle w:val="NormalHanging12a"/>
      </w:pPr>
      <w:r w:rsidRPr="006B7E2B">
        <w:t>–</w:t>
      </w:r>
      <w:r w:rsidRPr="006B7E2B">
        <w:tab/>
        <w:t>s ohledem na článek 100 a přílohu V jednacího řádu,</w:t>
      </w:r>
    </w:p>
    <w:p w:rsidR="00D5673B" w:rsidRPr="006B7E2B" w:rsidRDefault="00D5673B" w:rsidP="00D5673B">
      <w:pPr>
        <w:pStyle w:val="NormalHanging12a"/>
      </w:pPr>
      <w:r w:rsidRPr="006B7E2B">
        <w:t>–</w:t>
      </w:r>
      <w:r w:rsidRPr="006B7E2B">
        <w:tab/>
        <w:t>s ohledem na stanovisko Výboru pro dopravu a cestovní ruch</w:t>
      </w:r>
    </w:p>
    <w:p w:rsidR="00D5673B" w:rsidRPr="006B7E2B" w:rsidRDefault="00D5673B" w:rsidP="00D5673B">
      <w:pPr>
        <w:pStyle w:val="NormalHanging12a"/>
      </w:pPr>
      <w:r w:rsidRPr="006B7E2B">
        <w:t>–</w:t>
      </w:r>
      <w:r w:rsidRPr="006B7E2B">
        <w:tab/>
        <w:t>s ohledem na zprávu Výboru pro rozpočtovou kontrolu (A9</w:t>
      </w:r>
      <w:r w:rsidRPr="006B7E2B">
        <w:noBreakHyphen/>
        <w:t>0107/2024),</w:t>
      </w:r>
    </w:p>
    <w:p w:rsidR="00D5673B" w:rsidRPr="006B7E2B" w:rsidRDefault="00D5673B" w:rsidP="00D5673B">
      <w:pPr>
        <w:pStyle w:val="NormalHanging12a"/>
      </w:pPr>
      <w:r w:rsidRPr="006B7E2B">
        <w:t>1.</w:t>
      </w:r>
      <w:r w:rsidRPr="006B7E2B">
        <w:tab/>
        <w:t>schvaluje uzavření účtů Evropské agentury pro námořní bezpečnost za rozpočtový rok 2022;</w:t>
      </w:r>
    </w:p>
    <w:p w:rsidR="00D5673B" w:rsidRPr="006B7E2B" w:rsidRDefault="00D5673B" w:rsidP="00D5673B">
      <w:pPr>
        <w:pStyle w:val="NormalHanging12a"/>
      </w:pPr>
      <w:r w:rsidRPr="006B7E2B">
        <w:t>2.</w:t>
      </w:r>
      <w:r w:rsidRPr="006B7E2B">
        <w:tab/>
        <w:t xml:space="preserve">pověřuje svou předsedkyni, aby předala toto rozhodnutí výkonné ředitelce Evropské </w:t>
      </w:r>
      <w:r w:rsidRPr="006B7E2B">
        <w:lastRenderedPageBreak/>
        <w:t xml:space="preserve">agentury pro námořní bezpečnost, Radě, Komisi a Účetnímu dvoru a aby zajistila jeho zveřejnění v </w:t>
      </w:r>
      <w:r w:rsidRPr="006B7E2B">
        <w:rPr>
          <w:i/>
        </w:rPr>
        <w:t>Úředním věstníku Evropské unie</w:t>
      </w:r>
      <w:r w:rsidRPr="006B7E2B">
        <w:t xml:space="preserve"> (řada L).</w:t>
      </w:r>
    </w:p>
    <w:p w:rsidR="00D5673B" w:rsidRPr="006B7E2B" w:rsidRDefault="00D5673B" w:rsidP="00D5673B"/>
    <w:p w:rsidR="00D5673B" w:rsidRPr="006B7E2B" w:rsidRDefault="00D5673B" w:rsidP="00D5673B">
      <w:pPr>
        <w:pStyle w:val="PageHeading"/>
        <w:sectPr w:rsidR="00D5673B" w:rsidRPr="006B7E2B" w:rsidSect="006B7E2B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D5673B" w:rsidRPr="008E248F" w:rsidRDefault="00D5673B" w:rsidP="008E248F">
      <w:pPr>
        <w:pStyle w:val="PageHeading"/>
        <w:jc w:val="left"/>
        <w:rPr>
          <w:rFonts w:ascii="Times New Roman" w:hAnsi="Times New Roman" w:cs="Times New Roman"/>
        </w:rPr>
      </w:pPr>
      <w:bookmarkStart w:id="10" w:name="_Toc161933346"/>
      <w:r w:rsidRPr="008E248F">
        <w:rPr>
          <w:rFonts w:ascii="Times New Roman" w:hAnsi="Times New Roman" w:cs="Times New Roman"/>
        </w:rPr>
        <w:lastRenderedPageBreak/>
        <w:t xml:space="preserve">3. </w:t>
      </w:r>
      <w:r w:rsidR="008E248F">
        <w:rPr>
          <w:rFonts w:ascii="Times New Roman" w:hAnsi="Times New Roman" w:cs="Times New Roman"/>
        </w:rPr>
        <w:t>Usnesení E</w:t>
      </w:r>
      <w:r w:rsidR="008E248F" w:rsidRPr="008E248F">
        <w:rPr>
          <w:rFonts w:ascii="Times New Roman" w:hAnsi="Times New Roman" w:cs="Times New Roman"/>
        </w:rPr>
        <w:t>vropského parlamentu</w:t>
      </w:r>
      <w:bookmarkEnd w:id="10"/>
      <w:r w:rsidR="008E248F" w:rsidRPr="008E248F">
        <w:rPr>
          <w:rFonts w:ascii="Times New Roman" w:hAnsi="Times New Roman" w:cs="Times New Roman"/>
        </w:rPr>
        <w:t xml:space="preserve"> ze dne 11. dubna 2024 obsahující</w:t>
      </w:r>
      <w:r w:rsidRPr="008E248F">
        <w:rPr>
          <w:rFonts w:ascii="Times New Roman" w:hAnsi="Times New Roman" w:cs="Times New Roman"/>
        </w:rPr>
        <w:t xml:space="preserve"> připomínky, které jsou nedílnou součástí rozhodnutí o udělení absolutoria za plnění rozpočtu Evropské agentury pro námořní bezpečnost na rozpočtový rok 2022</w:t>
      </w:r>
      <w:r w:rsidR="008E248F" w:rsidRPr="008E248F">
        <w:rPr>
          <w:rFonts w:ascii="Times New Roman" w:hAnsi="Times New Roman" w:cs="Times New Roman"/>
        </w:rPr>
        <w:t xml:space="preserve"> </w:t>
      </w:r>
      <w:r w:rsidRPr="008E248F">
        <w:rPr>
          <w:rFonts w:ascii="Times New Roman" w:hAnsi="Times New Roman" w:cs="Times New Roman"/>
        </w:rPr>
        <w:t>(2023/2158(DEC))</w:t>
      </w:r>
    </w:p>
    <w:p w:rsidR="00D5673B" w:rsidRPr="006B7E2B" w:rsidRDefault="00D5673B" w:rsidP="00D5673B">
      <w:pPr>
        <w:pStyle w:val="EPComma"/>
      </w:pPr>
      <w:r w:rsidRPr="006B7E2B">
        <w:rPr>
          <w:i/>
        </w:rPr>
        <w:t>Evropský parlament</w:t>
      </w:r>
      <w:r w:rsidRPr="006B7E2B">
        <w:t>,</w:t>
      </w:r>
    </w:p>
    <w:p w:rsidR="00D5673B" w:rsidRPr="006B7E2B" w:rsidRDefault="00D5673B" w:rsidP="00D5673B">
      <w:pPr>
        <w:pStyle w:val="NormalHanging12a"/>
      </w:pPr>
      <w:r w:rsidRPr="006B7E2B">
        <w:t>–</w:t>
      </w:r>
      <w:r w:rsidRPr="006B7E2B">
        <w:tab/>
        <w:t>s ohledem na své rozhodnutí o udělení absolutoria za plnění rozpočtu Evropské agentury pro námořní bezpečnost na rozpočtový rok 2022,</w:t>
      </w:r>
    </w:p>
    <w:p w:rsidR="00D5673B" w:rsidRPr="006B7E2B" w:rsidRDefault="00D5673B" w:rsidP="00D5673B">
      <w:pPr>
        <w:pStyle w:val="NormalHanging12a"/>
      </w:pPr>
      <w:r w:rsidRPr="006B7E2B">
        <w:t>–</w:t>
      </w:r>
      <w:r w:rsidRPr="006B7E2B">
        <w:tab/>
        <w:t>s ohledem na článek 100 a přílohu V jednacího řádu,</w:t>
      </w:r>
    </w:p>
    <w:p w:rsidR="00D5673B" w:rsidRPr="006B7E2B" w:rsidRDefault="00D5673B" w:rsidP="00D5673B">
      <w:pPr>
        <w:pStyle w:val="NormalHanging12a"/>
      </w:pPr>
      <w:r w:rsidRPr="006B7E2B">
        <w:t>–</w:t>
      </w:r>
      <w:r w:rsidRPr="006B7E2B">
        <w:tab/>
        <w:t>s ohledem na stanovisko Výboru pro dopravu a cestovní ruch,</w:t>
      </w:r>
    </w:p>
    <w:p w:rsidR="00D5673B" w:rsidRPr="006B7E2B" w:rsidRDefault="00D5673B" w:rsidP="00D5673B">
      <w:pPr>
        <w:pStyle w:val="NormalHanging12a"/>
      </w:pPr>
      <w:r w:rsidRPr="006B7E2B">
        <w:t>–</w:t>
      </w:r>
      <w:r w:rsidRPr="006B7E2B">
        <w:tab/>
        <w:t>s ohledem na zprávu Výboru pro rozpočtovou kontrolu (A9</w:t>
      </w:r>
      <w:r w:rsidRPr="006B7E2B">
        <w:noBreakHyphen/>
        <w:t>0107/2024),</w:t>
      </w:r>
    </w:p>
    <w:p w:rsidR="00D5673B" w:rsidRPr="006B7E2B" w:rsidRDefault="00D5673B" w:rsidP="00D5673B">
      <w:pPr>
        <w:spacing w:after="240"/>
        <w:ind w:left="567" w:hanging="567"/>
        <w:rPr>
          <w:szCs w:val="24"/>
        </w:rPr>
      </w:pPr>
      <w:r w:rsidRPr="006B7E2B">
        <w:t>A.</w:t>
      </w:r>
      <w:r w:rsidRPr="006B7E2B">
        <w:tab/>
        <w:t>vzhledem k tomu, že podle výkazu příjmů a výdajů</w:t>
      </w:r>
      <w:r w:rsidRPr="006B7E2B">
        <w:rPr>
          <w:rStyle w:val="FootnoteReference"/>
          <w:szCs w:val="24"/>
        </w:rPr>
        <w:footnoteReference w:id="11"/>
      </w:r>
      <w:r w:rsidR="00EE145C">
        <w:t xml:space="preserve"> </w:t>
      </w:r>
      <w:r w:rsidRPr="006B7E2B">
        <w:t>Evropské agentury pro námořní bezpečnost (dále jen „agentura“) dosahoval její konečný rozpočet na rozpočtový rok 2022 výše 115 807 269,88 EUR, což ve srovnání s rokem 2021 představuje nárůst o 9,48 %; vzhledem k tomu, že rozpočet agentury se odvíjí od rozpočtu Unie a provozních příjmů;</w:t>
      </w:r>
    </w:p>
    <w:p w:rsidR="00D5673B" w:rsidRPr="006B7E2B" w:rsidRDefault="00D5673B" w:rsidP="00D5673B">
      <w:pPr>
        <w:spacing w:after="240"/>
        <w:ind w:left="567" w:hanging="567"/>
        <w:rPr>
          <w:szCs w:val="24"/>
        </w:rPr>
      </w:pPr>
      <w:r w:rsidRPr="006B7E2B">
        <w:t>B.</w:t>
      </w:r>
      <w:r w:rsidRPr="006B7E2B">
        <w:tab/>
        <w:t>vzhledem k tomu, že Účetní dvůr ve své zprávě o roční účetní závěrce agentury za rozpočtový rok 2022 (dále jen „zpráva Účetního dvora“) prohlásil, že získal přiměřenou jistotu, že účetní závěrka agentury je spolehlivá a uskutečněné operace jsou legální a správné;</w:t>
      </w:r>
    </w:p>
    <w:p w:rsidR="00D5673B" w:rsidRPr="006B7E2B" w:rsidRDefault="00D5673B" w:rsidP="00D5673B">
      <w:pPr>
        <w:spacing w:after="240"/>
        <w:ind w:left="567" w:hanging="567"/>
        <w:rPr>
          <w:szCs w:val="24"/>
        </w:rPr>
      </w:pPr>
      <w:r w:rsidRPr="006B7E2B">
        <w:t>C.</w:t>
      </w:r>
      <w:r w:rsidRPr="006B7E2B">
        <w:tab/>
        <w:t>vzhledem k tomu, že pokud jde o zadávání veřejných zakázek agentury, nebyly za rok 2022 hlášeny žádné problémy vyžadující nápravná opatření, ani nejsou prováděna žádná nápravná opatření vyplývající z auditů a hodnocení z posledních let, ani žádná taková opatření nezbývá provést;</w:t>
      </w:r>
    </w:p>
    <w:p w:rsidR="00D5673B" w:rsidRPr="006B7E2B" w:rsidRDefault="00D5673B" w:rsidP="00D5673B">
      <w:pPr>
        <w:widowControl/>
        <w:spacing w:after="240"/>
        <w:ind w:left="567" w:hanging="567"/>
        <w:rPr>
          <w:szCs w:val="24"/>
        </w:rPr>
      </w:pPr>
      <w:r w:rsidRPr="006B7E2B">
        <w:t>D.</w:t>
      </w:r>
      <w:r w:rsidRPr="006B7E2B">
        <w:tab/>
        <w:t>vzhledem k tomu, že pokud jde o vnitřní kontrolní systémy agentury, nebyly za rok 2022 hlášeny žádné problémy vyžadující nápravná opatření, ani nejsou prováděna žádná nápravná opatření vyplývající z auditů a hodnocení z posledních let, ani žádná taková opatření nezbývá provést;</w:t>
      </w:r>
    </w:p>
    <w:p w:rsidR="00D5673B" w:rsidRPr="006B7E2B" w:rsidRDefault="00D5673B" w:rsidP="00D5673B">
      <w:pPr>
        <w:spacing w:after="240"/>
        <w:ind w:left="567" w:hanging="567"/>
        <w:rPr>
          <w:b/>
          <w:i/>
          <w:szCs w:val="24"/>
        </w:rPr>
      </w:pPr>
      <w:r w:rsidRPr="006B7E2B">
        <w:rPr>
          <w:b/>
          <w:i/>
        </w:rPr>
        <w:t>Rozpočtové a finanční řízení</w:t>
      </w:r>
    </w:p>
    <w:p w:rsidR="00D5673B" w:rsidRPr="006B7E2B" w:rsidRDefault="00D5673B" w:rsidP="00D5673B">
      <w:pPr>
        <w:spacing w:after="240"/>
        <w:ind w:left="567" w:hanging="567"/>
        <w:rPr>
          <w:szCs w:val="24"/>
        </w:rPr>
      </w:pPr>
      <w:r w:rsidRPr="006B7E2B">
        <w:t>1.</w:t>
      </w:r>
      <w:r w:rsidRPr="006B7E2B">
        <w:tab/>
        <w:t>s uspokojením konstatuje, že díky monitorování rozpočtu v rozpočtovém roce 2022 byla míra plnění prostředků na závazky v běžném roce ve výši 99,80 %, což oproti roku 2021 představuje mírný nárůst o 0,14 %, a že míra čerpání prostředků na platby v běžném roce činila 98,42 %, což rovněž představuje nárůst o 1,10 %;</w:t>
      </w:r>
    </w:p>
    <w:p w:rsidR="00D5673B" w:rsidRPr="006B7E2B" w:rsidRDefault="00D5673B" w:rsidP="00D5673B">
      <w:pPr>
        <w:spacing w:after="240"/>
        <w:ind w:left="567" w:hanging="567"/>
        <w:rPr>
          <w:b/>
          <w:i/>
          <w:szCs w:val="24"/>
        </w:rPr>
      </w:pPr>
      <w:r w:rsidRPr="006B7E2B">
        <w:rPr>
          <w:b/>
          <w:i/>
        </w:rPr>
        <w:t>Výkonnost</w:t>
      </w:r>
    </w:p>
    <w:p w:rsidR="00D5673B" w:rsidRPr="006B7E2B" w:rsidRDefault="00D5673B" w:rsidP="00D5673B">
      <w:pPr>
        <w:spacing w:after="240"/>
        <w:ind w:left="567" w:hanging="567"/>
        <w:rPr>
          <w:szCs w:val="24"/>
        </w:rPr>
      </w:pPr>
      <w:r w:rsidRPr="006B7E2B">
        <w:t>2.</w:t>
      </w:r>
      <w:r w:rsidRPr="006B7E2B">
        <w:tab/>
        <w:t xml:space="preserve">vítá skutečnost, že agentura používá k měření provádění svého ročního pracovního programu v klíčových oblastech, k nimž agentura přispívá, a svých horizontálních činností (udržitelnost, dohled, bezpečnost a zabezpečení, zjednodušení, digitalizace, technická pomoc, budování kapacit a strategická podpora) klíčové ukazatele výkonnosti; oceňuje, že daných cílů bylo celkově dosaženo, přičemž jen velmi málo </w:t>
      </w:r>
      <w:r w:rsidRPr="006B7E2B">
        <w:lastRenderedPageBreak/>
        <w:t>cílů nebylo splněno, zejména z oprávněných důvodů; dále konstatuje, že agentura dosáhla svých cílů pro rok 2022 v souladu s ročním pracovním programem a víceletým strategickým rámcem;</w:t>
      </w:r>
    </w:p>
    <w:p w:rsidR="00D5673B" w:rsidRPr="006B7E2B" w:rsidRDefault="00D5673B" w:rsidP="00D5673B">
      <w:pPr>
        <w:spacing w:after="240"/>
        <w:ind w:left="567" w:hanging="567"/>
        <w:rPr>
          <w:szCs w:val="24"/>
        </w:rPr>
      </w:pPr>
      <w:r w:rsidRPr="006B7E2B">
        <w:t>3.</w:t>
      </w:r>
      <w:r w:rsidRPr="006B7E2B">
        <w:tab/>
        <w:t xml:space="preserve">bere na vědomí, že agentura se aktivně zapojila do několika iniciativ souvisejících se Zelenou dohodou pro Evropu a poskytla Komisi a členským státům podporu a údaje se zvláštním důrazem na různé návrhy v rámci balíčku „Fit </w:t>
      </w:r>
      <w:proofErr w:type="spellStart"/>
      <w:r w:rsidRPr="006B7E2B">
        <w:t>for</w:t>
      </w:r>
      <w:proofErr w:type="spellEnd"/>
      <w:r w:rsidRPr="006B7E2B">
        <w:t xml:space="preserve"> 55“, např. iniciativu </w:t>
      </w:r>
      <w:proofErr w:type="spellStart"/>
      <w:r w:rsidRPr="006B7E2B">
        <w:t>FuelEU</w:t>
      </w:r>
      <w:proofErr w:type="spellEnd"/>
      <w:r w:rsidRPr="006B7E2B">
        <w:t xml:space="preserve"> </w:t>
      </w:r>
      <w:proofErr w:type="spellStart"/>
      <w:r w:rsidRPr="006B7E2B">
        <w:t>Maritime</w:t>
      </w:r>
      <w:proofErr w:type="spellEnd"/>
      <w:r w:rsidRPr="006B7E2B">
        <w:t xml:space="preserve"> a návrh, jehož cílem je rozšířit systém obchodování s emisemi na námořní dopravu;</w:t>
      </w:r>
    </w:p>
    <w:p w:rsidR="00D5673B" w:rsidRPr="006B7E2B" w:rsidRDefault="00D5673B" w:rsidP="00D5673B">
      <w:pPr>
        <w:spacing w:after="240"/>
        <w:ind w:left="567" w:hanging="567"/>
        <w:rPr>
          <w:szCs w:val="24"/>
        </w:rPr>
      </w:pPr>
      <w:r w:rsidRPr="006B7E2B">
        <w:t>4.</w:t>
      </w:r>
      <w:r w:rsidRPr="006B7E2B">
        <w:tab/>
        <w:t>vítá skutečnost, že agentura se po nezákonné a nevyprovokované ruské invazi na Ukrajinu v únoru 2022 stala důležitým aktérem, pokud jde o sledování a nahlašování plavidel, které jsou předmětem zájmu; v této souvislosti konstatuje, že služba námořní podpory informovala členské státy a Komisi o plavidlech plujících pod ruskou vlajkou, poskytovala informace o zastávkách lodí v přístavech EU konkrétním členským státům a Komisi a informovala i o zastávkách lodí v souvislosti se sankcemi (např. dovoz uhlí);</w:t>
      </w:r>
    </w:p>
    <w:p w:rsidR="00D5673B" w:rsidRPr="006B7E2B" w:rsidRDefault="00D5673B" w:rsidP="00D5673B">
      <w:pPr>
        <w:spacing w:after="240"/>
        <w:ind w:left="567" w:hanging="567"/>
        <w:rPr>
          <w:szCs w:val="24"/>
        </w:rPr>
      </w:pPr>
      <w:r w:rsidRPr="006B7E2B">
        <w:t>5.</w:t>
      </w:r>
      <w:r w:rsidRPr="006B7E2B">
        <w:tab/>
        <w:t xml:space="preserve">konstatuje, že služby agentury pro pozorování Země nadále pokračovaly ve vývoji a poskytování kapacity v oblasti dohledu s důrazem na síť </w:t>
      </w:r>
      <w:proofErr w:type="spellStart"/>
      <w:r w:rsidRPr="006B7E2B">
        <w:t>CleanSeaNet</w:t>
      </w:r>
      <w:proofErr w:type="spellEnd"/>
      <w:r w:rsidRPr="006B7E2B">
        <w:t xml:space="preserve">, námořní dohled programu </w:t>
      </w:r>
      <w:proofErr w:type="spellStart"/>
      <w:r w:rsidRPr="006B7E2B">
        <w:t>Copernicus</w:t>
      </w:r>
      <w:proofErr w:type="spellEnd"/>
      <w:r w:rsidRPr="006B7E2B">
        <w:t xml:space="preserve"> pro agenturu </w:t>
      </w:r>
      <w:proofErr w:type="spellStart"/>
      <w:r w:rsidRPr="006B7E2B">
        <w:t>Frontex</w:t>
      </w:r>
      <w:proofErr w:type="spellEnd"/>
      <w:r w:rsidRPr="006B7E2B">
        <w:t xml:space="preserve"> a podporu mimořádných námořních situací na moři v souvislosti s pohotovostním plánem agentury;</w:t>
      </w:r>
    </w:p>
    <w:p w:rsidR="00D5673B" w:rsidRPr="006B7E2B" w:rsidRDefault="00D5673B" w:rsidP="00D5673B">
      <w:pPr>
        <w:spacing w:after="240"/>
        <w:ind w:left="567" w:hanging="567"/>
        <w:rPr>
          <w:szCs w:val="24"/>
        </w:rPr>
      </w:pPr>
      <w:r w:rsidRPr="006B7E2B">
        <w:t>6.</w:t>
      </w:r>
      <w:r w:rsidRPr="006B7E2B">
        <w:tab/>
        <w:t>vítá skutečnost, že agentura poskytla technickou podporu Komisi a Kontrolnímu úřadu ESVO tím, že se účastnila inspekcí, které tyto orgány organizovaly s cílem posoudit a ověřit provádění a prosazování právních předpisů EU v oblasti námořní bezpečnosti v členských státech;</w:t>
      </w:r>
    </w:p>
    <w:p w:rsidR="00D5673B" w:rsidRPr="006B7E2B" w:rsidRDefault="00D5673B" w:rsidP="00D5673B">
      <w:pPr>
        <w:spacing w:after="240"/>
        <w:ind w:left="567" w:hanging="567"/>
        <w:rPr>
          <w:szCs w:val="24"/>
        </w:rPr>
      </w:pPr>
      <w:r w:rsidRPr="006B7E2B">
        <w:t>7.</w:t>
      </w:r>
      <w:r w:rsidRPr="006B7E2B">
        <w:tab/>
        <w:t>konstatuje, že v roce 2022 agentura poskytla Agentuře Evropské unie pro spolupráci v oblasti prosazování práva (EUROPOL) přístup k námořním informačním službám a informačním službám dohledu na její podporu v oblasti prosazování práva a organizované trestné činnosti na moři;</w:t>
      </w:r>
    </w:p>
    <w:p w:rsidR="00D5673B" w:rsidRPr="006B7E2B" w:rsidRDefault="00D5673B" w:rsidP="00D5673B">
      <w:pPr>
        <w:spacing w:after="240"/>
        <w:ind w:left="567" w:hanging="567"/>
        <w:rPr>
          <w:i/>
          <w:szCs w:val="24"/>
        </w:rPr>
      </w:pPr>
      <w:r w:rsidRPr="006B7E2B">
        <w:t>8.</w:t>
      </w:r>
      <w:r w:rsidRPr="006B7E2B">
        <w:tab/>
        <w:t>konstatuje, že agentura si v roce 2022 zachovala svou úlohu střediska excelence pro budování kapacit, provádění projektu NPP II a uzavírání projektů technické pomoci ve Středozemním moři (SAFEMED IV) a Černém a Kaspickém moři (BCSEA);</w:t>
      </w:r>
    </w:p>
    <w:p w:rsidR="00D5673B" w:rsidRPr="006B7E2B" w:rsidRDefault="00D5673B" w:rsidP="00D5673B">
      <w:pPr>
        <w:spacing w:after="240"/>
        <w:ind w:left="567" w:hanging="567"/>
      </w:pPr>
      <w:r w:rsidRPr="006B7E2B">
        <w:t>9.</w:t>
      </w:r>
      <w:r w:rsidRPr="006B7E2B">
        <w:tab/>
        <w:t>vítá skutečnost, že agentura podporuje Komisi v rámci IMO, zejména na fórech, jako je MEPC, PPR a CCC; tímto se podporují klíčové oblasti prevence a udržitelnosti znečištění, včetně strategie IMO pro snižování emisí skleníkových plynů, uhlíkové náročnosti lodní dopravy, bezpečnosti, hodnocení, zavádění a využívání udržitelných alternativních paliv a technologií a redukci odpadu v mořích a hluku pod mořskou hladinou; zdůrazňuje, že nadcházející práce IMO na vypracování odpovídajících požadavků a norem pro používání nových paliv a technologií bude mít klíčový význam pro jejich zavádění na celosvětové úrovni i na úrovni EU;</w:t>
      </w:r>
    </w:p>
    <w:p w:rsidR="00D5673B" w:rsidRPr="006B7E2B" w:rsidRDefault="00D5673B" w:rsidP="00D5673B">
      <w:pPr>
        <w:pStyle w:val="NormalHanging12a"/>
        <w:rPr>
          <w:b/>
          <w:i/>
          <w:color w:val="000000" w:themeColor="text1"/>
          <w:szCs w:val="24"/>
        </w:rPr>
      </w:pPr>
      <w:r w:rsidRPr="006B7E2B">
        <w:rPr>
          <w:b/>
          <w:i/>
          <w:color w:val="000000" w:themeColor="text1"/>
        </w:rPr>
        <w:t>Efektivita a přínosy</w:t>
      </w:r>
    </w:p>
    <w:p w:rsidR="00D5673B" w:rsidRPr="006B7E2B" w:rsidRDefault="00D5673B" w:rsidP="00D5673B">
      <w:pPr>
        <w:widowControl/>
        <w:spacing w:after="240"/>
        <w:ind w:left="567" w:hanging="567"/>
        <w:rPr>
          <w:szCs w:val="24"/>
        </w:rPr>
      </w:pPr>
      <w:r w:rsidRPr="006B7E2B">
        <w:rPr>
          <w:color w:val="000000" w:themeColor="text1"/>
        </w:rPr>
        <w:t>10.</w:t>
      </w:r>
      <w:r w:rsidRPr="006B7E2B">
        <w:rPr>
          <w:color w:val="000000" w:themeColor="text1"/>
        </w:rPr>
        <w:tab/>
      </w:r>
      <w:r w:rsidRPr="006B7E2B">
        <w:t xml:space="preserve">konstatuje, že v rámci nového mandátu pro evropskou spolupráci při výkonu funkcí pobřežní stráže agentura sdílí informace, odborné znalosti, postupy, školicí materiály a nástroje s Evropskou agenturou pro kontrolu rybolovu (EFCA) a agenturou </w:t>
      </w:r>
      <w:proofErr w:type="spellStart"/>
      <w:r w:rsidRPr="006B7E2B">
        <w:t>Frontex</w:t>
      </w:r>
      <w:proofErr w:type="spellEnd"/>
      <w:r w:rsidRPr="006B7E2B">
        <w:t>;</w:t>
      </w:r>
      <w:r w:rsidRPr="006B7E2B">
        <w:rPr>
          <w:color w:val="000000" w:themeColor="text1"/>
        </w:rPr>
        <w:t xml:space="preserve"> dále konstatuje, že agentura nadále úzce spolupracuje s Evropským monitorovacím centrem pro drogy a drogovou závislost (EMCCDA) s cílem zvýšit jeho účinnost a </w:t>
      </w:r>
      <w:r w:rsidRPr="006B7E2B">
        <w:rPr>
          <w:color w:val="000000" w:themeColor="text1"/>
        </w:rPr>
        <w:lastRenderedPageBreak/>
        <w:t xml:space="preserve">ušetřit náklady v důsledku zeměpisné blízkosti obou agentur; vítá skutečnost, že agentura poskytovala centru EMCCDA podporu sdílením znalostí, pokud jde o registraci v systému EMAS, a s agenturou EFCA nadále pokračovala v zajišťování vzájemného záložního mechanismu pro účetní funkci v obou agenturách; </w:t>
      </w:r>
      <w:r w:rsidRPr="006B7E2B">
        <w:t>zdůrazňuje horizontální přínosy spolupráce, přizpůsobování osvědčených postupů a také to, že společné iniciativy slučují různé pohledy, omezují zdvojování úsilí, posilují učení a vztahy mezi účastníky;</w:t>
      </w:r>
    </w:p>
    <w:p w:rsidR="00D5673B" w:rsidRPr="006B7E2B" w:rsidRDefault="00D5673B" w:rsidP="00D5673B">
      <w:pPr>
        <w:pStyle w:val="NormalHanging12a"/>
        <w:rPr>
          <w:color w:val="000000" w:themeColor="text1"/>
          <w:szCs w:val="24"/>
        </w:rPr>
      </w:pPr>
      <w:r w:rsidRPr="006B7E2B">
        <w:rPr>
          <w:color w:val="000000" w:themeColor="text1"/>
        </w:rPr>
        <w:t>11.</w:t>
      </w:r>
      <w:r w:rsidRPr="006B7E2B">
        <w:rPr>
          <w:color w:val="000000" w:themeColor="text1"/>
        </w:rPr>
        <w:tab/>
        <w:t>konstatuje, že agentura usilovala o zvýšení své efektivnosti a účinnosti automatizací postupů s cílem výrazně snížit administrativní zátěž konkrétních zaměstnanců, což by jim umožnilo zaměřit se na úkoly v souvisejících oblastech s vyšší přidanou hodnotou; konstatuje, že agentura kromě toho zahájila pilotní projekty v oblasti kvalifikovaného elektronického podpisu a integrace podnikových nástrojů do systému ARES; vyzývá agenturu, aby určila více interních postupů, které by mohly být zjednodušeny prostřednictvím automatizace;</w:t>
      </w:r>
    </w:p>
    <w:p w:rsidR="00D5673B" w:rsidRPr="006B7E2B" w:rsidRDefault="00D5673B" w:rsidP="00D5673B">
      <w:pPr>
        <w:spacing w:after="240"/>
        <w:ind w:left="567" w:hanging="567"/>
        <w:rPr>
          <w:b/>
          <w:i/>
          <w:szCs w:val="24"/>
        </w:rPr>
      </w:pPr>
      <w:r w:rsidRPr="006B7E2B">
        <w:rPr>
          <w:b/>
          <w:i/>
        </w:rPr>
        <w:t>Personální politika</w:t>
      </w:r>
    </w:p>
    <w:p w:rsidR="00D5673B" w:rsidRPr="006B7E2B" w:rsidRDefault="00D5673B" w:rsidP="00D5673B">
      <w:pPr>
        <w:pStyle w:val="NormalHanging12a"/>
        <w:rPr>
          <w:szCs w:val="24"/>
        </w:rPr>
      </w:pPr>
      <w:r w:rsidRPr="006B7E2B">
        <w:t>12.</w:t>
      </w:r>
      <w:r w:rsidRPr="006B7E2B">
        <w:tab/>
        <w:t>bere na vědomí, že ke dni 31. prosince 2022 byl plán pracovních míst stabilní a byl naplněn z 99,06 %, přičemž z 212 pracovních míst schválených v rámci rozpočtu Unie (stejný počet jako v roce 2021) bylo jmenováno 210 úředníků a dočasných zaměstnanců; konstatuje, že v roce 2022 dále pro agenturu pracovalo 28 smluvních zaměstnanců a 16 vyslaných národních odborníků;</w:t>
      </w:r>
    </w:p>
    <w:p w:rsidR="00D5673B" w:rsidRPr="006B7E2B" w:rsidRDefault="00D5673B" w:rsidP="00D5673B">
      <w:pPr>
        <w:pStyle w:val="NormalHanging12a"/>
      </w:pPr>
      <w:r w:rsidRPr="006B7E2B">
        <w:t>13.</w:t>
      </w:r>
      <w:r w:rsidRPr="006B7E2B">
        <w:tab/>
        <w:t xml:space="preserve">bere na vědomí genderovou nevyváženost vrcholného a středního managementu agentury, v němž ženy zastávají pět ze šestnácti pozic (31 %); bere na vědomí </w:t>
      </w:r>
      <w:proofErr w:type="spellStart"/>
      <w:r w:rsidRPr="006B7E2B">
        <w:t>genderově</w:t>
      </w:r>
      <w:proofErr w:type="spellEnd"/>
      <w:r w:rsidRPr="006B7E2B">
        <w:t xml:space="preserve"> nevyvážené složení správní rady agentury, v níž je z 57 členů 10 žen (18 %); konstatuje nedostatečnou genderovou rovnováhu v rámci celkového počtu 264 zaměstnanců agentury, mezi nimiž je 99 žen (38 %); připomíná, že je důležité zajistit, aby zastoupení žen a mužů bylo vyvážené, a vyzývá agenturu, aby tento aspekt zohledňovala při budoucím náboru zaměstnanců i při jmenování členů svého vrcholného a středního managementu; vítá v tomto ohledu skutečnost, že agentura zahájila akční plán pro rovnost žen a mužů na období 2022–2025, který se zaměřuje na zlepšení genderové vyváženosti a rovnosti v dlouhodobém horizontu na základě kvality; žádá Komisi a členské státy, aby při předkládání nominací svých členů do správní rady agentury přihlížely k tomu, že je důležité zajistit vyvážené zastoupení obou pohlaví; vybízí agenturu, aby rovněž přijala tzv. chartu o rozmanitosti a začleňování, a aby se i nadále podílela na iniciativách, které podporují rozmanitost a začleňování na pracovišti na všech úrovních hierarchie;</w:t>
      </w:r>
    </w:p>
    <w:p w:rsidR="00D5673B" w:rsidRPr="006B7E2B" w:rsidRDefault="00D5673B" w:rsidP="00D5673B">
      <w:pPr>
        <w:spacing w:after="240"/>
        <w:ind w:left="567" w:hanging="567"/>
      </w:pPr>
      <w:r w:rsidRPr="006B7E2B">
        <w:t>14.</w:t>
      </w:r>
      <w:r w:rsidRPr="006B7E2B">
        <w:tab/>
        <w:t>zdůrazňuje přetrvávající problémy při náboru vyslaných národních odborníků vzhledem k tomu, že je obtížné přilákat odborníky z členských států; poukazuje na to, že agentura měla několik neúspěšných výběrových řízení; navrhuje, aby interní smluvní zaměstnanci měli možnost přejít do další funkční skupiny tím, že se zúčastní obecného výběrového řízení; pokud jde o zvýšení efektivity, konstatuje, že agentura hodlá zlepšit své postupy, aby zvýšila svou účinnost a účelnost a dosáhla optimálního využívání svých lidských a finančních zdrojů, a vyvíjí úsilí v této věci;</w:t>
      </w:r>
    </w:p>
    <w:p w:rsidR="00D5673B" w:rsidRPr="006B7E2B" w:rsidRDefault="00D5673B" w:rsidP="00D5673B">
      <w:pPr>
        <w:pStyle w:val="NormalHanging12a"/>
      </w:pPr>
      <w:r w:rsidRPr="006B7E2B">
        <w:t>15.</w:t>
      </w:r>
      <w:r w:rsidRPr="006B7E2B">
        <w:tab/>
        <w:t>vítá skutečnost, že v souvislosti s předcházením obtěžování na pracovišti bylo jmenováno šest nových důvěrných poradců poté, co úspěšně dokončili povinné odborné školení, a daní poradci v agentuře v současnosti vykonávají tuto úlohu;</w:t>
      </w:r>
    </w:p>
    <w:p w:rsidR="00D5673B" w:rsidRPr="006B7E2B" w:rsidRDefault="00D5673B" w:rsidP="00D5673B">
      <w:pPr>
        <w:pStyle w:val="NormalHanging12a"/>
      </w:pPr>
      <w:r w:rsidRPr="006B7E2B">
        <w:lastRenderedPageBreak/>
        <w:t>16.</w:t>
      </w:r>
      <w:r w:rsidRPr="006B7E2B">
        <w:tab/>
        <w:t>konstatuje, že agentura zahájila projekt strategie v oblasti lidských zdrojů konzultací se zaměstnanci, vedením a výborem zaměstnanců, projekt na vytvoření on-line zaškolovacího programu pro nově příchozí a přípravné práce související s rozhodnutím o pracovní době a hybridní práci, které měly být přijaty v roce 2023; žádá agenturu, aby orgán příslušný k udělení absolutoria průběžně informovala o pokroku v této záležitosti;</w:t>
      </w:r>
    </w:p>
    <w:p w:rsidR="00D5673B" w:rsidRPr="006B7E2B" w:rsidRDefault="00D5673B" w:rsidP="00D5673B">
      <w:pPr>
        <w:pStyle w:val="NormalHanging12a"/>
        <w:rPr>
          <w:b/>
          <w:i/>
          <w:szCs w:val="24"/>
        </w:rPr>
      </w:pPr>
      <w:r w:rsidRPr="006B7E2B">
        <w:rPr>
          <w:b/>
          <w:i/>
        </w:rPr>
        <w:t>Prevence a řešení střetů zájmů a transparentnost</w:t>
      </w:r>
    </w:p>
    <w:p w:rsidR="00D5673B" w:rsidRPr="006B7E2B" w:rsidRDefault="00D5673B" w:rsidP="00D5673B">
      <w:pPr>
        <w:spacing w:after="240"/>
        <w:ind w:left="567" w:hanging="567"/>
        <w:rPr>
          <w:szCs w:val="24"/>
        </w:rPr>
      </w:pPr>
      <w:r w:rsidRPr="006B7E2B">
        <w:t>17.</w:t>
      </w:r>
      <w:r w:rsidRPr="006B7E2B">
        <w:tab/>
        <w:t>bere na vědomí, že členové a náhradníci správní rady agentury jsou žádáni, aby při svém jmenování a poté každý rok podepsali prohlášení o závazku a důvěrnosti a aby na začátku každého zasedání správní rady oznámili jakýkoli (potenciální) střet zájmů, který by mohl narušit projednávání jakéhokoli bodu pořadu jednání; konstatuje, že všichni zaměstnanci (včetně vrcholného vedení zapojeného do konkrétních postupů) musí ohlašovat (potenciální) střet zájmů v různých řízeních, jako je řízení zadávání zakázek a nábor zaměstnanců; bere na vědomí, že v průběhu roku 2022 oznámil jeden člen výběrové komise případ střetu zájmů v rámci výběrového řízení a po analýze prohlášeného střetu zájmů byl daný člen nahrazen;</w:t>
      </w:r>
    </w:p>
    <w:p w:rsidR="00D5673B" w:rsidRPr="006B7E2B" w:rsidRDefault="00D5673B" w:rsidP="00D5673B">
      <w:pPr>
        <w:spacing w:after="240"/>
        <w:ind w:left="567" w:hanging="567"/>
        <w:rPr>
          <w:szCs w:val="24"/>
        </w:rPr>
      </w:pPr>
      <w:r w:rsidRPr="006B7E2B">
        <w:t>18.</w:t>
      </w:r>
      <w:r w:rsidRPr="006B7E2B">
        <w:tab/>
        <w:t>konstatuje, že agentura přijala politiku v oblasti konfliktu zájmů pro členy správní rady EMSA, která stanoví zásady, jimiž se řídí nestrannost a nezávislost jejích členů a jejich náhradníků, a definuje opatření k zajištění jejich praktického uplatňování, aby se předešlo nevhodnému uplatňování nestrannosti a nezávislosti členů rady během jejich výkonu povinností minulými, současným nebo budoucími zájmy a zmírnilo se riziko, že by k tomu mohlo dojít;</w:t>
      </w:r>
    </w:p>
    <w:p w:rsidR="00D5673B" w:rsidRPr="006B7E2B" w:rsidRDefault="00D5673B" w:rsidP="00D5673B">
      <w:pPr>
        <w:spacing w:after="240"/>
        <w:ind w:left="567" w:hanging="567"/>
        <w:rPr>
          <w:szCs w:val="24"/>
        </w:rPr>
      </w:pPr>
      <w:r w:rsidRPr="006B7E2B">
        <w:t>19.</w:t>
      </w:r>
      <w:r w:rsidRPr="006B7E2B">
        <w:tab/>
        <w:t>bere na vědomí, že na internetových stránkách agentury jsou zveřejněny životopisy členů správní rady a vedoucích pracovníků;</w:t>
      </w:r>
    </w:p>
    <w:p w:rsidR="00D5673B" w:rsidRPr="006B7E2B" w:rsidRDefault="00D5673B" w:rsidP="00D5673B">
      <w:pPr>
        <w:pStyle w:val="Normal12Hanging"/>
        <w:rPr>
          <w:b/>
          <w:i/>
          <w:szCs w:val="24"/>
        </w:rPr>
      </w:pPr>
      <w:r w:rsidRPr="006B7E2B">
        <w:rPr>
          <w:b/>
          <w:i/>
        </w:rPr>
        <w:t>Další připomínky</w:t>
      </w:r>
    </w:p>
    <w:p w:rsidR="00D5673B" w:rsidRPr="006B7E2B" w:rsidRDefault="00D5673B" w:rsidP="00D5673B">
      <w:pPr>
        <w:spacing w:after="240"/>
        <w:ind w:left="567" w:hanging="567"/>
        <w:rPr>
          <w:szCs w:val="24"/>
        </w:rPr>
      </w:pPr>
      <w:r w:rsidRPr="006B7E2B">
        <w:t>20.</w:t>
      </w:r>
      <w:r w:rsidRPr="006B7E2B">
        <w:tab/>
        <w:t>oceňuje, že v souladu s rámcem řízení rizik agentury byl rejstřík rizik v roce 2022 plně aktualizován a doladěn a že během této činnosti byla zvláštní pozornost věnována identifikaci potenciálních rizik souvisejících s podvody a celkovým příležitostem; dále vítá, že v souvislosti s invazí Ruska na Ukrajinu bylo odhaleno několik nových rizik a příležitostí souvisejících s touto závažnou krizí, které byly zahrnuty do aktualizovaných registrů rizik;</w:t>
      </w:r>
    </w:p>
    <w:p w:rsidR="00D5673B" w:rsidRPr="006B7E2B" w:rsidRDefault="00D5673B" w:rsidP="00D5673B">
      <w:pPr>
        <w:spacing w:after="240"/>
        <w:ind w:left="567" w:hanging="567"/>
        <w:rPr>
          <w:szCs w:val="24"/>
        </w:rPr>
      </w:pPr>
      <w:r w:rsidRPr="006B7E2B">
        <w:t>21.</w:t>
      </w:r>
      <w:r w:rsidRPr="006B7E2B">
        <w:tab/>
        <w:t>blahopřeje agentuře, že vyvinula řadu produktů ad hoc, které členským státům a Komisi pomáhají při provádění sankcí EU souvisejících s invazí Ukrajiny Ruskou federací, jako je podávání zpráv o zastávkách lodí, pokud jde o konkrétní náklad a vlajku, pod kterou se loď plaví; dále vítá skutečnost, že agentura vypracovala a poskytuje příslušným aktérům měsíční zprávy o dopadu vývoje na Ukrajině na námořní dopravu a obchod;</w:t>
      </w:r>
    </w:p>
    <w:p w:rsidR="00D5673B" w:rsidRPr="006B7E2B" w:rsidRDefault="00D5673B" w:rsidP="00D5673B">
      <w:pPr>
        <w:spacing w:after="240"/>
        <w:ind w:left="567" w:hanging="567"/>
        <w:rPr>
          <w:szCs w:val="24"/>
        </w:rPr>
      </w:pPr>
      <w:r w:rsidRPr="006B7E2B">
        <w:t>22.</w:t>
      </w:r>
      <w:r w:rsidRPr="006B7E2B">
        <w:tab/>
        <w:t>vítá skutečnost, že agentura v roce 2022 provedla různé zelené činnosti, mimo jiné realizovala např. rozsáhlou komunikační kampaň k ekologizaci, vytvořila opakovaně použitelnou stacionární místnost, zúčastnila se Evropského týdnu mobility a snížila základní teplotu v prostorách během zimního období;</w:t>
      </w:r>
    </w:p>
    <w:p w:rsidR="00D5673B" w:rsidRPr="006B7E2B" w:rsidRDefault="00D5673B" w:rsidP="00D5673B">
      <w:pPr>
        <w:spacing w:after="240"/>
        <w:ind w:left="567" w:hanging="567"/>
        <w:rPr>
          <w:szCs w:val="24"/>
        </w:rPr>
      </w:pPr>
      <w:r w:rsidRPr="006B7E2B">
        <w:t>23.</w:t>
      </w:r>
      <w:r w:rsidRPr="006B7E2B">
        <w:tab/>
        <w:t>připomíná, že agentura zahájila činnost v roce 2019 projekt ekologizace, jejímž cílem je zavést environmentální řízení, a že poslední etapa projektu uzavřená externím ověřovacím auditem se uskutečnila v lednu 2022; konstatuje, že  v důsledku toho agentura získala označení EMAS a zveřejnila své environmentální prohlášení;</w:t>
      </w:r>
    </w:p>
    <w:p w:rsidR="00D5673B" w:rsidRPr="006B7E2B" w:rsidRDefault="00D5673B" w:rsidP="00D5673B">
      <w:pPr>
        <w:spacing w:after="240"/>
        <w:ind w:left="567" w:hanging="567"/>
        <w:rPr>
          <w:szCs w:val="24"/>
        </w:rPr>
      </w:pPr>
      <w:r w:rsidRPr="006B7E2B">
        <w:lastRenderedPageBreak/>
        <w:t>24.</w:t>
      </w:r>
      <w:r w:rsidRPr="006B7E2B">
        <w:tab/>
        <w:t>konstatuje, že agentura zintenzivnila svou spolupráci s Agenturou Evropské unie pro kybernetickou bezpečnost tím, že se účastnila pilotního projektu budoucího provádění připravovaného nařízení o kybernetické bezpečnosti; dále konstatuje, že agentura posílila svou spolupráci s centrem CERT EU tím, že prodloužila zvláštní dohodu o úrovni poskytovaných služeb, která nyní zahrnuje více opatření, jako je vyšší počet posouzení bezpečnosti, a poskytnutím přístupu ke sledování bezpečnostních událostí v reálném čase v rámci IT infrastruktury agentury EMSA; dále konstatuje, že agentura provádí pravidelná bezpečnostní hodnocení s týmem centra CERT EU a poskytovatelem interinstitucionálních bezpečnostních služeb Rady;</w:t>
      </w:r>
    </w:p>
    <w:p w:rsidR="00D5673B" w:rsidRPr="006B7E2B" w:rsidRDefault="00D5673B" w:rsidP="00D5673B">
      <w:pPr>
        <w:spacing w:after="240"/>
        <w:ind w:left="567" w:hanging="567"/>
        <w:rPr>
          <w:szCs w:val="24"/>
        </w:rPr>
      </w:pPr>
      <w:r w:rsidRPr="006B7E2B">
        <w:t>25.</w:t>
      </w:r>
      <w:r w:rsidRPr="006B7E2B">
        <w:tab/>
        <w:t>konstatuje, že agentura zavedla různá opatření s cílem zvýšit svou viditelnost na veřejnosti a přítomnost na internetu, jako je pořádání konferencí, sdílení videí vysvětlujících hlavní činnost a pravomoci agentury, živé vysílání a zahájení „dnů otevřených dveří agentury EMSA“;</w:t>
      </w:r>
    </w:p>
    <w:p w:rsidR="00D5673B" w:rsidRPr="006B7E2B" w:rsidRDefault="00D5673B" w:rsidP="00D5673B">
      <w:pPr>
        <w:pStyle w:val="NormalHanging12a"/>
      </w:pPr>
      <w:r w:rsidRPr="006B7E2B">
        <w:t>26.</w:t>
      </w:r>
      <w:r w:rsidRPr="006B7E2B">
        <w:tab/>
        <w:t>vítá závazek agentury posílit svou mnohojazyčnou komunikaci, která zajistí větší dostupnost pro všechny evropské občany; konstatuje, že pětiletá strategie agentury, evropská námořní environmentální zpráva a evropská zpráva o námořní bezpečnosti jsou nyní k dispozici ve všech 24 jazycích EU;</w:t>
      </w:r>
    </w:p>
    <w:p w:rsidR="00D5673B" w:rsidRPr="006B7E2B" w:rsidRDefault="00D5673B" w:rsidP="00D5673B">
      <w:pPr>
        <w:spacing w:after="240"/>
        <w:ind w:left="567" w:hanging="567"/>
      </w:pPr>
      <w:r w:rsidRPr="006B7E2B">
        <w:t>27.</w:t>
      </w:r>
      <w:r w:rsidRPr="006B7E2B">
        <w:tab/>
        <w:t xml:space="preserve">zdůrazňuje význam agentury v oblasti námořní bezpečnosti a požaduje, aby v tomto rámci i nadále poskytovala technickou pomoc Komise při inspekcích podle nařízení Evropského parlamentu a Rady </w:t>
      </w:r>
      <w:r w:rsidR="00EE145C">
        <w:t xml:space="preserve">(ES) </w:t>
      </w:r>
      <w:r w:rsidRPr="006B7E2B">
        <w:t>č. 725/2004 o zvýšení bezpečnosti lodí a přístavních zařízení; zdůrazňuje, že počet incidentů v oblasti kybernetické bezpečnosti v námořním odvětví se v posledních letech výrazně zvýšil;</w:t>
      </w:r>
    </w:p>
    <w:p w:rsidR="00D5673B" w:rsidRPr="006B7E2B" w:rsidRDefault="00D5673B" w:rsidP="00D5673B">
      <w:pPr>
        <w:spacing w:after="240"/>
        <w:ind w:left="567" w:hanging="567"/>
      </w:pPr>
      <w:r w:rsidRPr="006B7E2B">
        <w:t>28.</w:t>
      </w:r>
      <w:r w:rsidRPr="006B7E2B">
        <w:tab/>
        <w:t>vyzývá k podpoře digitalizace námořního odvětví usnadněním elektronického přenosu údajů, podporou zjednodušení a poskytováním integrovaných systémů a služeb námořního dohledu a informování o situaci a služeb poskytovaných Komisi a členským státům;</w:t>
      </w:r>
    </w:p>
    <w:p w:rsidR="00D5673B" w:rsidRPr="006B7E2B" w:rsidRDefault="00D5673B" w:rsidP="00D5673B">
      <w:pPr>
        <w:spacing w:after="240"/>
        <w:ind w:left="567" w:hanging="567"/>
      </w:pPr>
      <w:r w:rsidRPr="006B7E2B">
        <w:t>29.</w:t>
      </w:r>
      <w:r w:rsidRPr="006B7E2B">
        <w:tab/>
        <w:t>zdůrazňuje, že růst loďstva EU (jak z hlediska počtu lodí, tak z hlediska prostornosti) je ve srovnání s růstem celosvětového loďstva pomalejší; v posledních pěti letech zaznamenalo loďstvo EU růst o 3,4 %, na rozdíl od světového loďstva, které vykazovalo významnější míru růstu ve výši 7 %;</w:t>
      </w:r>
    </w:p>
    <w:p w:rsidR="00EE145C" w:rsidRDefault="00EE145C" w:rsidP="00EE145C">
      <w:pPr>
        <w:widowControl/>
        <w:spacing w:after="240"/>
        <w:jc w:val="center"/>
      </w:pPr>
      <w:r>
        <w:t>°</w:t>
      </w:r>
    </w:p>
    <w:p w:rsidR="00EE145C" w:rsidRDefault="00EE145C" w:rsidP="00EE145C">
      <w:pPr>
        <w:widowControl/>
        <w:spacing w:after="240"/>
        <w:jc w:val="center"/>
      </w:pPr>
      <w:r>
        <w:t>°     °</w:t>
      </w:r>
    </w:p>
    <w:p w:rsidR="00D5673B" w:rsidRPr="006B7E2B" w:rsidRDefault="00D5673B" w:rsidP="00D5673B">
      <w:pPr>
        <w:widowControl/>
        <w:ind w:left="567" w:hanging="567"/>
      </w:pPr>
      <w:r w:rsidRPr="006B7E2B">
        <w:t>30.</w:t>
      </w:r>
      <w:r w:rsidRPr="006B7E2B">
        <w:tab/>
        <w:t xml:space="preserve">pokud jde o další připomínky, které jsou připojeny k rozhodnutí o udělení absolutoria a jsou horizontální povahy, odkazuje na své usnesení ze dne </w:t>
      </w:r>
      <w:r w:rsidR="008E248F">
        <w:t>11. dubna 2024</w:t>
      </w:r>
      <w:r w:rsidRPr="006B7E2B">
        <w:rPr>
          <w:rStyle w:val="FootnoteReference"/>
        </w:rPr>
        <w:footnoteReference w:id="12"/>
      </w:r>
      <w:r w:rsidRPr="006B7E2B">
        <w:t xml:space="preserve"> o výkonnosti, finančním řízení a kontrole evropských agentur.</w:t>
      </w:r>
    </w:p>
    <w:sectPr w:rsidR="00D5673B" w:rsidRPr="006B7E2B" w:rsidSect="008E248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D8F" w:rsidRPr="006B7E2B" w:rsidRDefault="00BD2D8F">
      <w:r w:rsidRPr="006B7E2B">
        <w:separator/>
      </w:r>
    </w:p>
  </w:endnote>
  <w:endnote w:type="continuationSeparator" w:id="0">
    <w:p w:rsidR="00BD2D8F" w:rsidRPr="006B7E2B" w:rsidRDefault="00BD2D8F">
      <w:r w:rsidRPr="006B7E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673B" w:rsidRPr="006B7E2B" w:rsidRDefault="00D5673B" w:rsidP="003F144B">
    <w:pPr>
      <w:pStyle w:val="EPFooter"/>
    </w:pPr>
    <w:r w:rsidRPr="006B7E2B">
      <w:t>PE</w:t>
    </w:r>
    <w:r w:rsidRPr="006B7E2B">
      <w:rPr>
        <w:rStyle w:val="HideTWBExt"/>
      </w:rPr>
      <w:t>&lt;NoPE&gt;</w:t>
    </w:r>
    <w:r w:rsidRPr="006B7E2B">
      <w:t>753.526</w:t>
    </w:r>
    <w:r w:rsidRPr="006B7E2B">
      <w:rPr>
        <w:rStyle w:val="HideTWBExt"/>
      </w:rPr>
      <w:t>&lt;/NoPE&gt;&lt;Version&gt;</w:t>
    </w:r>
    <w:r w:rsidRPr="006B7E2B">
      <w:t>v02-00</w:t>
    </w:r>
    <w:r w:rsidRPr="006B7E2B">
      <w:rPr>
        <w:rStyle w:val="HideTWBExt"/>
      </w:rPr>
      <w:t>&lt;/Version&gt;</w:t>
    </w:r>
    <w:r w:rsidRPr="006B7E2B">
      <w:tab/>
    </w:r>
    <w:r w:rsidRPr="006B7E2B">
      <w:fldChar w:fldCharType="begin"/>
    </w:r>
    <w:r w:rsidRPr="006B7E2B">
      <w:instrText xml:space="preserve"> PAGE  \* MERGEFORMAT </w:instrText>
    </w:r>
    <w:r w:rsidRPr="006B7E2B">
      <w:fldChar w:fldCharType="separate"/>
    </w:r>
    <w:r w:rsidRPr="006B7E2B">
      <w:rPr>
        <w:noProof/>
      </w:rPr>
      <w:t>10</w:t>
    </w:r>
    <w:r w:rsidRPr="006B7E2B">
      <w:fldChar w:fldCharType="end"/>
    </w:r>
    <w:r w:rsidRPr="006B7E2B">
      <w:t>/</w:t>
    </w:r>
    <w:r w:rsidR="0086358C">
      <w:fldChar w:fldCharType="begin"/>
    </w:r>
    <w:r w:rsidR="0086358C">
      <w:instrText xml:space="preserve"> NUMPAGES  \* MERGEFORMAT </w:instrText>
    </w:r>
    <w:r w:rsidR="0086358C">
      <w:fldChar w:fldCharType="separate"/>
    </w:r>
    <w:r w:rsidRPr="006B7E2B">
      <w:rPr>
        <w:noProof/>
      </w:rPr>
      <w:t>10</w:t>
    </w:r>
    <w:r w:rsidR="0086358C">
      <w:rPr>
        <w:noProof/>
      </w:rPr>
      <w:fldChar w:fldCharType="end"/>
    </w:r>
    <w:r w:rsidRPr="006B7E2B">
      <w:tab/>
    </w:r>
    <w:r w:rsidRPr="006B7E2B">
      <w:rPr>
        <w:rStyle w:val="HideTWBExt"/>
      </w:rPr>
      <w:t>&lt;PathFdR&gt;</w:t>
    </w:r>
    <w:r w:rsidRPr="006B7E2B">
      <w:t>RR\1298830CS.docx</w:t>
    </w:r>
    <w:r w:rsidRPr="006B7E2B">
      <w:rPr>
        <w:rStyle w:val="HideTWBExt"/>
      </w:rPr>
      <w:t>&lt;/PathFdR&gt;</w:t>
    </w:r>
  </w:p>
  <w:p w:rsidR="00D5673B" w:rsidRPr="006B7E2B" w:rsidRDefault="00D5673B" w:rsidP="003F144B">
    <w:pPr>
      <w:pStyle w:val="EPFooter2"/>
    </w:pPr>
    <w:r w:rsidRPr="006B7E2B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673B" w:rsidRPr="006B7E2B" w:rsidRDefault="00D5673B" w:rsidP="003F144B">
    <w:pPr>
      <w:pStyle w:val="EPFooter"/>
    </w:pPr>
    <w:r w:rsidRPr="006B7E2B">
      <w:rPr>
        <w:rStyle w:val="HideTWBExt"/>
      </w:rPr>
      <w:t>&lt;PathFdR&gt;</w:t>
    </w:r>
    <w:r w:rsidRPr="006B7E2B">
      <w:t>RR\1298830CS.docx</w:t>
    </w:r>
    <w:r w:rsidRPr="006B7E2B">
      <w:rPr>
        <w:rStyle w:val="HideTWBExt"/>
      </w:rPr>
      <w:t>&lt;/PathFdR&gt;</w:t>
    </w:r>
    <w:r w:rsidRPr="006B7E2B">
      <w:tab/>
    </w:r>
    <w:r w:rsidRPr="006B7E2B">
      <w:tab/>
      <w:t>PE</w:t>
    </w:r>
    <w:r w:rsidRPr="006B7E2B">
      <w:rPr>
        <w:rStyle w:val="HideTWBExt"/>
      </w:rPr>
      <w:t>&lt;NoPE&gt;</w:t>
    </w:r>
    <w:r w:rsidRPr="006B7E2B">
      <w:t>753.526</w:t>
    </w:r>
    <w:r w:rsidRPr="006B7E2B">
      <w:rPr>
        <w:rStyle w:val="HideTWBExt"/>
      </w:rPr>
      <w:t>&lt;/NoPE&gt;&lt;Version&gt;</w:t>
    </w:r>
    <w:r w:rsidRPr="006B7E2B">
      <w:t>v02-00</w:t>
    </w:r>
    <w:r w:rsidRPr="006B7E2B">
      <w:rPr>
        <w:rStyle w:val="HideTWBExt"/>
      </w:rPr>
      <w:t>&lt;/Version&gt;</w:t>
    </w:r>
  </w:p>
  <w:p w:rsidR="00D5673B" w:rsidRPr="006B7E2B" w:rsidRDefault="00D5673B" w:rsidP="003F144B">
    <w:pPr>
      <w:pStyle w:val="EPFooter2"/>
    </w:pPr>
    <w:r w:rsidRPr="006B7E2B">
      <w:t>CS</w:t>
    </w:r>
    <w:r w:rsidRPr="006B7E2B">
      <w:tab/>
    </w:r>
    <w:r w:rsidRPr="006B7E2B">
      <w:rPr>
        <w:b w:val="0"/>
        <w:i/>
        <w:color w:val="C0C0C0"/>
        <w:sz w:val="22"/>
      </w:rPr>
      <w:t>Jednotná v rozmanitosti</w:t>
    </w:r>
    <w:r w:rsidRPr="006B7E2B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7E2B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7E2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7E2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D8F" w:rsidRPr="006B7E2B" w:rsidRDefault="00BD2D8F">
      <w:r w:rsidRPr="006B7E2B">
        <w:separator/>
      </w:r>
    </w:p>
  </w:footnote>
  <w:footnote w:type="continuationSeparator" w:id="0">
    <w:p w:rsidR="00BD2D8F" w:rsidRPr="006B7E2B" w:rsidRDefault="00BD2D8F">
      <w:r w:rsidRPr="006B7E2B">
        <w:continuationSeparator/>
      </w:r>
    </w:p>
  </w:footnote>
  <w:footnote w:id="1">
    <w:p w:rsidR="00D5673B" w:rsidRPr="006B7E2B" w:rsidRDefault="00D5673B" w:rsidP="006B7E2B">
      <w:pPr>
        <w:pStyle w:val="FootnoteText"/>
        <w:ind w:left="567" w:hanging="567"/>
        <w:rPr>
          <w:sz w:val="24"/>
          <w:lang w:val="cs-CZ"/>
        </w:rPr>
      </w:pPr>
      <w:r w:rsidRPr="006B7E2B">
        <w:rPr>
          <w:rStyle w:val="FootnoteReference"/>
          <w:sz w:val="24"/>
          <w:lang w:val="cs-CZ"/>
        </w:rPr>
        <w:footnoteRef/>
      </w:r>
      <w:r w:rsidR="006B7E2B" w:rsidRPr="006B7E2B">
        <w:rPr>
          <w:sz w:val="24"/>
          <w:lang w:val="cs-CZ"/>
        </w:rPr>
        <w:t xml:space="preserve"> </w:t>
      </w:r>
      <w:r w:rsidR="006B7E2B" w:rsidRPr="006B7E2B">
        <w:rPr>
          <w:sz w:val="24"/>
          <w:lang w:val="cs-CZ"/>
        </w:rPr>
        <w:tab/>
      </w:r>
      <w:proofErr w:type="spellStart"/>
      <w:r w:rsidRPr="006B7E2B">
        <w:rPr>
          <w:sz w:val="24"/>
          <w:lang w:val="cs-CZ"/>
        </w:rPr>
        <w:t>Ú</w:t>
      </w:r>
      <w:r w:rsidR="00572202">
        <w:rPr>
          <w:sz w:val="24"/>
          <w:lang w:val="cs-CZ"/>
        </w:rPr>
        <w:t>ř</w:t>
      </w:r>
      <w:proofErr w:type="spellEnd"/>
      <w:r w:rsidR="00572202">
        <w:rPr>
          <w:sz w:val="24"/>
          <w:lang w:val="cs-CZ"/>
        </w:rPr>
        <w:t xml:space="preserve">. </w:t>
      </w:r>
      <w:proofErr w:type="spellStart"/>
      <w:proofErr w:type="gramStart"/>
      <w:r w:rsidR="00572202">
        <w:rPr>
          <w:sz w:val="24"/>
          <w:lang w:val="cs-CZ"/>
        </w:rPr>
        <w:t>věst</w:t>
      </w:r>
      <w:proofErr w:type="spellEnd"/>
      <w:proofErr w:type="gramEnd"/>
      <w:r w:rsidR="00572202">
        <w:rPr>
          <w:sz w:val="24"/>
          <w:lang w:val="cs-CZ"/>
        </w:rPr>
        <w:t xml:space="preserve">. </w:t>
      </w:r>
      <w:r w:rsidR="0086358C">
        <w:rPr>
          <w:sz w:val="24"/>
          <w:lang w:val="cs-CZ"/>
        </w:rPr>
        <w:t xml:space="preserve">C, </w:t>
      </w:r>
      <w:r w:rsidR="00572202">
        <w:rPr>
          <w:sz w:val="24"/>
          <w:lang w:val="cs-CZ"/>
        </w:rPr>
        <w:t xml:space="preserve">C/2023/594, </w:t>
      </w:r>
      <w:proofErr w:type="gramStart"/>
      <w:r w:rsidR="00572202">
        <w:rPr>
          <w:sz w:val="24"/>
          <w:lang w:val="cs-CZ"/>
        </w:rPr>
        <w:t>27.10.2023</w:t>
      </w:r>
      <w:proofErr w:type="gramEnd"/>
      <w:r w:rsidR="00572202">
        <w:rPr>
          <w:sz w:val="24"/>
          <w:lang w:val="cs-CZ"/>
        </w:rPr>
        <w:t>.</w:t>
      </w:r>
    </w:p>
  </w:footnote>
  <w:footnote w:id="2">
    <w:p w:rsidR="00D5673B" w:rsidRPr="006B7E2B" w:rsidRDefault="00D5673B" w:rsidP="006B7E2B">
      <w:pPr>
        <w:pStyle w:val="FootnoteText"/>
        <w:ind w:left="567" w:hanging="567"/>
        <w:rPr>
          <w:sz w:val="24"/>
          <w:lang w:val="cs-CZ"/>
        </w:rPr>
      </w:pPr>
      <w:r w:rsidRPr="006B7E2B">
        <w:rPr>
          <w:rStyle w:val="FootnoteReference"/>
          <w:sz w:val="24"/>
          <w:lang w:val="cs-CZ"/>
        </w:rPr>
        <w:footnoteRef/>
      </w:r>
      <w:r w:rsidR="006B7E2B" w:rsidRPr="006B7E2B">
        <w:rPr>
          <w:sz w:val="24"/>
          <w:lang w:val="cs-CZ"/>
        </w:rPr>
        <w:t xml:space="preserve"> </w:t>
      </w:r>
      <w:r w:rsidR="006B7E2B" w:rsidRPr="006B7E2B">
        <w:rPr>
          <w:sz w:val="24"/>
          <w:lang w:val="cs-CZ"/>
        </w:rPr>
        <w:tab/>
      </w:r>
      <w:proofErr w:type="spellStart"/>
      <w:r w:rsidRPr="006B7E2B">
        <w:rPr>
          <w:sz w:val="24"/>
          <w:lang w:val="cs-CZ"/>
        </w:rPr>
        <w:t>Úř</w:t>
      </w:r>
      <w:proofErr w:type="spellEnd"/>
      <w:r w:rsidRPr="006B7E2B">
        <w:rPr>
          <w:sz w:val="24"/>
          <w:lang w:val="cs-CZ"/>
        </w:rPr>
        <w:t xml:space="preserve">. </w:t>
      </w:r>
      <w:proofErr w:type="spellStart"/>
      <w:proofErr w:type="gramStart"/>
      <w:r w:rsidRPr="006B7E2B">
        <w:rPr>
          <w:sz w:val="24"/>
          <w:lang w:val="cs-CZ"/>
        </w:rPr>
        <w:t>věst</w:t>
      </w:r>
      <w:proofErr w:type="spellEnd"/>
      <w:proofErr w:type="gramEnd"/>
      <w:r w:rsidRPr="006B7E2B">
        <w:rPr>
          <w:sz w:val="24"/>
          <w:lang w:val="cs-CZ"/>
        </w:rPr>
        <w:t xml:space="preserve">. </w:t>
      </w:r>
      <w:r w:rsidR="0086358C">
        <w:rPr>
          <w:sz w:val="24"/>
          <w:lang w:val="cs-CZ"/>
        </w:rPr>
        <w:t xml:space="preserve">C, </w:t>
      </w:r>
      <w:r w:rsidRPr="006B7E2B">
        <w:rPr>
          <w:sz w:val="24"/>
          <w:lang w:val="cs-CZ"/>
        </w:rPr>
        <w:t xml:space="preserve">C/2023/112, </w:t>
      </w:r>
      <w:proofErr w:type="gramStart"/>
      <w:r w:rsidRPr="006B7E2B">
        <w:rPr>
          <w:sz w:val="24"/>
          <w:lang w:val="cs-CZ"/>
        </w:rPr>
        <w:t>12.10.2023</w:t>
      </w:r>
      <w:proofErr w:type="gramEnd"/>
      <w:r w:rsidRPr="006B7E2B">
        <w:rPr>
          <w:sz w:val="24"/>
          <w:lang w:val="cs-CZ"/>
        </w:rPr>
        <w:t>.</w:t>
      </w:r>
    </w:p>
  </w:footnote>
  <w:footnote w:id="3">
    <w:p w:rsidR="00D5673B" w:rsidRPr="006B7E2B" w:rsidRDefault="00D5673B" w:rsidP="006B7E2B">
      <w:pPr>
        <w:pStyle w:val="FootnoteText"/>
        <w:ind w:left="567" w:hanging="567"/>
        <w:rPr>
          <w:sz w:val="24"/>
          <w:lang w:val="cs-CZ"/>
        </w:rPr>
      </w:pPr>
      <w:r w:rsidRPr="006B7E2B">
        <w:rPr>
          <w:rStyle w:val="FootnoteReference"/>
          <w:sz w:val="24"/>
          <w:lang w:val="cs-CZ"/>
        </w:rPr>
        <w:footnoteRef/>
      </w:r>
      <w:r w:rsidR="006B7E2B" w:rsidRPr="006B7E2B">
        <w:rPr>
          <w:sz w:val="24"/>
          <w:lang w:val="cs-CZ"/>
        </w:rPr>
        <w:t xml:space="preserve"> </w:t>
      </w:r>
      <w:r w:rsidR="006B7E2B" w:rsidRPr="006B7E2B">
        <w:rPr>
          <w:sz w:val="24"/>
          <w:lang w:val="cs-CZ"/>
        </w:rPr>
        <w:tab/>
      </w:r>
      <w:proofErr w:type="spellStart"/>
      <w:r w:rsidRPr="006B7E2B">
        <w:rPr>
          <w:sz w:val="24"/>
          <w:lang w:val="cs-CZ"/>
        </w:rPr>
        <w:t>Úř</w:t>
      </w:r>
      <w:proofErr w:type="spellEnd"/>
      <w:r w:rsidRPr="006B7E2B">
        <w:rPr>
          <w:sz w:val="24"/>
          <w:lang w:val="cs-CZ"/>
        </w:rPr>
        <w:t xml:space="preserve">. </w:t>
      </w:r>
      <w:proofErr w:type="spellStart"/>
      <w:proofErr w:type="gramStart"/>
      <w:r w:rsidRPr="006B7E2B">
        <w:rPr>
          <w:sz w:val="24"/>
          <w:lang w:val="cs-CZ"/>
        </w:rPr>
        <w:t>věst</w:t>
      </w:r>
      <w:proofErr w:type="spellEnd"/>
      <w:proofErr w:type="gramEnd"/>
      <w:r w:rsidRPr="006B7E2B">
        <w:rPr>
          <w:sz w:val="24"/>
          <w:lang w:val="cs-CZ"/>
        </w:rPr>
        <w:t xml:space="preserve">. L 193, </w:t>
      </w:r>
      <w:proofErr w:type="gramStart"/>
      <w:r w:rsidRPr="006B7E2B">
        <w:rPr>
          <w:sz w:val="24"/>
          <w:lang w:val="cs-CZ"/>
        </w:rPr>
        <w:t>30.7.2018</w:t>
      </w:r>
      <w:proofErr w:type="gramEnd"/>
      <w:r w:rsidRPr="006B7E2B">
        <w:rPr>
          <w:sz w:val="24"/>
          <w:lang w:val="cs-CZ"/>
        </w:rPr>
        <w:t>, s. 1.</w:t>
      </w:r>
    </w:p>
  </w:footnote>
  <w:footnote w:id="4">
    <w:p w:rsidR="00D5673B" w:rsidRPr="006B7E2B" w:rsidRDefault="00D5673B" w:rsidP="006B7E2B">
      <w:pPr>
        <w:pStyle w:val="FootnoteText"/>
        <w:ind w:left="567" w:hanging="567"/>
        <w:rPr>
          <w:sz w:val="24"/>
          <w:lang w:val="cs-CZ"/>
        </w:rPr>
      </w:pPr>
      <w:r w:rsidRPr="006B7E2B">
        <w:rPr>
          <w:rStyle w:val="FootnoteReference"/>
          <w:sz w:val="24"/>
          <w:lang w:val="cs-CZ"/>
        </w:rPr>
        <w:footnoteRef/>
      </w:r>
      <w:r w:rsidR="006B7E2B" w:rsidRPr="006B7E2B">
        <w:rPr>
          <w:sz w:val="24"/>
          <w:lang w:val="cs-CZ"/>
        </w:rPr>
        <w:t xml:space="preserve"> </w:t>
      </w:r>
      <w:r w:rsidR="006B7E2B" w:rsidRPr="006B7E2B">
        <w:rPr>
          <w:sz w:val="24"/>
          <w:lang w:val="cs-CZ"/>
        </w:rPr>
        <w:tab/>
      </w:r>
      <w:proofErr w:type="spellStart"/>
      <w:r w:rsidRPr="006B7E2B">
        <w:rPr>
          <w:sz w:val="24"/>
          <w:lang w:val="cs-CZ"/>
        </w:rPr>
        <w:t>Úř</w:t>
      </w:r>
      <w:proofErr w:type="spellEnd"/>
      <w:r w:rsidRPr="006B7E2B">
        <w:rPr>
          <w:sz w:val="24"/>
          <w:lang w:val="cs-CZ"/>
        </w:rPr>
        <w:t xml:space="preserve">. </w:t>
      </w:r>
      <w:proofErr w:type="spellStart"/>
      <w:proofErr w:type="gramStart"/>
      <w:r w:rsidRPr="006B7E2B">
        <w:rPr>
          <w:sz w:val="24"/>
          <w:lang w:val="cs-CZ"/>
        </w:rPr>
        <w:t>věst</w:t>
      </w:r>
      <w:proofErr w:type="spellEnd"/>
      <w:proofErr w:type="gramEnd"/>
      <w:r w:rsidRPr="006B7E2B">
        <w:rPr>
          <w:sz w:val="24"/>
          <w:lang w:val="cs-CZ"/>
        </w:rPr>
        <w:t xml:space="preserve">. L 208, </w:t>
      </w:r>
      <w:proofErr w:type="gramStart"/>
      <w:r w:rsidRPr="006B7E2B">
        <w:rPr>
          <w:sz w:val="24"/>
          <w:lang w:val="cs-CZ"/>
        </w:rPr>
        <w:t>5.8.2002</w:t>
      </w:r>
      <w:proofErr w:type="gramEnd"/>
      <w:r w:rsidRPr="006B7E2B">
        <w:rPr>
          <w:sz w:val="24"/>
          <w:lang w:val="cs-CZ"/>
        </w:rPr>
        <w:t>, s. 1.</w:t>
      </w:r>
    </w:p>
  </w:footnote>
  <w:footnote w:id="5">
    <w:p w:rsidR="00D5673B" w:rsidRPr="006B7E2B" w:rsidRDefault="00D5673B" w:rsidP="006B7E2B">
      <w:pPr>
        <w:pStyle w:val="FootnoteText"/>
        <w:ind w:left="567" w:hanging="567"/>
        <w:rPr>
          <w:sz w:val="24"/>
          <w:lang w:val="cs-CZ"/>
        </w:rPr>
      </w:pPr>
      <w:r w:rsidRPr="006B7E2B">
        <w:rPr>
          <w:rStyle w:val="FootnoteReference"/>
          <w:sz w:val="24"/>
          <w:lang w:val="cs-CZ"/>
        </w:rPr>
        <w:footnoteRef/>
      </w:r>
      <w:r w:rsidR="006B7E2B" w:rsidRPr="006B7E2B">
        <w:rPr>
          <w:sz w:val="24"/>
          <w:lang w:val="cs-CZ"/>
        </w:rPr>
        <w:t xml:space="preserve"> </w:t>
      </w:r>
      <w:r w:rsidR="006B7E2B" w:rsidRPr="006B7E2B">
        <w:rPr>
          <w:sz w:val="24"/>
          <w:lang w:val="cs-CZ"/>
        </w:rPr>
        <w:tab/>
      </w:r>
      <w:proofErr w:type="spellStart"/>
      <w:r w:rsidRPr="006B7E2B">
        <w:rPr>
          <w:sz w:val="24"/>
          <w:lang w:val="cs-CZ"/>
        </w:rPr>
        <w:t>Úř</w:t>
      </w:r>
      <w:proofErr w:type="spellEnd"/>
      <w:r w:rsidRPr="006B7E2B">
        <w:rPr>
          <w:sz w:val="24"/>
          <w:lang w:val="cs-CZ"/>
        </w:rPr>
        <w:t xml:space="preserve">. </w:t>
      </w:r>
      <w:proofErr w:type="spellStart"/>
      <w:proofErr w:type="gramStart"/>
      <w:r w:rsidRPr="006B7E2B">
        <w:rPr>
          <w:sz w:val="24"/>
          <w:lang w:val="cs-CZ"/>
        </w:rPr>
        <w:t>věst</w:t>
      </w:r>
      <w:proofErr w:type="spellEnd"/>
      <w:proofErr w:type="gramEnd"/>
      <w:r w:rsidRPr="006B7E2B">
        <w:rPr>
          <w:sz w:val="24"/>
          <w:lang w:val="cs-CZ"/>
        </w:rPr>
        <w:t xml:space="preserve">. L 122, </w:t>
      </w:r>
      <w:proofErr w:type="gramStart"/>
      <w:r w:rsidRPr="006B7E2B">
        <w:rPr>
          <w:sz w:val="24"/>
          <w:lang w:val="cs-CZ"/>
        </w:rPr>
        <w:t>10.5.2019</w:t>
      </w:r>
      <w:proofErr w:type="gramEnd"/>
      <w:r w:rsidRPr="006B7E2B">
        <w:rPr>
          <w:sz w:val="24"/>
          <w:lang w:val="cs-CZ"/>
        </w:rPr>
        <w:t>, s. 1.</w:t>
      </w:r>
    </w:p>
  </w:footnote>
  <w:footnote w:id="6">
    <w:p w:rsidR="00D5673B" w:rsidRPr="006B7E2B" w:rsidRDefault="00D5673B" w:rsidP="006B7E2B">
      <w:pPr>
        <w:pStyle w:val="FootnoteText"/>
        <w:ind w:left="567" w:hanging="567"/>
        <w:rPr>
          <w:sz w:val="24"/>
          <w:lang w:val="cs-CZ"/>
        </w:rPr>
      </w:pPr>
      <w:r w:rsidRPr="006B7E2B">
        <w:rPr>
          <w:rStyle w:val="FootnoteReference"/>
          <w:sz w:val="24"/>
          <w:lang w:val="cs-CZ"/>
        </w:rPr>
        <w:footnoteRef/>
      </w:r>
      <w:r w:rsidR="006B7E2B" w:rsidRPr="006B7E2B">
        <w:rPr>
          <w:sz w:val="24"/>
          <w:lang w:val="cs-CZ"/>
        </w:rPr>
        <w:t xml:space="preserve"> </w:t>
      </w:r>
      <w:r w:rsidR="006B7E2B" w:rsidRPr="006B7E2B">
        <w:rPr>
          <w:sz w:val="24"/>
          <w:lang w:val="cs-CZ"/>
        </w:rPr>
        <w:tab/>
      </w:r>
      <w:proofErr w:type="spellStart"/>
      <w:r w:rsidRPr="006B7E2B">
        <w:rPr>
          <w:sz w:val="24"/>
          <w:lang w:val="cs-CZ"/>
        </w:rPr>
        <w:t>Úř</w:t>
      </w:r>
      <w:proofErr w:type="spellEnd"/>
      <w:r w:rsidRPr="006B7E2B">
        <w:rPr>
          <w:sz w:val="24"/>
          <w:lang w:val="cs-CZ"/>
        </w:rPr>
        <w:t xml:space="preserve">. </w:t>
      </w:r>
      <w:proofErr w:type="spellStart"/>
      <w:proofErr w:type="gramStart"/>
      <w:r w:rsidRPr="006B7E2B">
        <w:rPr>
          <w:sz w:val="24"/>
          <w:lang w:val="cs-CZ"/>
        </w:rPr>
        <w:t>věst</w:t>
      </w:r>
      <w:proofErr w:type="spellEnd"/>
      <w:proofErr w:type="gramEnd"/>
      <w:r w:rsidRPr="006B7E2B">
        <w:rPr>
          <w:sz w:val="24"/>
          <w:lang w:val="cs-CZ"/>
        </w:rPr>
        <w:t>. C</w:t>
      </w:r>
      <w:r w:rsidR="0086358C">
        <w:rPr>
          <w:sz w:val="24"/>
          <w:lang w:val="cs-CZ"/>
        </w:rPr>
        <w:t>, C/</w:t>
      </w:r>
      <w:r w:rsidRPr="006B7E2B">
        <w:rPr>
          <w:sz w:val="24"/>
          <w:lang w:val="cs-CZ"/>
        </w:rPr>
        <w:t xml:space="preserve">2023/594, </w:t>
      </w:r>
      <w:proofErr w:type="gramStart"/>
      <w:r w:rsidRPr="006B7E2B">
        <w:rPr>
          <w:sz w:val="24"/>
          <w:lang w:val="cs-CZ"/>
        </w:rPr>
        <w:t>27.10.2023</w:t>
      </w:r>
      <w:proofErr w:type="gramEnd"/>
      <w:r w:rsidRPr="006B7E2B">
        <w:rPr>
          <w:sz w:val="24"/>
          <w:lang w:val="cs-CZ"/>
        </w:rPr>
        <w:t>.</w:t>
      </w:r>
    </w:p>
  </w:footnote>
  <w:footnote w:id="7">
    <w:p w:rsidR="00D5673B" w:rsidRPr="006B7E2B" w:rsidRDefault="00D5673B" w:rsidP="006B7E2B">
      <w:pPr>
        <w:pStyle w:val="FootnoteText"/>
        <w:ind w:left="567" w:hanging="567"/>
        <w:rPr>
          <w:sz w:val="24"/>
          <w:lang w:val="cs-CZ"/>
        </w:rPr>
      </w:pPr>
      <w:r w:rsidRPr="006B7E2B">
        <w:rPr>
          <w:rStyle w:val="FootnoteReference"/>
          <w:sz w:val="24"/>
          <w:lang w:val="cs-CZ"/>
        </w:rPr>
        <w:footnoteRef/>
      </w:r>
      <w:r w:rsidR="006B7E2B" w:rsidRPr="006B7E2B">
        <w:rPr>
          <w:sz w:val="24"/>
          <w:lang w:val="cs-CZ"/>
        </w:rPr>
        <w:t xml:space="preserve"> </w:t>
      </w:r>
      <w:r w:rsidR="006B7E2B" w:rsidRPr="006B7E2B">
        <w:rPr>
          <w:sz w:val="24"/>
          <w:lang w:val="cs-CZ"/>
        </w:rPr>
        <w:tab/>
      </w:r>
      <w:proofErr w:type="spellStart"/>
      <w:r w:rsidRPr="006B7E2B">
        <w:rPr>
          <w:sz w:val="24"/>
          <w:lang w:val="cs-CZ"/>
        </w:rPr>
        <w:t>Úř</w:t>
      </w:r>
      <w:proofErr w:type="spellEnd"/>
      <w:r w:rsidRPr="006B7E2B">
        <w:rPr>
          <w:sz w:val="24"/>
          <w:lang w:val="cs-CZ"/>
        </w:rPr>
        <w:t xml:space="preserve">. </w:t>
      </w:r>
      <w:proofErr w:type="spellStart"/>
      <w:proofErr w:type="gramStart"/>
      <w:r w:rsidRPr="006B7E2B">
        <w:rPr>
          <w:sz w:val="24"/>
          <w:lang w:val="cs-CZ"/>
        </w:rPr>
        <w:t>věst</w:t>
      </w:r>
      <w:proofErr w:type="spellEnd"/>
      <w:proofErr w:type="gramEnd"/>
      <w:r w:rsidRPr="006B7E2B">
        <w:rPr>
          <w:sz w:val="24"/>
          <w:lang w:val="cs-CZ"/>
        </w:rPr>
        <w:t>. C</w:t>
      </w:r>
      <w:r w:rsidR="0086358C">
        <w:rPr>
          <w:sz w:val="24"/>
          <w:lang w:val="cs-CZ"/>
        </w:rPr>
        <w:t>, C/</w:t>
      </w:r>
      <w:r w:rsidRPr="006B7E2B">
        <w:rPr>
          <w:sz w:val="24"/>
          <w:lang w:val="cs-CZ"/>
        </w:rPr>
        <w:t xml:space="preserve">2023/112, </w:t>
      </w:r>
      <w:proofErr w:type="gramStart"/>
      <w:r w:rsidRPr="006B7E2B">
        <w:rPr>
          <w:sz w:val="24"/>
          <w:lang w:val="cs-CZ"/>
        </w:rPr>
        <w:t>12.10.2023</w:t>
      </w:r>
      <w:proofErr w:type="gramEnd"/>
      <w:r w:rsidRPr="006B7E2B">
        <w:rPr>
          <w:sz w:val="24"/>
          <w:lang w:val="cs-CZ"/>
        </w:rPr>
        <w:t>.</w:t>
      </w:r>
    </w:p>
  </w:footnote>
  <w:footnote w:id="8">
    <w:p w:rsidR="00D5673B" w:rsidRPr="006B7E2B" w:rsidRDefault="00D5673B" w:rsidP="006B7E2B">
      <w:pPr>
        <w:pStyle w:val="FootnoteText"/>
        <w:ind w:left="567" w:hanging="567"/>
        <w:rPr>
          <w:sz w:val="24"/>
          <w:lang w:val="cs-CZ"/>
        </w:rPr>
      </w:pPr>
      <w:r w:rsidRPr="006B7E2B">
        <w:rPr>
          <w:rStyle w:val="FootnoteReference"/>
          <w:sz w:val="24"/>
          <w:lang w:val="cs-CZ"/>
        </w:rPr>
        <w:footnoteRef/>
      </w:r>
      <w:r w:rsidR="006B7E2B" w:rsidRPr="006B7E2B">
        <w:rPr>
          <w:sz w:val="24"/>
          <w:lang w:val="cs-CZ"/>
        </w:rPr>
        <w:t xml:space="preserve"> </w:t>
      </w:r>
      <w:r w:rsidR="006B7E2B" w:rsidRPr="006B7E2B">
        <w:rPr>
          <w:sz w:val="24"/>
          <w:lang w:val="cs-CZ"/>
        </w:rPr>
        <w:tab/>
      </w:r>
      <w:proofErr w:type="spellStart"/>
      <w:r w:rsidRPr="006B7E2B">
        <w:rPr>
          <w:sz w:val="24"/>
          <w:lang w:val="cs-CZ"/>
        </w:rPr>
        <w:t>Úř</w:t>
      </w:r>
      <w:proofErr w:type="spellEnd"/>
      <w:r w:rsidRPr="006B7E2B">
        <w:rPr>
          <w:sz w:val="24"/>
          <w:lang w:val="cs-CZ"/>
        </w:rPr>
        <w:t xml:space="preserve">. </w:t>
      </w:r>
      <w:proofErr w:type="spellStart"/>
      <w:proofErr w:type="gramStart"/>
      <w:r w:rsidRPr="006B7E2B">
        <w:rPr>
          <w:sz w:val="24"/>
          <w:lang w:val="cs-CZ"/>
        </w:rPr>
        <w:t>věst</w:t>
      </w:r>
      <w:proofErr w:type="spellEnd"/>
      <w:proofErr w:type="gramEnd"/>
      <w:r w:rsidRPr="006B7E2B">
        <w:rPr>
          <w:sz w:val="24"/>
          <w:lang w:val="cs-CZ"/>
        </w:rPr>
        <w:t xml:space="preserve">. L 193, </w:t>
      </w:r>
      <w:proofErr w:type="gramStart"/>
      <w:r w:rsidRPr="006B7E2B">
        <w:rPr>
          <w:sz w:val="24"/>
          <w:lang w:val="cs-CZ"/>
        </w:rPr>
        <w:t>30.7.2018</w:t>
      </w:r>
      <w:proofErr w:type="gramEnd"/>
      <w:r w:rsidRPr="006B7E2B">
        <w:rPr>
          <w:sz w:val="24"/>
          <w:lang w:val="cs-CZ"/>
        </w:rPr>
        <w:t>, s. 1.</w:t>
      </w:r>
    </w:p>
  </w:footnote>
  <w:footnote w:id="9">
    <w:p w:rsidR="00D5673B" w:rsidRPr="006B7E2B" w:rsidRDefault="00D5673B" w:rsidP="006B7E2B">
      <w:pPr>
        <w:pStyle w:val="FootnoteText"/>
        <w:ind w:left="567" w:hanging="567"/>
        <w:rPr>
          <w:sz w:val="24"/>
          <w:lang w:val="cs-CZ"/>
        </w:rPr>
      </w:pPr>
      <w:r w:rsidRPr="006B7E2B">
        <w:rPr>
          <w:rStyle w:val="FootnoteReference"/>
          <w:sz w:val="24"/>
          <w:lang w:val="cs-CZ"/>
        </w:rPr>
        <w:footnoteRef/>
      </w:r>
      <w:r w:rsidR="006B7E2B" w:rsidRPr="006B7E2B">
        <w:rPr>
          <w:sz w:val="24"/>
          <w:lang w:val="cs-CZ"/>
        </w:rPr>
        <w:t xml:space="preserve"> </w:t>
      </w:r>
      <w:r w:rsidR="006B7E2B" w:rsidRPr="006B7E2B">
        <w:rPr>
          <w:sz w:val="24"/>
          <w:lang w:val="cs-CZ"/>
        </w:rPr>
        <w:tab/>
      </w:r>
      <w:proofErr w:type="spellStart"/>
      <w:r w:rsidRPr="006B7E2B">
        <w:rPr>
          <w:sz w:val="24"/>
          <w:lang w:val="cs-CZ"/>
        </w:rPr>
        <w:t>Úř</w:t>
      </w:r>
      <w:proofErr w:type="spellEnd"/>
      <w:r w:rsidRPr="006B7E2B">
        <w:rPr>
          <w:sz w:val="24"/>
          <w:lang w:val="cs-CZ"/>
        </w:rPr>
        <w:t xml:space="preserve">. </w:t>
      </w:r>
      <w:proofErr w:type="spellStart"/>
      <w:proofErr w:type="gramStart"/>
      <w:r w:rsidRPr="006B7E2B">
        <w:rPr>
          <w:sz w:val="24"/>
          <w:lang w:val="cs-CZ"/>
        </w:rPr>
        <w:t>věst</w:t>
      </w:r>
      <w:proofErr w:type="spellEnd"/>
      <w:proofErr w:type="gramEnd"/>
      <w:r w:rsidRPr="006B7E2B">
        <w:rPr>
          <w:sz w:val="24"/>
          <w:lang w:val="cs-CZ"/>
        </w:rPr>
        <w:t xml:space="preserve">. L 208, </w:t>
      </w:r>
      <w:proofErr w:type="gramStart"/>
      <w:r w:rsidRPr="006B7E2B">
        <w:rPr>
          <w:sz w:val="24"/>
          <w:lang w:val="cs-CZ"/>
        </w:rPr>
        <w:t>5.8.2002</w:t>
      </w:r>
      <w:proofErr w:type="gramEnd"/>
      <w:r w:rsidRPr="006B7E2B">
        <w:rPr>
          <w:sz w:val="24"/>
          <w:lang w:val="cs-CZ"/>
        </w:rPr>
        <w:t>, s. 1.</w:t>
      </w:r>
    </w:p>
  </w:footnote>
  <w:footnote w:id="10">
    <w:p w:rsidR="00D5673B" w:rsidRPr="006B7E2B" w:rsidRDefault="00D5673B" w:rsidP="006B7E2B">
      <w:pPr>
        <w:pStyle w:val="FootnoteText"/>
        <w:ind w:left="567" w:hanging="567"/>
        <w:rPr>
          <w:sz w:val="24"/>
          <w:lang w:val="cs-CZ"/>
        </w:rPr>
      </w:pPr>
      <w:r w:rsidRPr="006B7E2B">
        <w:rPr>
          <w:rStyle w:val="FootnoteReference"/>
          <w:sz w:val="24"/>
          <w:lang w:val="cs-CZ"/>
        </w:rPr>
        <w:footnoteRef/>
      </w:r>
      <w:r w:rsidR="006B7E2B" w:rsidRPr="006B7E2B">
        <w:rPr>
          <w:sz w:val="24"/>
          <w:lang w:val="cs-CZ"/>
        </w:rPr>
        <w:t xml:space="preserve"> </w:t>
      </w:r>
      <w:r w:rsidR="006B7E2B" w:rsidRPr="006B7E2B">
        <w:rPr>
          <w:sz w:val="24"/>
          <w:lang w:val="cs-CZ"/>
        </w:rPr>
        <w:tab/>
      </w:r>
      <w:proofErr w:type="spellStart"/>
      <w:r w:rsidRPr="006B7E2B">
        <w:rPr>
          <w:sz w:val="24"/>
          <w:lang w:val="cs-CZ"/>
        </w:rPr>
        <w:t>Úř</w:t>
      </w:r>
      <w:proofErr w:type="spellEnd"/>
      <w:r w:rsidRPr="006B7E2B">
        <w:rPr>
          <w:sz w:val="24"/>
          <w:lang w:val="cs-CZ"/>
        </w:rPr>
        <w:t xml:space="preserve">. </w:t>
      </w:r>
      <w:proofErr w:type="spellStart"/>
      <w:proofErr w:type="gramStart"/>
      <w:r w:rsidRPr="006B7E2B">
        <w:rPr>
          <w:sz w:val="24"/>
          <w:lang w:val="cs-CZ"/>
        </w:rPr>
        <w:t>věst</w:t>
      </w:r>
      <w:proofErr w:type="spellEnd"/>
      <w:proofErr w:type="gramEnd"/>
      <w:r w:rsidRPr="006B7E2B">
        <w:rPr>
          <w:sz w:val="24"/>
          <w:lang w:val="cs-CZ"/>
        </w:rPr>
        <w:t xml:space="preserve">. L 122, </w:t>
      </w:r>
      <w:proofErr w:type="gramStart"/>
      <w:r w:rsidRPr="006B7E2B">
        <w:rPr>
          <w:sz w:val="24"/>
          <w:lang w:val="cs-CZ"/>
        </w:rPr>
        <w:t>10.5.2019</w:t>
      </w:r>
      <w:proofErr w:type="gramEnd"/>
      <w:r w:rsidRPr="006B7E2B">
        <w:rPr>
          <w:sz w:val="24"/>
          <w:lang w:val="cs-CZ"/>
        </w:rPr>
        <w:t>, s. 1.</w:t>
      </w:r>
    </w:p>
  </w:footnote>
  <w:footnote w:id="11">
    <w:p w:rsidR="00D5673B" w:rsidRPr="006B7E2B" w:rsidRDefault="00D5673B" w:rsidP="006B7E2B">
      <w:pPr>
        <w:pStyle w:val="FootnoteText"/>
        <w:ind w:left="567" w:hanging="567"/>
        <w:rPr>
          <w:sz w:val="24"/>
          <w:lang w:val="cs-CZ"/>
        </w:rPr>
      </w:pPr>
      <w:r w:rsidRPr="006B7E2B">
        <w:rPr>
          <w:rStyle w:val="FootnoteReference"/>
          <w:sz w:val="24"/>
          <w:lang w:val="cs-CZ"/>
        </w:rPr>
        <w:footnoteRef/>
      </w:r>
      <w:r w:rsidR="006B7E2B" w:rsidRPr="006B7E2B">
        <w:rPr>
          <w:sz w:val="24"/>
          <w:lang w:val="cs-CZ"/>
        </w:rPr>
        <w:t xml:space="preserve"> </w:t>
      </w:r>
      <w:r w:rsidR="006B7E2B" w:rsidRPr="006B7E2B">
        <w:rPr>
          <w:sz w:val="24"/>
          <w:lang w:val="cs-CZ"/>
        </w:rPr>
        <w:tab/>
      </w:r>
      <w:proofErr w:type="spellStart"/>
      <w:r w:rsidR="006C0C8D">
        <w:rPr>
          <w:sz w:val="24"/>
          <w:lang w:val="cs-CZ"/>
        </w:rPr>
        <w:t>Úř</w:t>
      </w:r>
      <w:proofErr w:type="spellEnd"/>
      <w:r w:rsidR="006C0C8D">
        <w:rPr>
          <w:sz w:val="24"/>
          <w:lang w:val="cs-CZ"/>
        </w:rPr>
        <w:t xml:space="preserve">. </w:t>
      </w:r>
      <w:proofErr w:type="spellStart"/>
      <w:proofErr w:type="gramStart"/>
      <w:r w:rsidR="006C0C8D">
        <w:rPr>
          <w:sz w:val="24"/>
          <w:lang w:val="cs-CZ"/>
        </w:rPr>
        <w:t>věst</w:t>
      </w:r>
      <w:proofErr w:type="spellEnd"/>
      <w:proofErr w:type="gramEnd"/>
      <w:r w:rsidR="006C0C8D">
        <w:rPr>
          <w:sz w:val="24"/>
          <w:lang w:val="cs-CZ"/>
        </w:rPr>
        <w:t>. C 73</w:t>
      </w:r>
      <w:r w:rsidRPr="006B7E2B">
        <w:rPr>
          <w:sz w:val="24"/>
          <w:lang w:val="cs-CZ"/>
        </w:rPr>
        <w:t xml:space="preserve">, </w:t>
      </w:r>
      <w:proofErr w:type="gramStart"/>
      <w:r w:rsidRPr="006B7E2B">
        <w:rPr>
          <w:sz w:val="24"/>
          <w:lang w:val="cs-CZ"/>
        </w:rPr>
        <w:t>28.2.2023</w:t>
      </w:r>
      <w:proofErr w:type="gramEnd"/>
      <w:r w:rsidRPr="006B7E2B">
        <w:rPr>
          <w:sz w:val="24"/>
          <w:lang w:val="cs-CZ"/>
        </w:rPr>
        <w:t>, s. 9</w:t>
      </w:r>
      <w:r w:rsidR="00D508DE">
        <w:rPr>
          <w:sz w:val="24"/>
          <w:lang w:val="cs-CZ"/>
        </w:rPr>
        <w:t>1</w:t>
      </w:r>
      <w:r w:rsidR="008E248F">
        <w:rPr>
          <w:sz w:val="24"/>
          <w:lang w:val="cs-CZ"/>
        </w:rPr>
        <w:t>.</w:t>
      </w:r>
    </w:p>
  </w:footnote>
  <w:footnote w:id="12">
    <w:p w:rsidR="00D5673B" w:rsidRPr="006B7E2B" w:rsidRDefault="00D5673B" w:rsidP="006B7E2B">
      <w:pPr>
        <w:pStyle w:val="FootnoteText"/>
        <w:ind w:left="567" w:hanging="567"/>
        <w:rPr>
          <w:sz w:val="24"/>
          <w:lang w:val="cs-CZ"/>
        </w:rPr>
      </w:pPr>
      <w:r w:rsidRPr="006B7E2B">
        <w:rPr>
          <w:rStyle w:val="FootnoteReference"/>
          <w:sz w:val="24"/>
          <w:lang w:val="cs-CZ"/>
        </w:rPr>
        <w:footnoteRef/>
      </w:r>
      <w:r w:rsidR="006B7E2B" w:rsidRPr="006B7E2B">
        <w:rPr>
          <w:sz w:val="24"/>
          <w:lang w:val="cs-CZ"/>
        </w:rPr>
        <w:t xml:space="preserve"> </w:t>
      </w:r>
      <w:r w:rsidR="006B7E2B" w:rsidRPr="006B7E2B">
        <w:rPr>
          <w:sz w:val="24"/>
          <w:lang w:val="cs-CZ"/>
        </w:rPr>
        <w:tab/>
      </w:r>
      <w:r w:rsidR="00572202">
        <w:rPr>
          <w:sz w:val="24"/>
          <w:lang w:val="cs-CZ"/>
        </w:rPr>
        <w:t>Přijaté texty, P9_TA(2024)0280</w:t>
      </w:r>
      <w:r w:rsidRPr="006B7E2B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7E2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7E2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7E2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07/2024"/>
    <w:docVar w:name="dvlangue" w:val="CS"/>
    <w:docVar w:name="dvnumam" w:val="0"/>
    <w:docVar w:name="dvpe" w:val="753.526"/>
    <w:docVar w:name="dvrapporteur" w:val="Zpravodaj: "/>
    <w:docVar w:name="dvtitre" w:val="1. Rozhodnutí Evropského parlamentu ze dne.... 2024 o udělení absolutoria za plnění rozpočtu Evropské agentury pro námořní bezpečnost na rozpočtový rok 2022(2023/2158(DEC))"/>
  </w:docVars>
  <w:rsids>
    <w:rsidRoot w:val="00BD2D8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2202"/>
    <w:rsid w:val="005C2568"/>
    <w:rsid w:val="006037C0"/>
    <w:rsid w:val="006631B6"/>
    <w:rsid w:val="00680577"/>
    <w:rsid w:val="006B7E2B"/>
    <w:rsid w:val="006C0C8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358C"/>
    <w:rsid w:val="00865F67"/>
    <w:rsid w:val="00881A7B"/>
    <w:rsid w:val="008840E5"/>
    <w:rsid w:val="00887B3E"/>
    <w:rsid w:val="008C2AC6"/>
    <w:rsid w:val="008E248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2D8F"/>
    <w:rsid w:val="00BD48FE"/>
    <w:rsid w:val="00BD7731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08DE"/>
    <w:rsid w:val="00D5673B"/>
    <w:rsid w:val="00D56C11"/>
    <w:rsid w:val="00D834A0"/>
    <w:rsid w:val="00D872DF"/>
    <w:rsid w:val="00D91E21"/>
    <w:rsid w:val="00DA7FCD"/>
    <w:rsid w:val="00DC644D"/>
    <w:rsid w:val="00E365E1"/>
    <w:rsid w:val="00E820A4"/>
    <w:rsid w:val="00EB006A"/>
    <w:rsid w:val="00EB4772"/>
    <w:rsid w:val="00ED169E"/>
    <w:rsid w:val="00ED4235"/>
    <w:rsid w:val="00EE145C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70B9C9"/>
  <w15:chartTrackingRefBased/>
  <w15:docId w15:val="{18C23639-541C-44BE-BFF1-ACFE8B222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Text Char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5673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5673B"/>
    <w:pPr>
      <w:spacing w:before="480" w:after="240"/>
    </w:pPr>
  </w:style>
  <w:style w:type="paragraph" w:customStyle="1" w:styleId="PageHeading">
    <w:name w:val="PageHeading"/>
    <w:basedOn w:val="Normal"/>
    <w:rsid w:val="00D5673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5673B"/>
    <w:rPr>
      <w:b/>
    </w:rPr>
  </w:style>
  <w:style w:type="paragraph" w:customStyle="1" w:styleId="NormalHanging12a">
    <w:name w:val="NormalHanging12a"/>
    <w:basedOn w:val="Normal"/>
    <w:link w:val="NormalHanging12aChar"/>
    <w:rsid w:val="00D5673B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D5673B"/>
    <w:pPr>
      <w:spacing w:after="240"/>
      <w:jc w:val="center"/>
    </w:pPr>
  </w:style>
  <w:style w:type="paragraph" w:styleId="Header">
    <w:name w:val="header"/>
    <w:basedOn w:val="Normal"/>
    <w:link w:val="HeaderChar"/>
    <w:rsid w:val="00D56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5673B"/>
    <w:rPr>
      <w:sz w:val="24"/>
      <w:lang w:val="cs-CZ"/>
    </w:rPr>
  </w:style>
  <w:style w:type="paragraph" w:customStyle="1" w:styleId="EPFooter">
    <w:name w:val="EPFooter"/>
    <w:basedOn w:val="Normal"/>
    <w:rsid w:val="00D5673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D5673B"/>
    <w:rPr>
      <w:sz w:val="24"/>
      <w:lang w:val="cs-CZ"/>
    </w:rPr>
  </w:style>
  <w:style w:type="paragraph" w:customStyle="1" w:styleId="Normal12Hanging">
    <w:name w:val="Normal12Hanging"/>
    <w:basedOn w:val="Normal"/>
    <w:rsid w:val="00D5673B"/>
    <w:pPr>
      <w:spacing w:after="240"/>
      <w:ind w:left="567" w:hanging="567"/>
    </w:pPr>
  </w:style>
  <w:style w:type="paragraph" w:customStyle="1" w:styleId="Normal12a">
    <w:name w:val="Normal12a"/>
    <w:basedOn w:val="Normal"/>
    <w:rsid w:val="00D5673B"/>
    <w:pPr>
      <w:spacing w:after="240"/>
    </w:pPr>
  </w:style>
  <w:style w:type="paragraph" w:customStyle="1" w:styleId="PageHeadingNotTOC">
    <w:name w:val="PageHeadingNotTOC"/>
    <w:basedOn w:val="Normal"/>
    <w:rsid w:val="00D5673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24a">
    <w:name w:val="Normal24a"/>
    <w:basedOn w:val="Normal"/>
    <w:rsid w:val="00D5673B"/>
    <w:pPr>
      <w:spacing w:after="480"/>
    </w:pPr>
  </w:style>
  <w:style w:type="paragraph" w:styleId="Footer">
    <w:name w:val="footer"/>
    <w:basedOn w:val="Normal"/>
    <w:link w:val="FooterChar"/>
    <w:rsid w:val="008E24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E248F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CF1B4-115E-479A-A344-39F4C71AA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2907</Words>
  <Characters>17038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Karina Pesa</cp:lastModifiedBy>
  <cp:revision>3</cp:revision>
  <cp:lastPrinted>2004-11-19T15:42:00Z</cp:lastPrinted>
  <dcterms:created xsi:type="dcterms:W3CDTF">2024-05-23T08:57:00Z</dcterms:created>
  <dcterms:modified xsi:type="dcterms:W3CDTF">2024-10-30T16:06:00Z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P9_TA(2024)0248_</vt:lpwstr>
  </property>
  <property fmtid="{D5CDD505-2E9C-101B-9397-08002B2CF9AE}" pid="4" name="&lt;Type&gt;">
    <vt:lpwstr>RR</vt:lpwstr>
  </property>
</Properties>
</file>