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7E5" w14:paraId="3D7AACF8" w14:textId="77777777" w:rsidTr="0010095E">
        <w:trPr>
          <w:trHeight w:hRule="exact" w:val="1418"/>
        </w:trPr>
        <w:tc>
          <w:tcPr>
            <w:tcW w:w="6804" w:type="dxa"/>
            <w:shd w:val="clear" w:color="auto" w:fill="auto"/>
            <w:vAlign w:val="center"/>
          </w:tcPr>
          <w:p w14:paraId="2F420B9C" w14:textId="77777777" w:rsidR="00751A4A" w:rsidRPr="00C007E5" w:rsidRDefault="00911E23" w:rsidP="0010095E">
            <w:pPr>
              <w:pStyle w:val="EPName"/>
            </w:pPr>
            <w:bookmarkStart w:id="0" w:name="_GoBack"/>
            <w:bookmarkEnd w:id="0"/>
            <w:r w:rsidRPr="00C007E5">
              <w:t>Europa-Parlamentet</w:t>
            </w:r>
          </w:p>
          <w:p w14:paraId="13C422BC" w14:textId="77777777" w:rsidR="00751A4A" w:rsidRPr="00C007E5" w:rsidRDefault="00817416" w:rsidP="00756632">
            <w:pPr>
              <w:pStyle w:val="EPTerm"/>
              <w:rPr>
                <w:rStyle w:val="HideTWBExt"/>
                <w:noProof w:val="0"/>
                <w:vanish w:val="0"/>
                <w:color w:val="auto"/>
              </w:rPr>
            </w:pPr>
            <w:r w:rsidRPr="00C007E5">
              <w:t>2019-2024</w:t>
            </w:r>
          </w:p>
        </w:tc>
        <w:tc>
          <w:tcPr>
            <w:tcW w:w="2268" w:type="dxa"/>
            <w:shd w:val="clear" w:color="auto" w:fill="auto"/>
          </w:tcPr>
          <w:p w14:paraId="66754F93" w14:textId="77777777" w:rsidR="00751A4A" w:rsidRPr="00C007E5" w:rsidRDefault="00187494" w:rsidP="0010095E">
            <w:pPr>
              <w:pStyle w:val="EPLogo"/>
            </w:pPr>
            <w:r w:rsidRPr="00C007E5">
              <w:rPr>
                <w:noProof/>
                <w:lang w:val="en-GB"/>
              </w:rPr>
              <w:drawing>
                <wp:inline distT="0" distB="0" distL="0" distR="0" wp14:anchorId="3BD98503" wp14:editId="22D0A8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4A7585" w14:textId="77777777" w:rsidR="00D058B8" w:rsidRPr="00C007E5" w:rsidRDefault="00D058B8" w:rsidP="004C5D52">
      <w:pPr>
        <w:pStyle w:val="LineTop"/>
      </w:pPr>
    </w:p>
    <w:p w14:paraId="118B377A" w14:textId="77777777" w:rsidR="00680577" w:rsidRPr="00C007E5" w:rsidRDefault="00911E23" w:rsidP="00680577">
      <w:pPr>
        <w:pStyle w:val="EPBodyTA1"/>
      </w:pPr>
      <w:r w:rsidRPr="00C007E5">
        <w:t>VEDTAGNE TEKSTER</w:t>
      </w:r>
    </w:p>
    <w:p w14:paraId="24DBF3BA" w14:textId="77777777" w:rsidR="00D058B8" w:rsidRPr="00C007E5" w:rsidRDefault="00D058B8" w:rsidP="00D058B8">
      <w:pPr>
        <w:pStyle w:val="LineBottom"/>
      </w:pPr>
    </w:p>
    <w:p w14:paraId="2521E716" w14:textId="317F0D43" w:rsidR="00911E23" w:rsidRPr="00C007E5" w:rsidRDefault="00911E23" w:rsidP="00911E23">
      <w:pPr>
        <w:pStyle w:val="ATHeading1"/>
      </w:pPr>
      <w:bookmarkStart w:id="1" w:name="TANumber"/>
      <w:r w:rsidRPr="00C007E5">
        <w:t>P9_TA(2024)0</w:t>
      </w:r>
      <w:r w:rsidR="00BF46E6">
        <w:t>248</w:t>
      </w:r>
      <w:bookmarkEnd w:id="1"/>
    </w:p>
    <w:p w14:paraId="20AAF988" w14:textId="77777777" w:rsidR="00911E23" w:rsidRPr="00C007E5" w:rsidRDefault="00911E23" w:rsidP="00911E23">
      <w:pPr>
        <w:pStyle w:val="ATHeading2"/>
      </w:pPr>
      <w:bookmarkStart w:id="2" w:name="title"/>
      <w:r w:rsidRPr="00C007E5">
        <w:t>Decharge 2022: Det Europæiske Agentur for Søfartssikkerhed</w:t>
      </w:r>
      <w:bookmarkEnd w:id="2"/>
    </w:p>
    <w:p w14:paraId="5A339545" w14:textId="77777777" w:rsidR="00911E23" w:rsidRPr="00C007E5" w:rsidRDefault="00911E23" w:rsidP="00911E23">
      <w:pPr>
        <w:rPr>
          <w:i/>
          <w:vanish/>
        </w:rPr>
      </w:pPr>
      <w:r w:rsidRPr="00C007E5">
        <w:rPr>
          <w:i/>
        </w:rPr>
        <w:fldChar w:fldCharType="begin"/>
      </w:r>
      <w:r w:rsidRPr="00C007E5">
        <w:rPr>
          <w:i/>
        </w:rPr>
        <w:instrText xml:space="preserve"> TC"(</w:instrText>
      </w:r>
      <w:bookmarkStart w:id="3" w:name="DocNumber"/>
      <w:r w:rsidRPr="00C007E5">
        <w:rPr>
          <w:i/>
        </w:rPr>
        <w:instrText>A9-0107/2024</w:instrText>
      </w:r>
      <w:bookmarkEnd w:id="3"/>
      <w:r w:rsidRPr="00C007E5">
        <w:rPr>
          <w:i/>
        </w:rPr>
        <w:instrText xml:space="preserve"> - Ordfører: Petri Sarvamaa)"\l3 \n&gt; \* MERGEFORMAT </w:instrText>
      </w:r>
      <w:r w:rsidRPr="00C007E5">
        <w:rPr>
          <w:i/>
        </w:rPr>
        <w:fldChar w:fldCharType="end"/>
      </w:r>
    </w:p>
    <w:p w14:paraId="07F2611F" w14:textId="77777777" w:rsidR="00911E23" w:rsidRPr="00C007E5" w:rsidRDefault="00911E23" w:rsidP="00911E23">
      <w:pPr>
        <w:rPr>
          <w:vanish/>
        </w:rPr>
      </w:pPr>
      <w:bookmarkStart w:id="4" w:name="Commission"/>
      <w:r w:rsidRPr="00C007E5">
        <w:rPr>
          <w:vanish/>
        </w:rPr>
        <w:t>Budgetkontroludvalget</w:t>
      </w:r>
      <w:bookmarkEnd w:id="4"/>
    </w:p>
    <w:p w14:paraId="788488B2" w14:textId="77777777" w:rsidR="00911E23" w:rsidRPr="00C007E5" w:rsidRDefault="00911E23" w:rsidP="00911E23">
      <w:pPr>
        <w:rPr>
          <w:vanish/>
        </w:rPr>
      </w:pPr>
      <w:bookmarkStart w:id="5" w:name="PE"/>
      <w:r w:rsidRPr="00C007E5">
        <w:rPr>
          <w:vanish/>
        </w:rPr>
        <w:t>PE753.526</w:t>
      </w:r>
      <w:bookmarkEnd w:id="5"/>
    </w:p>
    <w:p w14:paraId="0F7D1BD7" w14:textId="77777777" w:rsidR="00911E23" w:rsidRPr="00C007E5" w:rsidRDefault="00911E23" w:rsidP="00911E23">
      <w:pPr>
        <w:pStyle w:val="ATHeading3"/>
      </w:pPr>
      <w:bookmarkStart w:id="6" w:name="Sujet"/>
      <w:r w:rsidRPr="00C007E5">
        <w:t>1. Europa-Parlamentets afgørelse af 11. april 2024 om decharge for gennemførelsen af budgettet for Det Europæiske Agentur for Søfartssikkerhed for regnskabsåret 2022</w:t>
      </w:r>
      <w:bookmarkEnd w:id="6"/>
      <w:r w:rsidRPr="00C007E5">
        <w:t xml:space="preserve"> </w:t>
      </w:r>
      <w:bookmarkStart w:id="7" w:name="References"/>
      <w:r w:rsidRPr="00C007E5">
        <w:t>(2023/2158(DEC))</w:t>
      </w:r>
      <w:bookmarkEnd w:id="7"/>
    </w:p>
    <w:p w14:paraId="4DA1AE4B" w14:textId="77777777" w:rsidR="00050D07" w:rsidRPr="00C007E5" w:rsidRDefault="00050D07" w:rsidP="00050D07">
      <w:pPr>
        <w:pStyle w:val="EPComma"/>
      </w:pPr>
      <w:bookmarkStart w:id="8" w:name="TextBodyBegin"/>
      <w:bookmarkEnd w:id="8"/>
      <w:r w:rsidRPr="00C007E5">
        <w:rPr>
          <w:i/>
        </w:rPr>
        <w:t>Europa-Parlamentet</w:t>
      </w:r>
      <w:r w:rsidRPr="00C007E5">
        <w:t>,</w:t>
      </w:r>
    </w:p>
    <w:p w14:paraId="4EA84D02" w14:textId="77777777" w:rsidR="00050D07" w:rsidRPr="00C007E5" w:rsidRDefault="00050D07" w:rsidP="00050D07">
      <w:pPr>
        <w:pStyle w:val="NormalHanging12a"/>
      </w:pPr>
      <w:r w:rsidRPr="00C007E5">
        <w:t>–</w:t>
      </w:r>
      <w:r w:rsidRPr="00C007E5">
        <w:tab/>
        <w:t>der henviser til det endelige årsregnskab for Det Europæiske Agentur for Søfartssikkerhed for regnskabsåret 2022,</w:t>
      </w:r>
    </w:p>
    <w:p w14:paraId="299F36CC" w14:textId="77777777" w:rsidR="00050D07" w:rsidRPr="00C007E5" w:rsidRDefault="00050D07" w:rsidP="00050D07">
      <w:pPr>
        <w:pStyle w:val="NormalHanging12a"/>
      </w:pPr>
      <w:r w:rsidRPr="00C007E5">
        <w:t>–</w:t>
      </w:r>
      <w:r w:rsidRPr="00C007E5">
        <w:tab/>
        <w:t>der henviser til Revisionsrettens årsberetning om EU-agenturerne for regnskabsåret 2022, med agenturernes svar</w:t>
      </w:r>
      <w:r w:rsidRPr="00C007E5">
        <w:rPr>
          <w:rStyle w:val="FootnoteReference"/>
        </w:rPr>
        <w:footnoteReference w:id="1"/>
      </w:r>
      <w:r w:rsidRPr="00C007E5">
        <w:t>,</w:t>
      </w:r>
    </w:p>
    <w:p w14:paraId="5C05E741" w14:textId="77777777" w:rsidR="00050D07" w:rsidRPr="00C007E5" w:rsidRDefault="00050D07" w:rsidP="00050D07">
      <w:pPr>
        <w:pStyle w:val="NormalHanging12a"/>
      </w:pPr>
      <w:r w:rsidRPr="00C007E5">
        <w:t>–</w:t>
      </w:r>
      <w:r w:rsidRPr="00C007E5">
        <w:tab/>
        <w:t>der henviser til Revisionsrettens erklæring</w:t>
      </w:r>
      <w:r w:rsidRPr="00C007E5">
        <w:rPr>
          <w:rStyle w:val="FootnoteReference"/>
        </w:rPr>
        <w:footnoteReference w:id="2"/>
      </w:r>
      <w:r w:rsidRPr="00C007E5">
        <w:t xml:space="preserve"> for regnskabsåret 2022 om regnskabernes rigtighed og de underliggende transaktioners lovlighed og formelle rigtighed, jf. artikel 287 i traktaten om Den Europæiske Unions funktionsmåde,</w:t>
      </w:r>
    </w:p>
    <w:p w14:paraId="69859CD3" w14:textId="6EDC2824" w:rsidR="00050D07" w:rsidRPr="00C007E5" w:rsidRDefault="00050D07" w:rsidP="00050D07">
      <w:pPr>
        <w:pStyle w:val="NormalHanging12a"/>
      </w:pPr>
      <w:r w:rsidRPr="00C007E5">
        <w:t>–</w:t>
      </w:r>
      <w:r w:rsidRPr="00C007E5">
        <w:tab/>
        <w:t>der henviser til Rådets henstilling af 22. februar 2024 om decharge til agenturet for gennemførelsen af budgettet for regnskabsåret 2022 (0</w:t>
      </w:r>
      <w:r w:rsidR="004819D9" w:rsidRPr="00C007E5">
        <w:t>6180</w:t>
      </w:r>
      <w:r w:rsidRPr="00C007E5">
        <w:t>/2024 – C9</w:t>
      </w:r>
      <w:r w:rsidRPr="00C007E5">
        <w:noBreakHyphen/>
        <w:t>00</w:t>
      </w:r>
      <w:r w:rsidR="004819D9" w:rsidRPr="00C007E5">
        <w:t>96</w:t>
      </w:r>
      <w:r w:rsidRPr="00C007E5">
        <w:t>/2024),</w:t>
      </w:r>
    </w:p>
    <w:p w14:paraId="45DE404A" w14:textId="77777777" w:rsidR="00050D07" w:rsidRPr="00C007E5" w:rsidRDefault="00050D07" w:rsidP="00050D07">
      <w:pPr>
        <w:pStyle w:val="NormalHanging12a"/>
      </w:pPr>
      <w:r w:rsidRPr="00C007E5">
        <w:t>–</w:t>
      </w:r>
      <w:r w:rsidRPr="00C007E5">
        <w:tab/>
        <w:t>der henviser til artikel 319 i traktaten om Den Europæiske Unions funktionsmåde,</w:t>
      </w:r>
    </w:p>
    <w:p w14:paraId="7A553776" w14:textId="77777777" w:rsidR="00050D07" w:rsidRPr="00C007E5" w:rsidRDefault="00050D07" w:rsidP="00050D07">
      <w:pPr>
        <w:pStyle w:val="NormalHanging12a"/>
      </w:pPr>
      <w:r w:rsidRPr="00C007E5">
        <w:t>–</w:t>
      </w:r>
      <w:r w:rsidRPr="00C007E5">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C007E5">
        <w:rPr>
          <w:rStyle w:val="FootnoteReference"/>
        </w:rPr>
        <w:footnoteReference w:id="3"/>
      </w:r>
      <w:r w:rsidRPr="00C007E5">
        <w:t>, særlig artikel 70,</w:t>
      </w:r>
    </w:p>
    <w:p w14:paraId="323DAF3E" w14:textId="77777777" w:rsidR="00050D07" w:rsidRPr="00C007E5" w:rsidRDefault="00050D07" w:rsidP="00050D07">
      <w:pPr>
        <w:pStyle w:val="NormalHanging12a"/>
      </w:pPr>
      <w:r w:rsidRPr="00C007E5">
        <w:t>–</w:t>
      </w:r>
      <w:r w:rsidRPr="00C007E5">
        <w:tab/>
        <w:t>der henviser til Europa-Parlamentets og Rådets forordning (EF) nr. 1406/2002 af 27. juni 2002 om oprettelse af et europæisk agentur for søfartssikkerhed</w:t>
      </w:r>
      <w:r w:rsidRPr="00C007E5">
        <w:rPr>
          <w:rStyle w:val="FootnoteReference"/>
        </w:rPr>
        <w:footnoteReference w:id="4"/>
      </w:r>
      <w:r w:rsidRPr="00C007E5">
        <w:t>, særlig artikel 19,</w:t>
      </w:r>
    </w:p>
    <w:p w14:paraId="03789D4B" w14:textId="77777777" w:rsidR="00050D07" w:rsidRPr="00C007E5" w:rsidRDefault="00050D07" w:rsidP="00050D07">
      <w:pPr>
        <w:pStyle w:val="NormalHanging12a"/>
      </w:pPr>
      <w:r w:rsidRPr="00C007E5">
        <w:lastRenderedPageBreak/>
        <w:t>–</w:t>
      </w:r>
      <w:r w:rsidRPr="00C007E5">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C007E5">
        <w:rPr>
          <w:rStyle w:val="FootnoteReference"/>
        </w:rPr>
        <w:footnoteReference w:id="5"/>
      </w:r>
      <w:r w:rsidRPr="00C007E5">
        <w:t>, særlig artikel 105,</w:t>
      </w:r>
    </w:p>
    <w:p w14:paraId="4536E976" w14:textId="77777777" w:rsidR="00050D07" w:rsidRPr="00C007E5" w:rsidRDefault="00050D07" w:rsidP="00050D07">
      <w:pPr>
        <w:pStyle w:val="NormalHanging12a"/>
      </w:pPr>
      <w:r w:rsidRPr="00C007E5">
        <w:t>–</w:t>
      </w:r>
      <w:r w:rsidRPr="00C007E5">
        <w:tab/>
        <w:t>der henviser til forretningsordenens artikel 100 og bilag V,</w:t>
      </w:r>
    </w:p>
    <w:p w14:paraId="66A73BF1" w14:textId="77777777" w:rsidR="00050D07" w:rsidRPr="00C007E5" w:rsidRDefault="00050D07" w:rsidP="00050D07">
      <w:pPr>
        <w:pStyle w:val="NormalHanging12a"/>
      </w:pPr>
      <w:r w:rsidRPr="00C007E5">
        <w:t>–</w:t>
      </w:r>
      <w:r w:rsidRPr="00C007E5">
        <w:tab/>
        <w:t>der henviser til udtalelse fra Transport- og Turismeudvalget,</w:t>
      </w:r>
    </w:p>
    <w:p w14:paraId="38B371DB" w14:textId="77777777" w:rsidR="00050D07" w:rsidRPr="00C007E5" w:rsidRDefault="00050D07" w:rsidP="00050D07">
      <w:pPr>
        <w:pStyle w:val="NormalHanging12a"/>
      </w:pPr>
      <w:r w:rsidRPr="00C007E5">
        <w:t>–</w:t>
      </w:r>
      <w:r w:rsidRPr="00C007E5">
        <w:tab/>
        <w:t>der henviser til betænkning fra Budgetkontroludvalget (A9-0107/2024),</w:t>
      </w:r>
    </w:p>
    <w:p w14:paraId="5723A836" w14:textId="77777777" w:rsidR="00050D07" w:rsidRPr="00C007E5" w:rsidRDefault="00050D07" w:rsidP="00050D07">
      <w:pPr>
        <w:pStyle w:val="NormalHanging12a"/>
      </w:pPr>
      <w:r w:rsidRPr="00C007E5">
        <w:t>1.</w:t>
      </w:r>
      <w:r w:rsidRPr="00C007E5">
        <w:tab/>
        <w:t>meddeler den administrerende direktør for Det Europæiske Agentur for Søfartssikkerhed decharge for gennemførelsen af agenturets budget for regnskabsåret 2022;</w:t>
      </w:r>
    </w:p>
    <w:p w14:paraId="0DF90EAA" w14:textId="77777777" w:rsidR="00050D07" w:rsidRPr="00C007E5" w:rsidRDefault="00050D07" w:rsidP="00050D07">
      <w:pPr>
        <w:pStyle w:val="NormalHanging12a"/>
      </w:pPr>
      <w:r w:rsidRPr="00C007E5">
        <w:t>2.</w:t>
      </w:r>
      <w:r w:rsidRPr="00C007E5">
        <w:tab/>
        <w:t>fremsætter sine bemærkninger i nedenstående beslutning;</w:t>
      </w:r>
    </w:p>
    <w:p w14:paraId="26B44A94" w14:textId="77777777" w:rsidR="00050D07" w:rsidRPr="00C007E5" w:rsidRDefault="00050D07" w:rsidP="00050D07">
      <w:pPr>
        <w:pStyle w:val="NormalHanging12a"/>
      </w:pPr>
      <w:r w:rsidRPr="00C007E5">
        <w:t>3.</w:t>
      </w:r>
      <w:r w:rsidRPr="00C007E5">
        <w:tab/>
        <w:t xml:space="preserve">pålægger sin formand at sende denne afgørelse og beslutningen, der er en integrerende del heraf, til den administrerende direktør for Det Europæiske Agentur for Søfartssikkerhed, Rådet, Kommissionen og Revisionsretten og drage omsorg for, at de offentliggøres i </w:t>
      </w:r>
      <w:r w:rsidRPr="00C007E5">
        <w:rPr>
          <w:i/>
          <w:iCs/>
        </w:rPr>
        <w:t>Den Europæiske Unions Tidende</w:t>
      </w:r>
      <w:r w:rsidRPr="00C007E5">
        <w:t xml:space="preserve"> (L-udgaven).</w:t>
      </w:r>
    </w:p>
    <w:p w14:paraId="6D9DD9CB" w14:textId="77777777" w:rsidR="00050D07" w:rsidRPr="00C007E5" w:rsidRDefault="00050D07" w:rsidP="00050D07"/>
    <w:p w14:paraId="5BB92C44" w14:textId="77777777" w:rsidR="00050D07" w:rsidRPr="00C007E5" w:rsidRDefault="00050D07" w:rsidP="00050D07">
      <w:pPr>
        <w:widowControl/>
        <w:rPr>
          <w:rFonts w:ascii="Arial" w:hAnsi="Arial" w:cs="Arial"/>
          <w:b/>
        </w:rPr>
        <w:sectPr w:rsidR="00050D07" w:rsidRPr="00C007E5" w:rsidSect="00870BD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69E41FB7" w14:textId="77777777" w:rsidR="00050D07" w:rsidRPr="00C007E5" w:rsidRDefault="00050D07" w:rsidP="004C7CF4">
      <w:pPr>
        <w:pStyle w:val="ATHeading3"/>
      </w:pPr>
      <w:bookmarkStart w:id="9" w:name="_Toc146811167"/>
      <w:bookmarkStart w:id="10" w:name="_Toc161157775"/>
      <w:bookmarkStart w:id="11" w:name="_Toc161824601"/>
      <w:r w:rsidRPr="00C007E5">
        <w:t xml:space="preserve">2. </w:t>
      </w:r>
      <w:r w:rsidR="004C7CF4" w:rsidRPr="00C007E5">
        <w:t>Europa-Parlamentets afgørelse</w:t>
      </w:r>
      <w:bookmarkEnd w:id="9"/>
      <w:bookmarkEnd w:id="10"/>
      <w:bookmarkEnd w:id="11"/>
      <w:r w:rsidR="004C7CF4" w:rsidRPr="00C007E5">
        <w:t xml:space="preserve"> af 11. april 2024 </w:t>
      </w:r>
      <w:r w:rsidRPr="00C007E5">
        <w:t>om afslutning af regnskaberne for Det Europæiske Agentur for Søfartssikkerhed for regnskabsåret 2022</w:t>
      </w:r>
      <w:r w:rsidR="004C7CF4" w:rsidRPr="00C007E5">
        <w:t xml:space="preserve"> (2023/2158(DEC))</w:t>
      </w:r>
    </w:p>
    <w:p w14:paraId="6FA1A8B6" w14:textId="77777777" w:rsidR="00050D07" w:rsidRPr="00C007E5" w:rsidRDefault="00050D07" w:rsidP="00050D07">
      <w:pPr>
        <w:pStyle w:val="EPComma"/>
      </w:pPr>
      <w:r w:rsidRPr="00C007E5">
        <w:rPr>
          <w:i/>
          <w:iCs/>
        </w:rPr>
        <w:t>Europa-Parlamentet,</w:t>
      </w:r>
    </w:p>
    <w:p w14:paraId="27D24A46" w14:textId="77777777" w:rsidR="00050D07" w:rsidRPr="00C007E5" w:rsidRDefault="00050D07" w:rsidP="00050D07">
      <w:pPr>
        <w:pStyle w:val="NormalHanging12a"/>
      </w:pPr>
      <w:r w:rsidRPr="00C007E5">
        <w:t>–</w:t>
      </w:r>
      <w:r w:rsidRPr="00C007E5">
        <w:tab/>
        <w:t>der henviser til det endelige årsregnskab for Det Europæiske Agentur for Søfartssikkerhed for regnskabsåret 2022,</w:t>
      </w:r>
    </w:p>
    <w:p w14:paraId="49783885" w14:textId="77777777" w:rsidR="00050D07" w:rsidRPr="00C007E5" w:rsidRDefault="00050D07" w:rsidP="00050D07">
      <w:pPr>
        <w:pStyle w:val="NormalHanging12a"/>
      </w:pPr>
      <w:r w:rsidRPr="00C007E5">
        <w:t>–</w:t>
      </w:r>
      <w:r w:rsidRPr="00C007E5">
        <w:tab/>
        <w:t>der henviser til Revisionsrettens årsberetning om EU-agenturerne for regnskabsåret 2022, med agenturernes svar</w:t>
      </w:r>
      <w:r w:rsidRPr="00C007E5">
        <w:rPr>
          <w:rStyle w:val="FootnoteReference"/>
        </w:rPr>
        <w:footnoteReference w:id="6"/>
      </w:r>
      <w:r w:rsidRPr="00C007E5">
        <w:t>,</w:t>
      </w:r>
    </w:p>
    <w:p w14:paraId="241D1F09" w14:textId="77777777" w:rsidR="00050D07" w:rsidRPr="00C007E5" w:rsidRDefault="00050D07" w:rsidP="00050D07">
      <w:pPr>
        <w:pStyle w:val="NormalHanging12a"/>
      </w:pPr>
      <w:r w:rsidRPr="00C007E5">
        <w:t>–</w:t>
      </w:r>
      <w:r w:rsidRPr="00C007E5">
        <w:tab/>
        <w:t>der henviser til Revisionsrettens erklæring</w:t>
      </w:r>
      <w:r w:rsidRPr="00C007E5">
        <w:rPr>
          <w:rStyle w:val="FootnoteReference"/>
        </w:rPr>
        <w:footnoteReference w:id="7"/>
      </w:r>
      <w:r w:rsidRPr="00C007E5">
        <w:t xml:space="preserve"> for regnskabsåret 2022 om regnskabernes rigtighed og de underliggende transaktioners lovlighed og formelle rigtighed, jf. artikel 287 i traktaten om Den Europæiske Unions funktionsmåde,</w:t>
      </w:r>
    </w:p>
    <w:p w14:paraId="0C3C5225" w14:textId="42FDF598" w:rsidR="00050D07" w:rsidRPr="00C007E5" w:rsidRDefault="00050D07" w:rsidP="00050D07">
      <w:pPr>
        <w:pStyle w:val="NormalHanging12a"/>
      </w:pPr>
      <w:r w:rsidRPr="00C007E5">
        <w:t>–</w:t>
      </w:r>
      <w:r w:rsidRPr="00C007E5">
        <w:tab/>
        <w:t>der henviser til Rådets henstilling af 22. februar 2024 om decharge til agenturet for gennemførelsen af budgettet for regnskabsåret 2022 (0</w:t>
      </w:r>
      <w:r w:rsidR="004819D9" w:rsidRPr="00C007E5">
        <w:t>6180</w:t>
      </w:r>
      <w:r w:rsidRPr="00C007E5">
        <w:t>/2024 – C9</w:t>
      </w:r>
      <w:r w:rsidRPr="00C007E5">
        <w:noBreakHyphen/>
        <w:t>00</w:t>
      </w:r>
      <w:r w:rsidR="004819D9" w:rsidRPr="00C007E5">
        <w:t>96</w:t>
      </w:r>
      <w:r w:rsidRPr="00C007E5">
        <w:t>/2024),</w:t>
      </w:r>
    </w:p>
    <w:p w14:paraId="01281FED" w14:textId="77777777" w:rsidR="00050D07" w:rsidRPr="00C007E5" w:rsidRDefault="00050D07" w:rsidP="00050D07">
      <w:pPr>
        <w:pStyle w:val="NormalHanging12a"/>
      </w:pPr>
      <w:r w:rsidRPr="00C007E5">
        <w:t>–</w:t>
      </w:r>
      <w:r w:rsidRPr="00C007E5">
        <w:tab/>
        <w:t>der henviser til artikel 319 i traktaten om Den Europæiske Unions funktionsmåde,</w:t>
      </w:r>
    </w:p>
    <w:p w14:paraId="7B5D6956" w14:textId="77777777" w:rsidR="00050D07" w:rsidRPr="00C007E5" w:rsidRDefault="00050D07" w:rsidP="00050D07">
      <w:pPr>
        <w:pStyle w:val="NormalHanging12a"/>
      </w:pPr>
      <w:r w:rsidRPr="00C007E5">
        <w:t>–</w:t>
      </w:r>
      <w:r w:rsidRPr="00C007E5">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C007E5">
        <w:rPr>
          <w:rStyle w:val="FootnoteReference"/>
        </w:rPr>
        <w:footnoteReference w:id="8"/>
      </w:r>
      <w:r w:rsidRPr="00C007E5">
        <w:t>, særlig artikel 70,</w:t>
      </w:r>
    </w:p>
    <w:p w14:paraId="499F08D2" w14:textId="77777777" w:rsidR="00050D07" w:rsidRPr="00C007E5" w:rsidRDefault="00050D07" w:rsidP="00050D07">
      <w:pPr>
        <w:pStyle w:val="NormalHanging12a"/>
      </w:pPr>
      <w:r w:rsidRPr="00C007E5">
        <w:t>–</w:t>
      </w:r>
      <w:r w:rsidRPr="00C007E5">
        <w:tab/>
        <w:t>der henviser til Europa-Parlamentets og Rådets forordning (EF) nr. 1406/2002 af 27. juni 2002 om oprettelse af et europæisk agentur for søfartssikkerhed</w:t>
      </w:r>
      <w:r w:rsidRPr="00C007E5">
        <w:rPr>
          <w:rStyle w:val="FootnoteReference"/>
        </w:rPr>
        <w:footnoteReference w:id="9"/>
      </w:r>
      <w:r w:rsidRPr="00C007E5">
        <w:t>, særlig artikel 19,</w:t>
      </w:r>
    </w:p>
    <w:p w14:paraId="752239FA" w14:textId="77777777" w:rsidR="00050D07" w:rsidRPr="00C007E5" w:rsidRDefault="00050D07" w:rsidP="00050D07">
      <w:pPr>
        <w:pStyle w:val="NormalHanging12a"/>
      </w:pPr>
      <w:r w:rsidRPr="00C007E5">
        <w:t>–</w:t>
      </w:r>
      <w:r w:rsidRPr="00C007E5">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C007E5">
        <w:rPr>
          <w:rStyle w:val="FootnoteReference"/>
        </w:rPr>
        <w:footnoteReference w:id="10"/>
      </w:r>
      <w:r w:rsidRPr="00C007E5">
        <w:t>, særlig artikel 105,</w:t>
      </w:r>
    </w:p>
    <w:p w14:paraId="3D1715EB" w14:textId="77777777" w:rsidR="00050D07" w:rsidRPr="00C007E5" w:rsidRDefault="00050D07" w:rsidP="00050D07">
      <w:pPr>
        <w:pStyle w:val="NormalHanging12a"/>
      </w:pPr>
      <w:r w:rsidRPr="00C007E5">
        <w:t>–</w:t>
      </w:r>
      <w:r w:rsidRPr="00C007E5">
        <w:tab/>
        <w:t>der henviser til forretningsordenens artikel 100 og bilag V,</w:t>
      </w:r>
    </w:p>
    <w:p w14:paraId="39B0BA01" w14:textId="77777777" w:rsidR="00050D07" w:rsidRPr="00C007E5" w:rsidRDefault="00050D07" w:rsidP="00050D07">
      <w:pPr>
        <w:pStyle w:val="NormalHanging12a"/>
      </w:pPr>
      <w:r w:rsidRPr="00C007E5">
        <w:t>–</w:t>
      </w:r>
      <w:r w:rsidRPr="00C007E5">
        <w:tab/>
        <w:t>der henviser til udtalelse fra Transport- og Turismeudvalget,</w:t>
      </w:r>
    </w:p>
    <w:p w14:paraId="4BDC85D7" w14:textId="77777777" w:rsidR="00050D07" w:rsidRPr="00C007E5" w:rsidRDefault="00050D07" w:rsidP="00050D07">
      <w:pPr>
        <w:pStyle w:val="NormalHanging12a"/>
      </w:pPr>
      <w:r w:rsidRPr="00C007E5">
        <w:t>–</w:t>
      </w:r>
      <w:r w:rsidRPr="00C007E5">
        <w:tab/>
        <w:t>der henviser til betænkning fra Budgetkontroludvalget (A9-0107/2024),</w:t>
      </w:r>
    </w:p>
    <w:p w14:paraId="66075BE6" w14:textId="77777777" w:rsidR="00050D07" w:rsidRPr="00C007E5" w:rsidRDefault="00050D07" w:rsidP="00050D07">
      <w:pPr>
        <w:pStyle w:val="NormalHanging12a"/>
      </w:pPr>
      <w:r w:rsidRPr="00C007E5">
        <w:t>1.</w:t>
      </w:r>
      <w:r w:rsidRPr="00C007E5">
        <w:tab/>
        <w:t>godkender afslutningen af regnskaberne for Det Europæiske Agentur for Søfartssikkerhed for regnskabsåret 2022;</w:t>
      </w:r>
    </w:p>
    <w:p w14:paraId="435D7BBE" w14:textId="77777777" w:rsidR="00050D07" w:rsidRPr="00C007E5" w:rsidRDefault="00050D07" w:rsidP="00050D07">
      <w:pPr>
        <w:pStyle w:val="NormalHanging12a"/>
      </w:pPr>
      <w:r w:rsidRPr="00C007E5">
        <w:t>2.</w:t>
      </w:r>
      <w:r w:rsidRPr="00C007E5">
        <w:tab/>
        <w:t xml:space="preserve">pålægger sin formand at sende denne afgørelse til den administrerende direktør for Det Europæiske Agentur for Søfartssikkerhed, Rådet, Kommissionen og Revisionsretten og drage omsorg for, at den offentliggøres i </w:t>
      </w:r>
      <w:r w:rsidRPr="00C007E5">
        <w:rPr>
          <w:i/>
          <w:iCs/>
        </w:rPr>
        <w:t>Den Europæiske Unions Tidende</w:t>
      </w:r>
      <w:r w:rsidRPr="00C007E5">
        <w:t xml:space="preserve"> (L-udgaven).</w:t>
      </w:r>
    </w:p>
    <w:p w14:paraId="74610528" w14:textId="77777777" w:rsidR="00050D07" w:rsidRPr="00C007E5" w:rsidRDefault="00050D07" w:rsidP="00050D07"/>
    <w:p w14:paraId="490FC744" w14:textId="77777777" w:rsidR="00050D07" w:rsidRPr="00C007E5" w:rsidRDefault="00050D07" w:rsidP="00050D07">
      <w:pPr>
        <w:widowControl/>
        <w:rPr>
          <w:rFonts w:ascii="Arial" w:hAnsi="Arial" w:cs="Arial"/>
          <w:b/>
        </w:rPr>
        <w:sectPr w:rsidR="00050D07" w:rsidRPr="00C007E5" w:rsidSect="00870BD6">
          <w:footnotePr>
            <w:numRestart w:val="eachPage"/>
          </w:footnotePr>
          <w:endnotePr>
            <w:numFmt w:val="decimal"/>
          </w:endnotePr>
          <w:pgSz w:w="11906" w:h="16838"/>
          <w:pgMar w:top="1134" w:right="1418" w:bottom="1418" w:left="1418" w:header="567" w:footer="567" w:gutter="0"/>
          <w:cols w:space="720"/>
          <w:docGrid w:linePitch="326"/>
        </w:sectPr>
      </w:pPr>
    </w:p>
    <w:p w14:paraId="7D5C5FBB" w14:textId="77777777" w:rsidR="00050D07" w:rsidRPr="00C007E5" w:rsidRDefault="00050D07" w:rsidP="004C7CF4">
      <w:pPr>
        <w:pStyle w:val="ATHeading3"/>
      </w:pPr>
      <w:bookmarkStart w:id="12" w:name="_Toc146811168"/>
      <w:bookmarkStart w:id="13" w:name="_Toc161157776"/>
      <w:bookmarkStart w:id="14" w:name="_Toc161824602"/>
      <w:r w:rsidRPr="00C007E5">
        <w:t xml:space="preserve">3. </w:t>
      </w:r>
      <w:r w:rsidR="004C7CF4" w:rsidRPr="00C007E5">
        <w:t>Europa-Parlamentets beslutning</w:t>
      </w:r>
      <w:bookmarkEnd w:id="12"/>
      <w:bookmarkEnd w:id="13"/>
      <w:bookmarkEnd w:id="14"/>
      <w:r w:rsidR="004C7CF4" w:rsidRPr="00C007E5">
        <w:t xml:space="preserve"> af 11. april 2024 </w:t>
      </w:r>
      <w:r w:rsidRPr="00C007E5">
        <w:t>med bemærkningerne, der er en integrerende del af afgørelsen om decharge for gennemførelsen af budgettet for Det Europæiske Agentur for Søfartssikkerhed for regnskabsåret 2022</w:t>
      </w:r>
      <w:r w:rsidR="004C7CF4" w:rsidRPr="00C007E5">
        <w:t xml:space="preserve"> </w:t>
      </w:r>
      <w:r w:rsidRPr="00C007E5">
        <w:t>(2023/2158(DEC))</w:t>
      </w:r>
    </w:p>
    <w:p w14:paraId="5BD17594" w14:textId="77777777" w:rsidR="00050D07" w:rsidRPr="00C007E5" w:rsidRDefault="00050D07" w:rsidP="00050D07">
      <w:pPr>
        <w:pStyle w:val="EPComma"/>
      </w:pPr>
      <w:r w:rsidRPr="00C007E5">
        <w:rPr>
          <w:i/>
          <w:iCs/>
        </w:rPr>
        <w:t>Europa-Parlamentet,</w:t>
      </w:r>
    </w:p>
    <w:p w14:paraId="0D98974B" w14:textId="77777777" w:rsidR="00050D07" w:rsidRPr="00C007E5" w:rsidRDefault="00050D07" w:rsidP="00050D07">
      <w:pPr>
        <w:pStyle w:val="NormalHanging12a"/>
      </w:pPr>
      <w:r w:rsidRPr="00C007E5">
        <w:t>–</w:t>
      </w:r>
      <w:r w:rsidRPr="00C007E5">
        <w:tab/>
        <w:t>der henviser til sin afgørelse om decharge for gennemførelsen af budgettet for Det Europæiske Agentur for Søfartssikkerhed for regnskabsåret 2022,</w:t>
      </w:r>
    </w:p>
    <w:p w14:paraId="31F0DAA2" w14:textId="77777777" w:rsidR="00050D07" w:rsidRPr="00C007E5" w:rsidRDefault="00050D07" w:rsidP="00050D07">
      <w:pPr>
        <w:pStyle w:val="NormalHanging12a"/>
      </w:pPr>
      <w:r w:rsidRPr="00C007E5">
        <w:t>–</w:t>
      </w:r>
      <w:r w:rsidRPr="00C007E5">
        <w:tab/>
        <w:t>der henviser til forretningsordenens artikel 100 og bilag V,</w:t>
      </w:r>
    </w:p>
    <w:p w14:paraId="00005026" w14:textId="77777777" w:rsidR="00050D07" w:rsidRPr="00C007E5" w:rsidRDefault="00050D07" w:rsidP="00050D07">
      <w:pPr>
        <w:pStyle w:val="NormalHanging12a"/>
      </w:pPr>
      <w:r w:rsidRPr="00C007E5">
        <w:t>–</w:t>
      </w:r>
      <w:r w:rsidRPr="00C007E5">
        <w:tab/>
        <w:t>der henviser til udtalelse fra Transport- og Turismeudvalget,</w:t>
      </w:r>
    </w:p>
    <w:p w14:paraId="270F665F" w14:textId="77777777" w:rsidR="00050D07" w:rsidRPr="00C007E5" w:rsidRDefault="00050D07" w:rsidP="00050D07">
      <w:pPr>
        <w:pStyle w:val="NormalHanging12a"/>
      </w:pPr>
      <w:r w:rsidRPr="00C007E5">
        <w:t>–</w:t>
      </w:r>
      <w:r w:rsidRPr="00C007E5">
        <w:tab/>
        <w:t>der henviser til betænkning fra Budgetkontroludvalget (A9-0107/2024),</w:t>
      </w:r>
    </w:p>
    <w:p w14:paraId="14D71691" w14:textId="77777777" w:rsidR="00050D07" w:rsidRPr="00C007E5" w:rsidRDefault="00050D07" w:rsidP="00050D07">
      <w:pPr>
        <w:spacing w:after="240"/>
        <w:ind w:left="567" w:hanging="567"/>
        <w:rPr>
          <w:szCs w:val="24"/>
        </w:rPr>
      </w:pPr>
      <w:r w:rsidRPr="00C007E5">
        <w:t>A.</w:t>
      </w:r>
      <w:r w:rsidRPr="00C007E5">
        <w:tab/>
        <w:t>der henviser til, at det endelige budget for Det Europæiske Agentur for Søfartssikkerhed ("agenturet") for regnskabsåret 2022 ifølge dets oversigt over indtægter og udgifter</w:t>
      </w:r>
      <w:r w:rsidRPr="00C007E5">
        <w:rPr>
          <w:rStyle w:val="FootnoteReference"/>
          <w:szCs w:val="24"/>
        </w:rPr>
        <w:footnoteReference w:id="11"/>
      </w:r>
      <w:r w:rsidRPr="00C007E5">
        <w:t xml:space="preserve"> var på 115 807 269,88 EUR, hvilket svarer til en stigning på 9,48 % sammenlignet med 2021; der henviser til, at agenturets budget stammer fra Unionens budget og driftsindtægter;</w:t>
      </w:r>
    </w:p>
    <w:p w14:paraId="1A8987F4" w14:textId="77777777" w:rsidR="00050D07" w:rsidRPr="00C007E5" w:rsidRDefault="00050D07" w:rsidP="00050D07">
      <w:pPr>
        <w:spacing w:after="240"/>
        <w:ind w:left="567" w:hanging="567"/>
        <w:rPr>
          <w:szCs w:val="24"/>
        </w:rPr>
      </w:pPr>
      <w:r w:rsidRPr="00C007E5">
        <w:t>B.</w:t>
      </w:r>
      <w:r w:rsidRPr="00C007E5">
        <w:tab/>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293155DD" w14:textId="77777777" w:rsidR="00050D07" w:rsidRPr="00C007E5" w:rsidRDefault="00050D07" w:rsidP="00050D07">
      <w:pPr>
        <w:spacing w:after="240"/>
        <w:ind w:left="567" w:hanging="567"/>
        <w:rPr>
          <w:szCs w:val="24"/>
        </w:rPr>
      </w:pPr>
      <w:r w:rsidRPr="00C007E5">
        <w:t>C.</w:t>
      </w:r>
      <w:r w:rsidRPr="00C007E5">
        <w:tab/>
        <w:t>der henviser til, at der med hensyn til agenturets udbudsafdeling ikke blev indberettet nogen problemer, der nødvendiggjorde korrigerende foranstaltninger for 2022, og at der heller ikke er igangværende eller udestående korrigerende foranstaltninger fra tidligere års revisioner og vurderinger;</w:t>
      </w:r>
    </w:p>
    <w:p w14:paraId="64B7B7EE" w14:textId="77777777" w:rsidR="00050D07" w:rsidRPr="00C007E5" w:rsidRDefault="00050D07" w:rsidP="00050D07">
      <w:pPr>
        <w:widowControl/>
        <w:spacing w:after="240"/>
        <w:ind w:left="567" w:hanging="567"/>
        <w:rPr>
          <w:szCs w:val="24"/>
        </w:rPr>
      </w:pPr>
      <w:r w:rsidRPr="00C007E5">
        <w:t>D.</w:t>
      </w:r>
      <w:r w:rsidRPr="00C007E5">
        <w:tab/>
        <w:t>der henviser til, at der med hensyn til agenturets interne kontrolsystemer ikke blev indberettet nogen problemer, der nødvendiggjorde korrigerende foranstaltninger for 2022, og at der heller ikke er igangværende eller udestående korrigerende foranstaltninger fra tidligere års revisioner og vurderinger;</w:t>
      </w:r>
    </w:p>
    <w:p w14:paraId="77180B96" w14:textId="77777777" w:rsidR="00050D07" w:rsidRPr="00C007E5" w:rsidRDefault="00050D07" w:rsidP="00050D07">
      <w:pPr>
        <w:spacing w:after="240"/>
        <w:ind w:left="567" w:hanging="567"/>
        <w:rPr>
          <w:b/>
          <w:i/>
          <w:szCs w:val="24"/>
        </w:rPr>
      </w:pPr>
      <w:r w:rsidRPr="00C007E5">
        <w:rPr>
          <w:b/>
          <w:i/>
        </w:rPr>
        <w:t>Budgetmæssig og økonomisk forvaltning</w:t>
      </w:r>
    </w:p>
    <w:p w14:paraId="7081696F" w14:textId="77777777" w:rsidR="00050D07" w:rsidRPr="00C007E5" w:rsidRDefault="00050D07" w:rsidP="00050D07">
      <w:pPr>
        <w:spacing w:after="240"/>
        <w:ind w:left="567" w:hanging="567"/>
        <w:rPr>
          <w:szCs w:val="24"/>
        </w:rPr>
      </w:pPr>
      <w:r w:rsidRPr="00C007E5">
        <w:t>1.</w:t>
      </w:r>
      <w:r w:rsidRPr="00C007E5">
        <w:tab/>
        <w:t>bemærker med tilfredshed, at budgetovervågningsindsatsen i regnskabsåret 2022 resulterede i en budgetgennemførelsesgrad for forpligtelsesbevillingerne for det pågældende år på 99,80 %, hvilket svarer til en lille stigning på 0,14 % i forhold til 2021, og at udnyttelsesgraden for betalingsbevillingerne for det pågældende år var på 98,42 %, hvilket også udgør en stigning på 1,10 %;</w:t>
      </w:r>
    </w:p>
    <w:p w14:paraId="2FB6AF8D" w14:textId="77777777" w:rsidR="00050D07" w:rsidRPr="00C007E5" w:rsidRDefault="00050D07" w:rsidP="00050D07">
      <w:pPr>
        <w:spacing w:after="240"/>
        <w:ind w:left="567" w:hanging="567"/>
        <w:rPr>
          <w:b/>
          <w:i/>
          <w:szCs w:val="24"/>
        </w:rPr>
      </w:pPr>
      <w:r w:rsidRPr="00C007E5">
        <w:rPr>
          <w:b/>
          <w:i/>
        </w:rPr>
        <w:t>Performance</w:t>
      </w:r>
    </w:p>
    <w:p w14:paraId="0E79812D" w14:textId="77777777" w:rsidR="00050D07" w:rsidRPr="00C007E5" w:rsidRDefault="00050D07" w:rsidP="00050D07">
      <w:pPr>
        <w:spacing w:after="240"/>
        <w:ind w:left="567" w:hanging="567"/>
        <w:rPr>
          <w:szCs w:val="24"/>
        </w:rPr>
      </w:pPr>
      <w:r w:rsidRPr="00C007E5">
        <w:t>2.</w:t>
      </w:r>
      <w:r w:rsidRPr="00C007E5">
        <w:tab/>
        <w:t>glæder sig over, at agenturet anvender centrale resultatindikatorer (KPI'er) til at måle gennemførelsen af sit årlige arbejdsprogram på de centrale områder, som agenturet bidrager til, og dets horisontale aktiviteter (bæredygtighed, overvågning, sikkerhed og sikring, forenkling, digitalisering, teknisk bistand, kapacitetsopbygning og strategisk støtte); roser, at målene generelt er blevet nået, og at meget få mål halter bagefter, hovedsagelig på grund af berettigede årsager; bemærker endvidere, at agenturet har nået sine mål for 2022 i overensstemmelse med det årlige arbejdsprogram og den flerårige strategiske ramme;</w:t>
      </w:r>
    </w:p>
    <w:p w14:paraId="665D63BA" w14:textId="77777777" w:rsidR="00050D07" w:rsidRPr="00C007E5" w:rsidRDefault="00050D07" w:rsidP="00050D07">
      <w:pPr>
        <w:spacing w:after="240"/>
        <w:ind w:left="567" w:hanging="567"/>
        <w:rPr>
          <w:szCs w:val="24"/>
        </w:rPr>
      </w:pPr>
      <w:r w:rsidRPr="00C007E5">
        <w:t>3.</w:t>
      </w:r>
      <w:r w:rsidRPr="00C007E5">
        <w:tab/>
        <w:t xml:space="preserve">noterer sig, at agenturet har været aktivt involveret i flere initiativer i forbindelse med den europæiske grønne pagt og har ydet støtte og data til Kommissionen og </w:t>
      </w:r>
      <w:r w:rsidR="004819D9" w:rsidRPr="00C007E5">
        <w:t xml:space="preserve">til </w:t>
      </w:r>
      <w:r w:rsidRPr="00C007E5">
        <w:t>medlemsstaterne med særlig vægt på forskellige forslag i "Fit for 55-pakken" såsom FuelEU Maritime-forslaget og forslaget, der har til formål at udvide emissionshandelsordningen til også at omfatte søtransport;</w:t>
      </w:r>
    </w:p>
    <w:p w14:paraId="27C7C23E" w14:textId="77777777" w:rsidR="00050D07" w:rsidRPr="00C007E5" w:rsidRDefault="00050D07" w:rsidP="00050D07">
      <w:pPr>
        <w:spacing w:after="240"/>
        <w:ind w:left="567" w:hanging="567"/>
        <w:rPr>
          <w:szCs w:val="24"/>
        </w:rPr>
      </w:pPr>
      <w:r w:rsidRPr="00C007E5">
        <w:t>4.</w:t>
      </w:r>
      <w:r w:rsidRPr="00C007E5">
        <w:tab/>
        <w:t xml:space="preserve">glæder sig over, at agenturet er blevet en vigtig aktør med hensyn til overvågning og rapportering af fartøjer af interesse efter den ulovlige og uprovokerede russiske invasion af Ukraine i februar 2022; bemærker i den forbindelse, at den maritime støttetjeneste (MSS) rapporterede om fartøjer, der fører russisk flag, til medlemsstaterne og Kommissionen, om skibes anløb af EU-havne til bestemte medlemsstater og </w:t>
      </w:r>
      <w:r w:rsidR="004819D9" w:rsidRPr="00C007E5">
        <w:t xml:space="preserve">til </w:t>
      </w:r>
      <w:r w:rsidRPr="00C007E5">
        <w:t>Kommissionen og om skibsanløb i forbindelse med sanktioner (f.eks. kulimport);</w:t>
      </w:r>
    </w:p>
    <w:p w14:paraId="35739F0A" w14:textId="77777777" w:rsidR="00050D07" w:rsidRPr="00C007E5" w:rsidRDefault="00050D07" w:rsidP="00050D07">
      <w:pPr>
        <w:spacing w:after="240"/>
        <w:ind w:left="567" w:hanging="567"/>
        <w:rPr>
          <w:szCs w:val="24"/>
        </w:rPr>
      </w:pPr>
      <w:r w:rsidRPr="00C007E5">
        <w:t>5.</w:t>
      </w:r>
      <w:r w:rsidRPr="00C007E5">
        <w:tab/>
        <w:t>bemærker, at agenturets jordobservationstjenester fortsatte med at udvikle og levere overvågningskapacitet med vægt på CleanSeaNet, Copernicus' havovervågningstjenester til Frontex og støtten til maritime nødsituationer til søs i forbindelse med agenturets beredskabsplan;</w:t>
      </w:r>
    </w:p>
    <w:p w14:paraId="2FA9064B" w14:textId="77777777" w:rsidR="00050D07" w:rsidRPr="00C007E5" w:rsidRDefault="00050D07" w:rsidP="00050D07">
      <w:pPr>
        <w:spacing w:after="240"/>
        <w:ind w:left="567" w:hanging="567"/>
        <w:rPr>
          <w:szCs w:val="24"/>
        </w:rPr>
      </w:pPr>
      <w:r w:rsidRPr="00C007E5">
        <w:t>6.</w:t>
      </w:r>
      <w:r w:rsidRPr="00C007E5">
        <w:tab/>
        <w:t xml:space="preserve">glæder sig over, at agenturet ydede teknisk støtte til Kommissionen og </w:t>
      </w:r>
      <w:r w:rsidR="004819D9" w:rsidRPr="00C007E5">
        <w:t xml:space="preserve">til </w:t>
      </w:r>
      <w:r w:rsidRPr="00C007E5">
        <w:t>EFTA-Tilsynsmyndigheden ved at deltage i de inspektioner, de tilrettelagde for at vurdere og kontrollere gennemførelsen og håndhævelsen af EU's lovgivning om maritim sikkerhed i medlemsstaterne;</w:t>
      </w:r>
    </w:p>
    <w:p w14:paraId="026345EA" w14:textId="77777777" w:rsidR="00050D07" w:rsidRPr="00C007E5" w:rsidRDefault="00050D07" w:rsidP="00050D07">
      <w:pPr>
        <w:spacing w:after="240"/>
        <w:ind w:left="567" w:hanging="567"/>
        <w:rPr>
          <w:szCs w:val="24"/>
        </w:rPr>
      </w:pPr>
      <w:r w:rsidRPr="00C007E5">
        <w:t>7.</w:t>
      </w:r>
      <w:r w:rsidRPr="00C007E5">
        <w:tab/>
        <w:t>bemærker, at agenturet i 2022 gav Den Europæiske Unions Agentur for Retshåndhævelsessamarbejde (Europol) adgang til maritime informationstjenester og overvågningstjenester for at støtte dem på områderne retshåndhævelse og organiseret kriminalitet til søs;</w:t>
      </w:r>
    </w:p>
    <w:p w14:paraId="357DCD3E" w14:textId="77777777" w:rsidR="00050D07" w:rsidRPr="00C007E5" w:rsidRDefault="00050D07" w:rsidP="00050D07">
      <w:pPr>
        <w:spacing w:after="240"/>
        <w:ind w:left="567" w:hanging="567"/>
        <w:rPr>
          <w:i/>
          <w:szCs w:val="24"/>
        </w:rPr>
      </w:pPr>
      <w:r w:rsidRPr="00C007E5">
        <w:t>8.</w:t>
      </w:r>
      <w:r w:rsidRPr="00C007E5">
        <w:tab/>
        <w:t>bemærker, at agenturet fastholdt sin rolle som ekspertisecenter for kapacitetsopbygning, gennemførelse af IPA II-projektet og afslutning af projekter for teknisk bistand i Middelhavet (SAFEMED IV) og Sortehavet og Det Kaspiske Hav (BCSEA) i 2022;</w:t>
      </w:r>
    </w:p>
    <w:p w14:paraId="363795F3" w14:textId="77777777" w:rsidR="00050D07" w:rsidRPr="00C007E5" w:rsidRDefault="00050D07" w:rsidP="00050D07">
      <w:pPr>
        <w:spacing w:after="240"/>
        <w:ind w:left="567" w:hanging="567"/>
      </w:pPr>
      <w:r w:rsidRPr="00C007E5">
        <w:t>9.</w:t>
      </w:r>
      <w:r w:rsidRPr="00C007E5">
        <w:tab/>
        <w:t>glæder sig over agenturets støtte til Kommissionen i IMO, navnlig i fora som MEPC, PPR og CCC; bemærker, at denne støtte dækker vigtige områder inden for forureningsforebyggelse og bæredygtighed, herunder IMO-strategien for reduktion af drivhusgasemissioner, skibsfartens kulstofintensitet, sikkerhed, evaluering, udbredelse og anvendelse af bæredygtige alternative brændstoffer og teknologier, havaffald og undervandsstøj; fremhæver, at IMO's kommende arbejde med at udvikle de tilsvarende krav og standarder for anvendelsen af nye brændstoffer og teknologier vil være af afgørende betydning for deres udbredelse på både globalt plan og EU-plan;</w:t>
      </w:r>
    </w:p>
    <w:p w14:paraId="0D804E44" w14:textId="77777777" w:rsidR="00050D07" w:rsidRPr="00C007E5" w:rsidRDefault="00050D07" w:rsidP="00050D07">
      <w:pPr>
        <w:pStyle w:val="NormalHanging12a"/>
        <w:rPr>
          <w:b/>
          <w:i/>
          <w:color w:val="000000" w:themeColor="text1"/>
          <w:szCs w:val="24"/>
        </w:rPr>
      </w:pPr>
      <w:r w:rsidRPr="00C007E5">
        <w:rPr>
          <w:b/>
          <w:i/>
          <w:color w:val="000000" w:themeColor="text1"/>
        </w:rPr>
        <w:t>Effektivitet og gevinster</w:t>
      </w:r>
    </w:p>
    <w:p w14:paraId="0E474905" w14:textId="77777777" w:rsidR="00050D07" w:rsidRPr="00C007E5" w:rsidRDefault="00050D07" w:rsidP="00050D07">
      <w:pPr>
        <w:widowControl/>
        <w:spacing w:after="240"/>
        <w:ind w:left="567" w:hanging="567"/>
        <w:rPr>
          <w:szCs w:val="24"/>
        </w:rPr>
      </w:pPr>
      <w:r w:rsidRPr="00C007E5">
        <w:rPr>
          <w:color w:val="000000" w:themeColor="text1"/>
        </w:rPr>
        <w:t>10.</w:t>
      </w:r>
      <w:r w:rsidRPr="00C007E5">
        <w:rPr>
          <w:color w:val="000000" w:themeColor="text1"/>
        </w:rPr>
        <w:tab/>
      </w:r>
      <w:r w:rsidRPr="00C007E5">
        <w:t>bemærker, at agenturet inden for rammerne af det nye mandat for det europæiske samarbejde om kystvagtfunktioner har delt oplysninger, ekspertise, procedurer, uddannelsesmaterialer og -værktøjer med Det Europæiske Fiskerikontrolagentur (EFCA) og Frontex;</w:t>
      </w:r>
      <w:r w:rsidRPr="00C007E5">
        <w:rPr>
          <w:color w:val="000000" w:themeColor="text1"/>
        </w:rPr>
        <w:t xml:space="preserve"> bemærker endvidere, at agenturet fortsat arbejder tæt sammen med Det Europæiske Overvågningscenter for Narkotika og Narkotikamisbrug (EMCCDA) med henblik på at øge sin effektivitet og spare omkostninger på grund af de to agenturers geografiske nærhed; glæder sig over, at agenturet støttede EMCCDA gennem videndeling i forbindelse med EMAS-registrering og sammen med EFCA fortsatte med at sikre den gensidige backupordning for regnskabsfunktionen i begge agenturer; </w:t>
      </w:r>
      <w:r w:rsidRPr="00C007E5">
        <w:t>påpeger de horisontale fordele ved at arbejde sammen og tilpasse bedste praksis, og at fælles initiativer samler forskellige perspektiver, mindsker dobbeltarbejde, fremmer læring og styrker forbindelserne mellem deltagerne;</w:t>
      </w:r>
    </w:p>
    <w:p w14:paraId="5FC8EEC6" w14:textId="77777777" w:rsidR="00050D07" w:rsidRPr="00C007E5" w:rsidRDefault="00050D07" w:rsidP="00050D07">
      <w:pPr>
        <w:pStyle w:val="NormalHanging12a"/>
        <w:rPr>
          <w:color w:val="000000" w:themeColor="text1"/>
          <w:szCs w:val="24"/>
        </w:rPr>
      </w:pPr>
      <w:r w:rsidRPr="00C007E5">
        <w:rPr>
          <w:color w:val="000000" w:themeColor="text1"/>
        </w:rPr>
        <w:t>11.</w:t>
      </w:r>
      <w:r w:rsidRPr="00C007E5">
        <w:rPr>
          <w:color w:val="000000" w:themeColor="text1"/>
        </w:rPr>
        <w:tab/>
        <w:t>bemærker, at agenturet har arbejdet på at forbedre sin produktivitet og effektivitet gennem automatisering af procedurer med det formål at reducere den administrative arbejdsbyrde for specifikke medarbejdere betydeligt og sætte dem i stand til at fokusere på opgaver på relaterede områder med højere merværdi; bemærker, at agenturet desuden har iværksat pilotprojekter for kvalificeret e-signatur og integration af virksomhedsværktøjer med ARES; opfordrer agenturet til at indkredse flere interne procedurer, der kan strømlines via automatisering;</w:t>
      </w:r>
    </w:p>
    <w:p w14:paraId="3A7D1758" w14:textId="77777777" w:rsidR="00050D07" w:rsidRPr="00C007E5" w:rsidRDefault="00050D07" w:rsidP="00050D07">
      <w:pPr>
        <w:spacing w:after="240"/>
        <w:ind w:left="567" w:hanging="567"/>
        <w:rPr>
          <w:b/>
          <w:i/>
          <w:szCs w:val="24"/>
        </w:rPr>
      </w:pPr>
      <w:r w:rsidRPr="00C007E5">
        <w:rPr>
          <w:b/>
          <w:i/>
        </w:rPr>
        <w:t>Personalepolitik</w:t>
      </w:r>
    </w:p>
    <w:p w14:paraId="6BF556A5" w14:textId="77777777" w:rsidR="00050D07" w:rsidRPr="00C007E5" w:rsidRDefault="00050D07" w:rsidP="00050D07">
      <w:pPr>
        <w:pStyle w:val="NormalHanging12a"/>
        <w:rPr>
          <w:szCs w:val="24"/>
        </w:rPr>
      </w:pPr>
      <w:r w:rsidRPr="00C007E5">
        <w:t>12.</w:t>
      </w:r>
      <w:r w:rsidRPr="00C007E5">
        <w:tab/>
        <w:t>bemærker, at 99,06 % af stillingerne i stillingsfortegnelsen var besat pr. 31. december 2022 med 210 tjenestemænd og midlertidigt ansatte ud af de 212 midlertidigt ansatte og tjenestemænd, som var godkendt i henhold til EU-budgettet (det samme som i 2021); bemærker, at der i 2022 desuden arbejdede 28 kontraktansatte og 16 udstationerede nationale eksperter for agenturet;</w:t>
      </w:r>
    </w:p>
    <w:p w14:paraId="3E09E350" w14:textId="77777777" w:rsidR="00050D07" w:rsidRPr="00C007E5" w:rsidRDefault="00050D07" w:rsidP="00050D07">
      <w:pPr>
        <w:pStyle w:val="NormalHanging12a"/>
      </w:pPr>
      <w:r w:rsidRPr="00C007E5">
        <w:t>13.</w:t>
      </w:r>
      <w:r w:rsidRPr="00C007E5">
        <w:tab/>
        <w:t>bemærker den manglende kønsbalance i agenturets øverste ledelse og blandt dets mellemledere, hvor 5 ud af 16 (31 %) er kvinder; bemærker den manglende kønsbalance i agenturets bestyrelse, hvor 10 ud af 57 (18 %) er kvinder; bemærker den manglende kønsbalance i agenturets samlede personale, hvor 99 ud af 264 (38 %) er kvinder; minder om betydningen af at sikre kønsbalance og opfordrer agenturet til at tage dette aspekt i betragtning i forbindelse med fremtidige ansættelser af personale og udnævnelser i den øverste ledelse og på mellemlederniveau; glæder sig i den forbindelse over, at agenturet har iværksat en kønshandlingsplan for 2022-2025 med fokus på at forbedre kønsbalancen og ligestillingen på lang sigt på grundlag af kvalitet; anmoder Kommissionen og medlemsstaterne om at tage hensyn til vigtigheden af at sikre kønsbalance, når de indstiller deres medlemmer til agenturets bestyrelse; opfordrer agenturet til også at vedtage chartret om mangfoldighed og inklusion og til at fortsætte med at deltage i initiativer, der fremmer mangfoldighed og inklusion på arbejdspladsen på alle niveauer i hierarkiet;</w:t>
      </w:r>
    </w:p>
    <w:p w14:paraId="1C625925" w14:textId="77777777" w:rsidR="00050D07" w:rsidRPr="00C007E5" w:rsidRDefault="00050D07" w:rsidP="00050D07">
      <w:pPr>
        <w:spacing w:after="240"/>
        <w:ind w:left="567" w:hanging="567"/>
      </w:pPr>
      <w:r w:rsidRPr="00C007E5">
        <w:t>14.</w:t>
      </w:r>
      <w:r w:rsidRPr="00C007E5">
        <w:tab/>
        <w:t>understreger den fortsatte udfordring med at rekruttere udstationerede nationale eksperter i betragtning af vanskelighederne med at tiltrække eksperter fra medlemsstaterne; påpeger, at agenturet har haft nogle mislykkede forsøg på rekruttering af personale; foreslår, at interne kontraktansatte får mulighed for at rykke op i den næste ansættelsesgruppe via en generel udvælgelsesprocedure; bemærker, at agenturet for så vidt angår effektivitetsgevinsterne tilstræber og arbejder på at forbedre sine procedurer for at øge sin produktivitet og effektivitet og opnå den bedst mulige udnyttelse af sine menneskelige og finansielle ressourcer;</w:t>
      </w:r>
    </w:p>
    <w:p w14:paraId="04029532" w14:textId="77777777" w:rsidR="00050D07" w:rsidRPr="00C007E5" w:rsidRDefault="00050D07" w:rsidP="00050D07">
      <w:pPr>
        <w:pStyle w:val="NormalHanging12a"/>
      </w:pPr>
      <w:r w:rsidRPr="00C007E5">
        <w:t>15.</w:t>
      </w:r>
      <w:r w:rsidRPr="00C007E5">
        <w:tab/>
        <w:t>glæder sig over, at der i forbindelse med forebyggelse af chikane på arbejdspladsen blev udpeget seks nye fortrolige rådgivere efter vellykket gennemførelse af en obligatorisk uddannelse, som nu er aktive i denne rolle i agenturet;</w:t>
      </w:r>
    </w:p>
    <w:p w14:paraId="72224DD7" w14:textId="77777777" w:rsidR="00050D07" w:rsidRPr="00C007E5" w:rsidRDefault="00050D07" w:rsidP="00050D07">
      <w:pPr>
        <w:pStyle w:val="NormalHanging12a"/>
      </w:pPr>
      <w:r w:rsidRPr="00C007E5">
        <w:t>16.</w:t>
      </w:r>
      <w:r w:rsidRPr="00C007E5">
        <w:tab/>
        <w:t>bemærker, at agenturet iværksatte et HR-strategiprojekt med høring af personale, ledelse og personaleudvalget, et projekt til oprettelse af et onlineintroduktionsprogram for nytilkomne og det forberedende arbejde i forbindelse med afgørelsen om arbejdstid og hybridarbejde, som forventedes vedtaget i 2023; opfordrer agenturet til at holde dechargemyndigheden underrettet om fremskridt på dette område;</w:t>
      </w:r>
    </w:p>
    <w:p w14:paraId="29113787" w14:textId="77777777" w:rsidR="00050D07" w:rsidRPr="00C007E5" w:rsidRDefault="00050D07" w:rsidP="00050D07">
      <w:pPr>
        <w:pStyle w:val="NormalHanging12a"/>
        <w:rPr>
          <w:b/>
          <w:i/>
          <w:szCs w:val="24"/>
        </w:rPr>
      </w:pPr>
      <w:r w:rsidRPr="00C007E5">
        <w:rPr>
          <w:b/>
          <w:i/>
        </w:rPr>
        <w:t>Forebyggelse og håndtering af interessekonflikter samt gennemsigtighed</w:t>
      </w:r>
    </w:p>
    <w:p w14:paraId="148C0ACA" w14:textId="23C38D9B" w:rsidR="00050D07" w:rsidRPr="00C007E5" w:rsidRDefault="00050D07" w:rsidP="00050D07">
      <w:pPr>
        <w:spacing w:after="240"/>
        <w:ind w:left="567" w:hanging="567"/>
        <w:rPr>
          <w:szCs w:val="24"/>
        </w:rPr>
      </w:pPr>
      <w:r w:rsidRPr="00C007E5">
        <w:t>17.</w:t>
      </w:r>
      <w:r w:rsidRPr="00C007E5">
        <w:tab/>
        <w:t>anerkender, at medlemmer og suppleanterne i agenturets bestyrelse anmodes om at underskrive en loyalitets- og fortrolighedserklæring ved deres udnævnelse og årligt at erklære enhver (potentiel) interessekonflikt, der kan anses for at være til skade for behandlingen af et punkt på dagsordenen ved begyndelsen af hvert bestyrelsesmøde; bemærker, at alle medarbejdere (herunder den øverste ledelse, der er involveret i specifikke procedurer) er forpligtet til at erklære (potentielle) interessekonflikter i forskellige procedurer såsom udbud og ansættelse; noterer sig, at et medlem af udvælgelseskomitéen i løbet af 2022 erklærede ét tilfælde af interessekonflikt i en ansættelsesprocedure, og at medlemmet blev udskiftet efter en analyse af den erklærede konflikt;</w:t>
      </w:r>
    </w:p>
    <w:p w14:paraId="5B86AB91" w14:textId="77777777" w:rsidR="00050D07" w:rsidRPr="00C007E5" w:rsidRDefault="00050D07" w:rsidP="00050D07">
      <w:pPr>
        <w:spacing w:after="240"/>
        <w:ind w:left="567" w:hanging="567"/>
        <w:rPr>
          <w:szCs w:val="24"/>
        </w:rPr>
      </w:pPr>
      <w:r w:rsidRPr="00C007E5">
        <w:t>18.</w:t>
      </w:r>
      <w:r w:rsidRPr="00C007E5">
        <w:tab/>
        <w:t>bemærker, at agenturet har vedtaget EMSA's bestyrelses politik vedrørende interessekonflikter, der fastsætter principper for medlemmernes og deres suppleanters upartiskhed og uafhængighed og fastlægger foranstaltninger til at sikre deres praktiske anvendelse med henblik på at forebygge og afbøde risici for, at tidligere, nuværende eller fremtidige interesser på utilbørlig vis kan påvirke bestyrelsesmedlemmernes upartiskhed og uafhængighed under udøvelsen af deres hverv;</w:t>
      </w:r>
    </w:p>
    <w:p w14:paraId="5870BEC1" w14:textId="77777777" w:rsidR="00050D07" w:rsidRPr="00C007E5" w:rsidRDefault="00050D07" w:rsidP="00050D07">
      <w:pPr>
        <w:spacing w:after="240"/>
        <w:ind w:left="567" w:hanging="567"/>
        <w:rPr>
          <w:szCs w:val="24"/>
        </w:rPr>
      </w:pPr>
      <w:r w:rsidRPr="00C007E5">
        <w:t>19.</w:t>
      </w:r>
      <w:r w:rsidRPr="00C007E5">
        <w:tab/>
        <w:t>noterer sig, at CV'er for bestyrelsesmedlemmer og ledende personale er offentliggjort på agenturets websted;</w:t>
      </w:r>
    </w:p>
    <w:p w14:paraId="7852CD39" w14:textId="77777777" w:rsidR="00050D07" w:rsidRPr="00C007E5" w:rsidRDefault="00050D07" w:rsidP="00050D07">
      <w:pPr>
        <w:pStyle w:val="Normal12Hanging"/>
        <w:rPr>
          <w:b/>
          <w:i/>
          <w:szCs w:val="24"/>
        </w:rPr>
      </w:pPr>
      <w:r w:rsidRPr="00C007E5">
        <w:rPr>
          <w:b/>
          <w:i/>
        </w:rPr>
        <w:t>Øvrige bemærkninger</w:t>
      </w:r>
    </w:p>
    <w:p w14:paraId="1B97FF1E" w14:textId="77777777" w:rsidR="00050D07" w:rsidRPr="00C007E5" w:rsidRDefault="00050D07" w:rsidP="00050D07">
      <w:pPr>
        <w:spacing w:after="240"/>
        <w:ind w:left="567" w:hanging="567"/>
        <w:rPr>
          <w:szCs w:val="24"/>
        </w:rPr>
      </w:pPr>
      <w:r w:rsidRPr="00C007E5">
        <w:t>20.</w:t>
      </w:r>
      <w:r w:rsidRPr="00C007E5">
        <w:tab/>
        <w:t>roser, at risikoregistret i overensstemmelse med agenturets risikostyringsramme blev ajourført fuldt ud og finjusteret i 2022, og at der under dette arbejde blev lagt særlig vægt på at identificere potentielle risici i forbindelse med svig og generelle muligheder; glæder sig endvidere over, at der i forlængelse af Ruslands invasion i Ukraine blev identificeret en række nye risici og muligheder i forbindelse med denne store krise, som blev medtaget i de ajourførte risikoregistre;</w:t>
      </w:r>
    </w:p>
    <w:p w14:paraId="3122DBAB" w14:textId="77777777" w:rsidR="00050D07" w:rsidRPr="00C007E5" w:rsidRDefault="00050D07" w:rsidP="00050D07">
      <w:pPr>
        <w:spacing w:after="240"/>
        <w:ind w:left="567" w:hanging="567"/>
        <w:rPr>
          <w:szCs w:val="24"/>
        </w:rPr>
      </w:pPr>
      <w:r w:rsidRPr="00C007E5">
        <w:t>21.</w:t>
      </w:r>
      <w:r w:rsidRPr="00C007E5">
        <w:tab/>
        <w:t>lykønsker agenturet med at have udviklet en række ad hoc-produkter for at bistå medlemsstaterne og Kommissionen med gennemførelsen af EU's sanktioner i forbindelse med Den Russiske Føderations invasion af Ukraine såsom rapportering om skibes anløb i havn med henblik på bestemte ladninger og flag; glæder sig endvidere over, at agenturet har udarbejdet og forelægger de relevante interessenter en månedlig rapport om konsekvenserne af udviklingen i Ukraine for skibstrafikken og handelen;</w:t>
      </w:r>
    </w:p>
    <w:p w14:paraId="21520AB0" w14:textId="77777777" w:rsidR="00050D07" w:rsidRPr="00C007E5" w:rsidRDefault="00050D07" w:rsidP="00050D07">
      <w:pPr>
        <w:spacing w:after="240"/>
        <w:ind w:left="567" w:hanging="567"/>
        <w:rPr>
          <w:szCs w:val="24"/>
        </w:rPr>
      </w:pPr>
      <w:r w:rsidRPr="00C007E5">
        <w:t>22.</w:t>
      </w:r>
      <w:r w:rsidRPr="00C007E5">
        <w:tab/>
        <w:t>glæder sig over, at agenturet har gennemført forskellige grønne aktiviteter i 2022 såsom en omfattende oplysningskampagne om grøn omstilling, etablering af et genanvendeligt stationært lokale, deltagelse i den europæiske miljøtrafikuge og sænkning af basistemperaturen i lokalerne i vintersæsonen;</w:t>
      </w:r>
    </w:p>
    <w:p w14:paraId="6370B410" w14:textId="77777777" w:rsidR="00050D07" w:rsidRPr="00C007E5" w:rsidRDefault="00050D07" w:rsidP="00050D07">
      <w:pPr>
        <w:spacing w:after="240"/>
        <w:ind w:left="567" w:hanging="567"/>
        <w:rPr>
          <w:szCs w:val="24"/>
        </w:rPr>
      </w:pPr>
      <w:r w:rsidRPr="00C007E5">
        <w:t>23.</w:t>
      </w:r>
      <w:r w:rsidRPr="00C007E5">
        <w:tab/>
        <w:t>minder om, at agenturet i 2019 lancerede projektet "Greening EMSA" med det formål at indføre miljøforvaltning, og at det sidste skridt med den eksterne kontrol fandt sted i januar 2022; bemærker, at agenturet derfor har modtaget EMAS-mærket og fået sin miljøredegørelse offentliggjort;</w:t>
      </w:r>
    </w:p>
    <w:p w14:paraId="75B8B781" w14:textId="77777777" w:rsidR="00050D07" w:rsidRPr="00C007E5" w:rsidRDefault="00050D07" w:rsidP="00050D07">
      <w:pPr>
        <w:spacing w:after="240"/>
        <w:ind w:left="567" w:hanging="567"/>
        <w:rPr>
          <w:szCs w:val="24"/>
        </w:rPr>
      </w:pPr>
      <w:r w:rsidRPr="00C007E5">
        <w:t>24.</w:t>
      </w:r>
      <w:r w:rsidRPr="00C007E5">
        <w:tab/>
        <w:t>bemærker, at agenturet har intensiveret sit samarbejde med Den Europæiske Unions Agentur for Cybersikkerhed ved at deltage i pilotprojektet for den fremtidige gennemførelse af den kommende forordning om cybersikkerhed; bemærker endvidere, at agenturet har styrket sit samarbejde med CERT EU ved at forny en specifik serviceleveranceaftale, som nu omfatter flere foranstaltninger såsom et øget antal sikkerhedsvurderinger, og ved at give adgang til realtidsovervågning af sikkerhedshændelser i EMSA's IT-infrastruktur; bemærker endvidere, at agenturet udfører regelmæssige sikkerhedsvurderinger med CERT EU og Rådets udbyder af interinstitutionelle sikkerhedstjenester;</w:t>
      </w:r>
    </w:p>
    <w:p w14:paraId="4A64CD11" w14:textId="77777777" w:rsidR="00050D07" w:rsidRPr="00C007E5" w:rsidRDefault="00050D07" w:rsidP="00050D07">
      <w:pPr>
        <w:spacing w:after="240"/>
        <w:ind w:left="567" w:hanging="567"/>
        <w:rPr>
          <w:szCs w:val="24"/>
        </w:rPr>
      </w:pPr>
      <w:r w:rsidRPr="00C007E5">
        <w:t>25.</w:t>
      </w:r>
      <w:r w:rsidRPr="00C007E5">
        <w:tab/>
        <w:t>bemærker, at agenturet har gennemført forskellige foranstaltninger for at øge sin synlighed i offentligheden og sin onlinetilstedeværelse, såsom afholdelse af konferencer, deling af videoer, der forklarer agenturets vigtigste aktiviteter og kompetencer, livestreaming og lanceringen af konceptet "EMSA open day";</w:t>
      </w:r>
    </w:p>
    <w:p w14:paraId="181BF319" w14:textId="77777777" w:rsidR="00050D07" w:rsidRPr="00C007E5" w:rsidRDefault="00050D07" w:rsidP="00050D07">
      <w:pPr>
        <w:pStyle w:val="NormalHanging12a"/>
      </w:pPr>
      <w:r w:rsidRPr="00C007E5">
        <w:t>26.</w:t>
      </w:r>
      <w:r w:rsidRPr="00C007E5">
        <w:tab/>
        <w:t>glæder sig over agenturets tilsagn om at styrke sin flersprogede kommunikation for at sikre større tilgængelighed for alle europæiske borgere; bemærker, at agenturets femårsstrategi, den europæiske havmiljørapport og den europæiske søfartssikkerhedsrapport nu er tilgængelige på alle 24 EU-sprog;</w:t>
      </w:r>
    </w:p>
    <w:p w14:paraId="0349CB78" w14:textId="77777777" w:rsidR="00050D07" w:rsidRPr="00C007E5" w:rsidRDefault="00050D07" w:rsidP="00050D07">
      <w:pPr>
        <w:spacing w:after="240"/>
        <w:ind w:left="567" w:hanging="567"/>
      </w:pPr>
      <w:r w:rsidRPr="00C007E5">
        <w:t>27.</w:t>
      </w:r>
      <w:r w:rsidRPr="00C007E5">
        <w:tab/>
        <w:t>understreger betydningen af agenturets aktiviteter på området maritim sikkerhed og anmoder om dets fortsatte tekniske bistand til Kommissionens inspektioner inden for rammerne af Europa-Parlamentets og Rådets forordning (EF) nr. 725/2004 om bedre sikring af skibe og havnefaciliteter; fremhæver en betydelig stigning i cybersikkerhedshændelser i søfartssektoren de seneste år;</w:t>
      </w:r>
    </w:p>
    <w:p w14:paraId="410F75B6" w14:textId="77777777" w:rsidR="00050D07" w:rsidRPr="00C007E5" w:rsidRDefault="00050D07" w:rsidP="00050D07">
      <w:pPr>
        <w:spacing w:after="240"/>
        <w:ind w:left="567" w:hanging="567"/>
      </w:pPr>
      <w:r w:rsidRPr="00C007E5">
        <w:t>28.</w:t>
      </w:r>
      <w:r w:rsidRPr="00C007E5">
        <w:tab/>
        <w:t>opfordrer til fremme af digitaliseringen i søfartssektoren ved at lette elektronisk overførsel af data til støtte for forenkling og ved at levere integrerede systemer og tjenester til søfartsovervågning og maritim situationsbevidsthed til Kommissionen og medlemsstaterne;</w:t>
      </w:r>
    </w:p>
    <w:p w14:paraId="0923AD07" w14:textId="77777777" w:rsidR="00050D07" w:rsidRPr="00C007E5" w:rsidRDefault="00050D07" w:rsidP="00050D07">
      <w:pPr>
        <w:spacing w:after="240"/>
        <w:ind w:left="567" w:hanging="567"/>
      </w:pPr>
      <w:r w:rsidRPr="00C007E5">
        <w:t>29.</w:t>
      </w:r>
      <w:r w:rsidRPr="00C007E5">
        <w:tab/>
        <w:t>understreger, at væksten i EU's flåde (både med hensyn til skibe og tonnage) er langsommere sammenlignet med væksten i den globale flåde; bemærker, at EU-flåden i de seneste fem år har oplevet en vækst på 3,4 % i modsætning til den globale flåde, som udviste en mere markant vækstrate på 7 %;</w:t>
      </w:r>
    </w:p>
    <w:p w14:paraId="38B18ADC" w14:textId="77777777" w:rsidR="00050D07" w:rsidRPr="00C007E5" w:rsidRDefault="00050D07" w:rsidP="00050D07">
      <w:pPr>
        <w:spacing w:after="240"/>
        <w:ind w:left="567" w:hanging="567"/>
        <w:jc w:val="center"/>
        <w:rPr>
          <w:szCs w:val="24"/>
        </w:rPr>
      </w:pPr>
      <w:r w:rsidRPr="00C007E5">
        <w:t>°</w:t>
      </w:r>
    </w:p>
    <w:p w14:paraId="0E28DEEF" w14:textId="77777777" w:rsidR="00050D07" w:rsidRPr="00C007E5" w:rsidRDefault="00050D07" w:rsidP="00050D07">
      <w:pPr>
        <w:pStyle w:val="NormalCenter12a"/>
        <w:rPr>
          <w:szCs w:val="24"/>
        </w:rPr>
      </w:pPr>
      <w:r w:rsidRPr="00C007E5">
        <w:t>°</w:t>
      </w:r>
      <w:r w:rsidRPr="00C007E5">
        <w:tab/>
        <w:t>°</w:t>
      </w:r>
    </w:p>
    <w:p w14:paraId="50FD3577" w14:textId="201C2E6E" w:rsidR="00050D07" w:rsidRPr="00C007E5" w:rsidRDefault="00050D07" w:rsidP="00050D07">
      <w:pPr>
        <w:widowControl/>
        <w:ind w:left="567" w:hanging="567"/>
        <w:rPr>
          <w:szCs w:val="24"/>
        </w:rPr>
      </w:pPr>
      <w:r w:rsidRPr="00C007E5">
        <w:t>30.</w:t>
      </w:r>
      <w:r w:rsidRPr="00C007E5">
        <w:tab/>
        <w:t xml:space="preserve">henviser med hensyn til de øvrige bemærkninger, der ledsager dechargeafgørelsen, og som er af horisontal karakter, til sin beslutning af </w:t>
      </w:r>
      <w:r w:rsidR="004819D9" w:rsidRPr="00C007E5">
        <w:t>11. april 2024</w:t>
      </w:r>
      <w:r w:rsidRPr="00C007E5">
        <w:rPr>
          <w:rStyle w:val="FootnoteReference"/>
        </w:rPr>
        <w:footnoteReference w:id="12"/>
      </w:r>
      <w:r w:rsidRPr="00C007E5">
        <w:t xml:space="preserve"> om agenturernes resultater, økonomiske forvaltning og kontrol.</w:t>
      </w:r>
    </w:p>
    <w:p w14:paraId="1CF8EA61" w14:textId="77777777" w:rsidR="00050D07" w:rsidRPr="00C007E5" w:rsidRDefault="00050D07" w:rsidP="00050D07"/>
    <w:sectPr w:rsidR="00050D07" w:rsidRPr="00C007E5" w:rsidSect="00870BD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C252A" w14:textId="77777777" w:rsidR="00911E23" w:rsidRPr="00870BD6" w:rsidRDefault="00911E23">
      <w:r w:rsidRPr="00870BD6">
        <w:separator/>
      </w:r>
    </w:p>
  </w:endnote>
  <w:endnote w:type="continuationSeparator" w:id="0">
    <w:p w14:paraId="61AE9471" w14:textId="77777777" w:rsidR="00911E23" w:rsidRPr="00870BD6" w:rsidRDefault="00911E23">
      <w:r w:rsidRPr="00870B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2E92A" w14:textId="77777777" w:rsidR="00050D07" w:rsidRPr="00870BD6" w:rsidRDefault="00050D07" w:rsidP="008D71DC">
    <w:pPr>
      <w:pStyle w:val="EPFooter"/>
    </w:pPr>
    <w:r w:rsidRPr="00870BD6">
      <w:t>PE</w:t>
    </w:r>
    <w:r w:rsidRPr="00870BD6">
      <w:rPr>
        <w:rStyle w:val="HideTWBExt"/>
      </w:rPr>
      <w:t>&lt;NoPE&gt;</w:t>
    </w:r>
    <w:r w:rsidRPr="00870BD6">
      <w:t>753.526</w:t>
    </w:r>
    <w:r w:rsidRPr="00870BD6">
      <w:rPr>
        <w:rStyle w:val="HideTWBExt"/>
      </w:rPr>
      <w:t>&lt;/NoPE&gt;&lt;Version&gt;</w:t>
    </w:r>
    <w:r w:rsidRPr="00870BD6">
      <w:t>v02-00</w:t>
    </w:r>
    <w:r w:rsidRPr="00870BD6">
      <w:rPr>
        <w:rStyle w:val="HideTWBExt"/>
      </w:rPr>
      <w:t>&lt;/Version&gt;</w:t>
    </w:r>
    <w:r w:rsidRPr="00870BD6">
      <w:tab/>
    </w:r>
    <w:r w:rsidRPr="00870BD6">
      <w:fldChar w:fldCharType="begin"/>
    </w:r>
    <w:r w:rsidRPr="00870BD6">
      <w:instrText xml:space="preserve"> PAGE  \* MERGEFORMAT </w:instrText>
    </w:r>
    <w:r w:rsidRPr="00870BD6">
      <w:fldChar w:fldCharType="separate"/>
    </w:r>
    <w:r w:rsidRPr="00870BD6">
      <w:rPr>
        <w:noProof/>
      </w:rPr>
      <w:t>4</w:t>
    </w:r>
    <w:r w:rsidRPr="00870BD6">
      <w:fldChar w:fldCharType="end"/>
    </w:r>
    <w:r w:rsidRPr="00870BD6">
      <w:t>/</w:t>
    </w:r>
    <w:r w:rsidR="00506C4D">
      <w:fldChar w:fldCharType="begin"/>
    </w:r>
    <w:r w:rsidR="00506C4D">
      <w:instrText xml:space="preserve"> NUMPAGES  \* MERGEFORMAT </w:instrText>
    </w:r>
    <w:r w:rsidR="00506C4D">
      <w:fldChar w:fldCharType="separate"/>
    </w:r>
    <w:r w:rsidRPr="00870BD6">
      <w:rPr>
        <w:noProof/>
      </w:rPr>
      <w:t>4</w:t>
    </w:r>
    <w:r w:rsidR="00506C4D">
      <w:rPr>
        <w:noProof/>
      </w:rPr>
      <w:fldChar w:fldCharType="end"/>
    </w:r>
    <w:r w:rsidRPr="00870BD6">
      <w:tab/>
    </w:r>
    <w:r w:rsidRPr="00870BD6">
      <w:rPr>
        <w:rStyle w:val="HideTWBExt"/>
      </w:rPr>
      <w:t>&lt;PathFdR&gt;</w:t>
    </w:r>
    <w:r w:rsidRPr="00870BD6">
      <w:t>RR\1298830DA.docx</w:t>
    </w:r>
    <w:r w:rsidRPr="00870BD6">
      <w:rPr>
        <w:rStyle w:val="HideTWBExt"/>
      </w:rPr>
      <w:t>&lt;/PathFdR&gt;</w:t>
    </w:r>
  </w:p>
  <w:p w14:paraId="6457E3DF" w14:textId="77777777" w:rsidR="00050D07" w:rsidRPr="00870BD6" w:rsidRDefault="00050D07" w:rsidP="008D71DC">
    <w:pPr>
      <w:pStyle w:val="EPFooter2"/>
    </w:pPr>
    <w:r w:rsidRPr="00870BD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3C61A" w14:textId="77777777" w:rsidR="00050D07" w:rsidRPr="00870BD6" w:rsidRDefault="00050D07" w:rsidP="008D71DC">
    <w:pPr>
      <w:pStyle w:val="EPFooter"/>
    </w:pPr>
    <w:r w:rsidRPr="00870BD6">
      <w:rPr>
        <w:rStyle w:val="HideTWBExt"/>
      </w:rPr>
      <w:t>&lt;PathFdR&gt;</w:t>
    </w:r>
    <w:r w:rsidRPr="00870BD6">
      <w:t>RR\1298830DA.docx</w:t>
    </w:r>
    <w:r w:rsidRPr="00870BD6">
      <w:rPr>
        <w:rStyle w:val="HideTWBExt"/>
      </w:rPr>
      <w:t>&lt;/PathFdR&gt;</w:t>
    </w:r>
    <w:r w:rsidRPr="00870BD6">
      <w:tab/>
    </w:r>
    <w:r w:rsidRPr="00870BD6">
      <w:tab/>
      <w:t>PE</w:t>
    </w:r>
    <w:r w:rsidRPr="00870BD6">
      <w:rPr>
        <w:rStyle w:val="HideTWBExt"/>
      </w:rPr>
      <w:t>&lt;NoPE&gt;</w:t>
    </w:r>
    <w:r w:rsidRPr="00870BD6">
      <w:t>753.526</w:t>
    </w:r>
    <w:r w:rsidRPr="00870BD6">
      <w:rPr>
        <w:rStyle w:val="HideTWBExt"/>
      </w:rPr>
      <w:t>&lt;/NoPE&gt;&lt;Version&gt;</w:t>
    </w:r>
    <w:r w:rsidRPr="00870BD6">
      <w:t>v02-00</w:t>
    </w:r>
    <w:r w:rsidRPr="00870BD6">
      <w:rPr>
        <w:rStyle w:val="HideTWBExt"/>
      </w:rPr>
      <w:t>&lt;/Version&gt;</w:t>
    </w:r>
  </w:p>
  <w:p w14:paraId="7703C51C" w14:textId="77777777" w:rsidR="00050D07" w:rsidRPr="00870BD6" w:rsidRDefault="00050D07" w:rsidP="008D71DC">
    <w:pPr>
      <w:pStyle w:val="EPFooter2"/>
    </w:pPr>
    <w:r w:rsidRPr="00870BD6">
      <w:t>DA</w:t>
    </w:r>
    <w:r w:rsidRPr="00870BD6">
      <w:tab/>
    </w:r>
    <w:r w:rsidRPr="00870BD6">
      <w:rPr>
        <w:b w:val="0"/>
        <w:i/>
        <w:color w:val="C0C0C0"/>
        <w:sz w:val="22"/>
      </w:rPr>
      <w:t>Forenet i mangfoldighed</w:t>
    </w:r>
    <w:r w:rsidRPr="00870BD6">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DF57E" w14:textId="77777777" w:rsidR="00064002" w:rsidRPr="00870BD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9AAEA" w14:textId="77777777" w:rsidR="00064002" w:rsidRPr="00870BD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A52EA" w14:textId="77777777" w:rsidR="00064002" w:rsidRPr="00870B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81DA3" w14:textId="77777777" w:rsidR="00911E23" w:rsidRPr="00870BD6" w:rsidRDefault="00911E23">
      <w:r w:rsidRPr="00870BD6">
        <w:separator/>
      </w:r>
    </w:p>
  </w:footnote>
  <w:footnote w:type="continuationSeparator" w:id="0">
    <w:p w14:paraId="2A29893E" w14:textId="77777777" w:rsidR="00911E23" w:rsidRPr="00870BD6" w:rsidRDefault="00911E23">
      <w:r w:rsidRPr="00870BD6">
        <w:continuationSeparator/>
      </w:r>
    </w:p>
  </w:footnote>
  <w:footnote w:id="1">
    <w:p w14:paraId="3D30D4D0" w14:textId="77777777" w:rsidR="00050D07" w:rsidRPr="00C007E5" w:rsidRDefault="00050D07" w:rsidP="00870BD6">
      <w:pPr>
        <w:pStyle w:val="FootnoteText"/>
        <w:ind w:left="567" w:hanging="567"/>
        <w:rPr>
          <w:sz w:val="24"/>
        </w:rPr>
      </w:pPr>
      <w:r w:rsidRPr="00870BD6">
        <w:rPr>
          <w:rStyle w:val="FootnoteReference"/>
          <w:sz w:val="24"/>
          <w:lang w:val="da-DK"/>
        </w:rPr>
        <w:footnoteRef/>
      </w:r>
      <w:r w:rsidR="00870BD6" w:rsidRPr="00C007E5">
        <w:rPr>
          <w:sz w:val="24"/>
        </w:rPr>
        <w:t xml:space="preserve"> </w:t>
      </w:r>
      <w:r w:rsidR="00870BD6" w:rsidRPr="00C007E5">
        <w:rPr>
          <w:sz w:val="24"/>
        </w:rPr>
        <w:tab/>
      </w:r>
      <w:r w:rsidRPr="00C007E5">
        <w:rPr>
          <w:sz w:val="24"/>
        </w:rPr>
        <w:t>EUT C, C/2023/594, 27.10.2023.</w:t>
      </w:r>
    </w:p>
  </w:footnote>
  <w:footnote w:id="2">
    <w:p w14:paraId="1560F9AB" w14:textId="77777777" w:rsidR="00050D07" w:rsidRPr="00C007E5" w:rsidRDefault="00050D07" w:rsidP="00870BD6">
      <w:pPr>
        <w:pStyle w:val="FootnoteText"/>
        <w:ind w:left="567" w:hanging="567"/>
        <w:rPr>
          <w:sz w:val="24"/>
        </w:rPr>
      </w:pPr>
      <w:r w:rsidRPr="00870BD6">
        <w:rPr>
          <w:rStyle w:val="FootnoteReference"/>
          <w:sz w:val="24"/>
          <w:lang w:val="da-DK"/>
        </w:rPr>
        <w:footnoteRef/>
      </w:r>
      <w:r w:rsidR="00870BD6" w:rsidRPr="00C007E5">
        <w:rPr>
          <w:sz w:val="24"/>
        </w:rPr>
        <w:t xml:space="preserve"> </w:t>
      </w:r>
      <w:r w:rsidR="00870BD6" w:rsidRPr="00C007E5">
        <w:rPr>
          <w:sz w:val="24"/>
        </w:rPr>
        <w:tab/>
      </w:r>
      <w:r w:rsidRPr="00C007E5">
        <w:rPr>
          <w:sz w:val="24"/>
        </w:rPr>
        <w:t>EUT C, C/2023/112, 12.10.2023.</w:t>
      </w:r>
    </w:p>
  </w:footnote>
  <w:footnote w:id="3">
    <w:p w14:paraId="4456E140"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EUT L 193 af 30.7.2018, s. 1.</w:t>
      </w:r>
    </w:p>
  </w:footnote>
  <w:footnote w:id="4">
    <w:p w14:paraId="540C1CB4"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EFT L 208 af 5.8.2002, s. 1.</w:t>
      </w:r>
    </w:p>
  </w:footnote>
  <w:footnote w:id="5">
    <w:p w14:paraId="6FB61807"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EUT L 122 af 10.5.2019, s. 1.</w:t>
      </w:r>
    </w:p>
  </w:footnote>
  <w:footnote w:id="6">
    <w:p w14:paraId="37C4C14D"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EUT C, C/2023/594, 27.10.2023.</w:t>
      </w:r>
    </w:p>
  </w:footnote>
  <w:footnote w:id="7">
    <w:p w14:paraId="12386B16" w14:textId="77777777" w:rsidR="00050D07" w:rsidRPr="00C007E5" w:rsidRDefault="00050D07" w:rsidP="00870BD6">
      <w:pPr>
        <w:pStyle w:val="FootnoteText"/>
        <w:ind w:left="567" w:hanging="567"/>
        <w:rPr>
          <w:sz w:val="24"/>
        </w:rPr>
      </w:pPr>
      <w:r w:rsidRPr="00870BD6">
        <w:rPr>
          <w:rStyle w:val="FootnoteReference"/>
          <w:sz w:val="24"/>
          <w:lang w:val="da-DK"/>
        </w:rPr>
        <w:footnoteRef/>
      </w:r>
      <w:r w:rsidR="00870BD6" w:rsidRPr="00C007E5">
        <w:rPr>
          <w:sz w:val="24"/>
        </w:rPr>
        <w:t xml:space="preserve"> </w:t>
      </w:r>
      <w:r w:rsidR="00870BD6" w:rsidRPr="00C007E5">
        <w:rPr>
          <w:sz w:val="24"/>
        </w:rPr>
        <w:tab/>
      </w:r>
      <w:r w:rsidRPr="00C007E5">
        <w:rPr>
          <w:sz w:val="24"/>
        </w:rPr>
        <w:t>EUT C, C/2023/112, 12.10.2023.</w:t>
      </w:r>
    </w:p>
  </w:footnote>
  <w:footnote w:id="8">
    <w:p w14:paraId="1970E2BE" w14:textId="77777777" w:rsidR="00050D07" w:rsidRPr="00C007E5" w:rsidRDefault="00050D07" w:rsidP="00870BD6">
      <w:pPr>
        <w:pStyle w:val="FootnoteText"/>
        <w:ind w:left="567" w:hanging="567"/>
        <w:rPr>
          <w:sz w:val="24"/>
        </w:rPr>
      </w:pPr>
      <w:r w:rsidRPr="00870BD6">
        <w:rPr>
          <w:rStyle w:val="FootnoteReference"/>
          <w:sz w:val="24"/>
          <w:lang w:val="da-DK"/>
        </w:rPr>
        <w:footnoteRef/>
      </w:r>
      <w:r w:rsidR="00870BD6" w:rsidRPr="00C007E5">
        <w:rPr>
          <w:sz w:val="24"/>
        </w:rPr>
        <w:t xml:space="preserve"> </w:t>
      </w:r>
      <w:r w:rsidR="00870BD6" w:rsidRPr="00C007E5">
        <w:rPr>
          <w:sz w:val="24"/>
        </w:rPr>
        <w:tab/>
      </w:r>
      <w:r w:rsidRPr="00C007E5">
        <w:rPr>
          <w:sz w:val="24"/>
        </w:rPr>
        <w:t>EUT L 193 af 30.7.2018, s. 1.</w:t>
      </w:r>
    </w:p>
  </w:footnote>
  <w:footnote w:id="9">
    <w:p w14:paraId="1AB74BE6"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EFT L 208 af 5.8.2002, s. 1.</w:t>
      </w:r>
    </w:p>
  </w:footnote>
  <w:footnote w:id="10">
    <w:p w14:paraId="04E764DD"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EUT L 122 af 10.5.2019, s. 1.</w:t>
      </w:r>
    </w:p>
  </w:footnote>
  <w:footnote w:id="11">
    <w:p w14:paraId="3C152F81" w14:textId="77777777"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EUT C 73/17 af 28.2.2023, s. 92.</w:t>
      </w:r>
    </w:p>
  </w:footnote>
  <w:footnote w:id="12">
    <w:p w14:paraId="13CC2AB4" w14:textId="7C8F53C1" w:rsidR="00050D07" w:rsidRPr="00870BD6" w:rsidRDefault="00050D07" w:rsidP="00870BD6">
      <w:pPr>
        <w:pStyle w:val="FootnoteText"/>
        <w:ind w:left="567" w:hanging="567"/>
        <w:rPr>
          <w:sz w:val="24"/>
          <w:lang w:val="da-DK"/>
        </w:rPr>
      </w:pPr>
      <w:r w:rsidRPr="00870BD6">
        <w:rPr>
          <w:rStyle w:val="FootnoteReference"/>
          <w:sz w:val="24"/>
          <w:lang w:val="da-DK"/>
        </w:rPr>
        <w:footnoteRef/>
      </w:r>
      <w:r w:rsidR="00870BD6" w:rsidRPr="00870BD6">
        <w:rPr>
          <w:sz w:val="24"/>
          <w:lang w:val="da-DK"/>
        </w:rPr>
        <w:t xml:space="preserve"> </w:t>
      </w:r>
      <w:r w:rsidR="00870BD6" w:rsidRPr="00870BD6">
        <w:rPr>
          <w:sz w:val="24"/>
          <w:lang w:val="da-DK"/>
        </w:rPr>
        <w:tab/>
      </w:r>
      <w:r w:rsidRPr="00870BD6">
        <w:rPr>
          <w:sz w:val="24"/>
          <w:lang w:val="da-DK"/>
        </w:rPr>
        <w:t>Vedtagne tekster, P9_TA(2024)</w:t>
      </w:r>
      <w:r w:rsidR="00BF46E6">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5096C" w14:textId="77777777" w:rsidR="00064002" w:rsidRPr="00870B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8ADA3" w14:textId="77777777" w:rsidR="00064002" w:rsidRPr="00870B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E88EE" w14:textId="77777777" w:rsidR="00064002" w:rsidRPr="00870B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DA"/>
    <w:docVar w:name="dvnumam" w:val="0"/>
    <w:docVar w:name="dvpe" w:val="753.526"/>
    <w:docVar w:name="dvrapporteur" w:val="Ordfører: "/>
    <w:docVar w:name="dvtitre" w:val="1. Europa-Parlamentets afgørelse af 11. april 2024 om decharge for gennemførelsen af budgettet for Det Europæiske Agentur for Søfartssikkerhed for regnskabsåret 2022(2023/2158(DEC))"/>
  </w:docVars>
  <w:rsids>
    <w:rsidRoot w:val="00911E23"/>
    <w:rsid w:val="00002272"/>
    <w:rsid w:val="00050D07"/>
    <w:rsid w:val="00064002"/>
    <w:rsid w:val="000677B9"/>
    <w:rsid w:val="000831BA"/>
    <w:rsid w:val="000A42CC"/>
    <w:rsid w:val="000E7DD9"/>
    <w:rsid w:val="0010095E"/>
    <w:rsid w:val="00125B37"/>
    <w:rsid w:val="00187494"/>
    <w:rsid w:val="001F32AE"/>
    <w:rsid w:val="0020012E"/>
    <w:rsid w:val="002767FF"/>
    <w:rsid w:val="002B18FE"/>
    <w:rsid w:val="002B5493"/>
    <w:rsid w:val="00343214"/>
    <w:rsid w:val="00361C00"/>
    <w:rsid w:val="00395FA1"/>
    <w:rsid w:val="003E15D4"/>
    <w:rsid w:val="00411CCE"/>
    <w:rsid w:val="0041666E"/>
    <w:rsid w:val="00421060"/>
    <w:rsid w:val="00471C19"/>
    <w:rsid w:val="004819D9"/>
    <w:rsid w:val="004867E3"/>
    <w:rsid w:val="00494A28"/>
    <w:rsid w:val="004C0004"/>
    <w:rsid w:val="004C5D52"/>
    <w:rsid w:val="004C7CF4"/>
    <w:rsid w:val="0050519A"/>
    <w:rsid w:val="00506C4D"/>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BD6"/>
    <w:rsid w:val="00881A7B"/>
    <w:rsid w:val="008840E5"/>
    <w:rsid w:val="00887B3E"/>
    <w:rsid w:val="008C2AC6"/>
    <w:rsid w:val="00911E2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6E6"/>
    <w:rsid w:val="00C007E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BEE30"/>
  <w15:chartTrackingRefBased/>
  <w15:docId w15:val="{BD257786-CCCE-4FBE-8ADC-A96AD4BC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0D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0D07"/>
    <w:pPr>
      <w:spacing w:before="480" w:after="240"/>
    </w:pPr>
  </w:style>
  <w:style w:type="paragraph" w:customStyle="1" w:styleId="PageHeading">
    <w:name w:val="PageHeading"/>
    <w:basedOn w:val="Normal"/>
    <w:rsid w:val="00050D07"/>
    <w:pPr>
      <w:keepNext/>
      <w:spacing w:after="480"/>
      <w:jc w:val="center"/>
    </w:pPr>
    <w:rPr>
      <w:rFonts w:ascii="Arial" w:hAnsi="Arial" w:cs="Arial"/>
      <w:b/>
    </w:rPr>
  </w:style>
  <w:style w:type="paragraph" w:customStyle="1" w:styleId="NormalBold">
    <w:name w:val="NormalBold"/>
    <w:basedOn w:val="Normal"/>
    <w:rsid w:val="00050D07"/>
    <w:rPr>
      <w:b/>
    </w:rPr>
  </w:style>
  <w:style w:type="paragraph" w:customStyle="1" w:styleId="NormalHanging12a">
    <w:name w:val="NormalHanging12a"/>
    <w:basedOn w:val="Normal"/>
    <w:link w:val="NormalHanging12aChar"/>
    <w:rsid w:val="00050D07"/>
    <w:pPr>
      <w:spacing w:after="240"/>
      <w:ind w:left="567" w:hanging="567"/>
    </w:pPr>
  </w:style>
  <w:style w:type="paragraph" w:customStyle="1" w:styleId="NormalCenter12a">
    <w:name w:val="NormalCenter12a"/>
    <w:basedOn w:val="Normal"/>
    <w:rsid w:val="00050D07"/>
    <w:pPr>
      <w:spacing w:after="240"/>
      <w:jc w:val="center"/>
    </w:pPr>
  </w:style>
  <w:style w:type="paragraph" w:styleId="Header">
    <w:name w:val="header"/>
    <w:basedOn w:val="Normal"/>
    <w:link w:val="HeaderChar"/>
    <w:rsid w:val="00050D07"/>
    <w:pPr>
      <w:tabs>
        <w:tab w:val="center" w:pos="4513"/>
        <w:tab w:val="right" w:pos="9026"/>
      </w:tabs>
    </w:pPr>
  </w:style>
  <w:style w:type="character" w:customStyle="1" w:styleId="HeaderChar">
    <w:name w:val="Header Char"/>
    <w:basedOn w:val="DefaultParagraphFont"/>
    <w:link w:val="Header"/>
    <w:rsid w:val="00050D07"/>
    <w:rPr>
      <w:sz w:val="24"/>
      <w:lang w:val="da-DK"/>
    </w:rPr>
  </w:style>
  <w:style w:type="paragraph" w:customStyle="1" w:styleId="EPFooter">
    <w:name w:val="EPFooter"/>
    <w:basedOn w:val="Normal"/>
    <w:rsid w:val="00050D0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50D07"/>
    <w:rPr>
      <w:sz w:val="24"/>
      <w:lang w:val="da-DK"/>
    </w:rPr>
  </w:style>
  <w:style w:type="paragraph" w:customStyle="1" w:styleId="Normal12Hanging">
    <w:name w:val="Normal12Hanging"/>
    <w:basedOn w:val="Normal"/>
    <w:rsid w:val="00050D07"/>
    <w:pPr>
      <w:spacing w:after="240"/>
      <w:ind w:left="567" w:hanging="567"/>
    </w:pPr>
  </w:style>
  <w:style w:type="paragraph" w:styleId="Footer">
    <w:name w:val="footer"/>
    <w:basedOn w:val="Normal"/>
    <w:link w:val="FooterChar"/>
    <w:rsid w:val="004C7CF4"/>
    <w:pPr>
      <w:tabs>
        <w:tab w:val="center" w:pos="4513"/>
        <w:tab w:val="right" w:pos="9026"/>
      </w:tabs>
    </w:pPr>
  </w:style>
  <w:style w:type="character" w:customStyle="1" w:styleId="FooterChar">
    <w:name w:val="Footer Char"/>
    <w:basedOn w:val="DefaultParagraphFont"/>
    <w:link w:val="Footer"/>
    <w:rsid w:val="004C7CF4"/>
    <w:rPr>
      <w:sz w:val="24"/>
      <w:lang w:val="da-DK"/>
    </w:rPr>
  </w:style>
  <w:style w:type="character" w:styleId="CommentReference">
    <w:name w:val="annotation reference"/>
    <w:basedOn w:val="DefaultParagraphFont"/>
    <w:rsid w:val="004819D9"/>
    <w:rPr>
      <w:sz w:val="16"/>
      <w:szCs w:val="16"/>
    </w:rPr>
  </w:style>
  <w:style w:type="paragraph" w:styleId="CommentText">
    <w:name w:val="annotation text"/>
    <w:basedOn w:val="Normal"/>
    <w:link w:val="CommentTextChar"/>
    <w:rsid w:val="004819D9"/>
    <w:rPr>
      <w:sz w:val="20"/>
    </w:rPr>
  </w:style>
  <w:style w:type="character" w:customStyle="1" w:styleId="CommentTextChar">
    <w:name w:val="Comment Text Char"/>
    <w:basedOn w:val="DefaultParagraphFont"/>
    <w:link w:val="CommentText"/>
    <w:rsid w:val="004819D9"/>
    <w:rPr>
      <w:lang w:val="da-DK"/>
    </w:rPr>
  </w:style>
  <w:style w:type="paragraph" w:styleId="CommentSubject">
    <w:name w:val="annotation subject"/>
    <w:basedOn w:val="CommentText"/>
    <w:next w:val="CommentText"/>
    <w:link w:val="CommentSubjectChar"/>
    <w:rsid w:val="004819D9"/>
    <w:rPr>
      <w:b/>
      <w:bCs/>
    </w:rPr>
  </w:style>
  <w:style w:type="character" w:customStyle="1" w:styleId="CommentSubjectChar">
    <w:name w:val="Comment Subject Char"/>
    <w:basedOn w:val="CommentTextChar"/>
    <w:link w:val="CommentSubject"/>
    <w:rsid w:val="004819D9"/>
    <w:rPr>
      <w:b/>
      <w:bCs/>
      <w:lang w:val="da-DK"/>
    </w:rPr>
  </w:style>
  <w:style w:type="paragraph" w:styleId="BalloonText">
    <w:name w:val="Balloon Text"/>
    <w:basedOn w:val="Normal"/>
    <w:link w:val="BalloonTextChar"/>
    <w:rsid w:val="004819D9"/>
    <w:rPr>
      <w:rFonts w:ascii="Segoe UI" w:hAnsi="Segoe UI" w:cs="Segoe UI"/>
      <w:sz w:val="18"/>
      <w:szCs w:val="18"/>
    </w:rPr>
  </w:style>
  <w:style w:type="character" w:customStyle="1" w:styleId="BalloonTextChar">
    <w:name w:val="Balloon Text Char"/>
    <w:basedOn w:val="DefaultParagraphFont"/>
    <w:link w:val="BalloonText"/>
    <w:rsid w:val="004819D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DE4D9-E7A9-474C-9042-B8D082054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2785</Words>
  <Characters>17783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2024-04-11T13:08:00Z</dcterms:created>
  <dcterms:modified xsi:type="dcterms:W3CDTF">2024-04-11T13:08:00Z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A9-0107/2024</vt:lpwstr>
  </property>
  <property fmtid="{D5CDD505-2E9C-101B-9397-08002B2CF9AE}" pid="4" name="&lt;Type&gt;">
    <vt:lpwstr>RR</vt:lpwstr>
  </property>
</Properties>
</file>