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20CC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20CCA" w:rsidRDefault="00361CFF" w:rsidP="0010095E">
            <w:pPr>
              <w:pStyle w:val="EPName"/>
            </w:pPr>
            <w:r w:rsidRPr="00F20CCA">
              <w:t>Europski parlament</w:t>
            </w:r>
          </w:p>
          <w:p w:rsidR="00751A4A" w:rsidRPr="00F20CC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0CC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20CCA" w:rsidRDefault="00187494" w:rsidP="0010095E">
            <w:pPr>
              <w:pStyle w:val="EPLogo"/>
            </w:pPr>
            <w:r w:rsidRPr="00F20CCA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20CCA" w:rsidRDefault="00D058B8" w:rsidP="004C5D52">
      <w:pPr>
        <w:pStyle w:val="LineTop"/>
      </w:pPr>
    </w:p>
    <w:p w:rsidR="00680577" w:rsidRPr="00F20CCA" w:rsidRDefault="00361CFF" w:rsidP="00680577">
      <w:pPr>
        <w:pStyle w:val="EPBodyTA1"/>
      </w:pPr>
      <w:r w:rsidRPr="00F20CCA">
        <w:t>USVOJENI TEKSTOVI</w:t>
      </w:r>
    </w:p>
    <w:p w:rsidR="00D058B8" w:rsidRPr="00F20CCA" w:rsidRDefault="00D058B8" w:rsidP="00D058B8">
      <w:pPr>
        <w:pStyle w:val="LineBottom"/>
      </w:pPr>
    </w:p>
    <w:p w:rsidR="00361CFF" w:rsidRPr="00F20CCA" w:rsidRDefault="00361CFF" w:rsidP="00361CFF">
      <w:pPr>
        <w:pStyle w:val="ATHeading1"/>
      </w:pPr>
      <w:bookmarkStart w:id="0" w:name="TANumber"/>
      <w:r w:rsidRPr="00F20CCA">
        <w:t>P9_TA(2024)0</w:t>
      </w:r>
      <w:r w:rsidR="00FF48E7">
        <w:t>248</w:t>
      </w:r>
      <w:bookmarkEnd w:id="0"/>
    </w:p>
    <w:p w:rsidR="00361CFF" w:rsidRPr="00F20CCA" w:rsidRDefault="00361CFF" w:rsidP="00361CFF">
      <w:pPr>
        <w:pStyle w:val="ATHeading2"/>
      </w:pPr>
      <w:bookmarkStart w:id="1" w:name="title"/>
      <w:r w:rsidRPr="00F20CCA">
        <w:t>Razrješnica za 2022.: Europska agencija za pomorsku sigurnost</w:t>
      </w:r>
      <w:bookmarkEnd w:id="1"/>
    </w:p>
    <w:p w:rsidR="00361CFF" w:rsidRPr="00F20CCA" w:rsidRDefault="00361CFF" w:rsidP="00361CFF">
      <w:pPr>
        <w:rPr>
          <w:i/>
          <w:vanish/>
        </w:rPr>
      </w:pPr>
      <w:r w:rsidRPr="00F20CCA">
        <w:rPr>
          <w:i/>
        </w:rPr>
        <w:fldChar w:fldCharType="begin"/>
      </w:r>
      <w:r w:rsidRPr="00F20CCA">
        <w:rPr>
          <w:i/>
        </w:rPr>
        <w:instrText xml:space="preserve"> TC"(</w:instrText>
      </w:r>
      <w:bookmarkStart w:id="2" w:name="DocNumber"/>
      <w:r w:rsidRPr="00F20CCA">
        <w:rPr>
          <w:i/>
        </w:rPr>
        <w:instrText>A9-0107/2024</w:instrText>
      </w:r>
      <w:bookmarkEnd w:id="2"/>
      <w:r w:rsidRPr="00F20CCA">
        <w:rPr>
          <w:i/>
        </w:rPr>
        <w:instrText xml:space="preserve"> - Izvjestitelj: Petri </w:instrText>
      </w:r>
      <w:proofErr w:type="spellStart"/>
      <w:r w:rsidRPr="00F20CCA">
        <w:rPr>
          <w:i/>
        </w:rPr>
        <w:instrText>Sarvamaa</w:instrText>
      </w:r>
      <w:proofErr w:type="spellEnd"/>
      <w:r w:rsidRPr="00F20CCA">
        <w:rPr>
          <w:i/>
        </w:rPr>
        <w:instrText xml:space="preserve">)"\l3 \n&gt; \* MERGEFORMAT </w:instrText>
      </w:r>
      <w:r w:rsidRPr="00F20CCA">
        <w:rPr>
          <w:i/>
        </w:rPr>
        <w:fldChar w:fldCharType="end"/>
      </w:r>
    </w:p>
    <w:p w:rsidR="00361CFF" w:rsidRPr="00F20CCA" w:rsidRDefault="00361CFF" w:rsidP="00361CFF">
      <w:pPr>
        <w:rPr>
          <w:vanish/>
        </w:rPr>
      </w:pPr>
      <w:bookmarkStart w:id="3" w:name="Commission"/>
      <w:r w:rsidRPr="00F20CCA">
        <w:rPr>
          <w:vanish/>
        </w:rPr>
        <w:t>Odbor za proračunski nadzor</w:t>
      </w:r>
      <w:bookmarkEnd w:id="3"/>
    </w:p>
    <w:p w:rsidR="00361CFF" w:rsidRPr="00F20CCA" w:rsidRDefault="00361CFF" w:rsidP="00361CFF">
      <w:pPr>
        <w:rPr>
          <w:vanish/>
        </w:rPr>
      </w:pPr>
      <w:bookmarkStart w:id="4" w:name="PE"/>
      <w:r w:rsidRPr="00F20CCA">
        <w:rPr>
          <w:vanish/>
        </w:rPr>
        <w:t>PE753.526</w:t>
      </w:r>
      <w:bookmarkEnd w:id="4"/>
    </w:p>
    <w:p w:rsidR="00361CFF" w:rsidRPr="00F20CCA" w:rsidRDefault="00F20CCA" w:rsidP="00361CFF">
      <w:pPr>
        <w:pStyle w:val="ATHeading3"/>
      </w:pPr>
      <w:bookmarkStart w:id="5" w:name="Sujet"/>
      <w:r>
        <w:t xml:space="preserve">1. </w:t>
      </w:r>
      <w:r w:rsidR="00361CFF" w:rsidRPr="00F20CCA">
        <w:t>Od</w:t>
      </w:r>
      <w:r>
        <w:t>luka Europskog parlamenta od 11</w:t>
      </w:r>
      <w:r w:rsidR="00361CFF" w:rsidRPr="00F20CCA">
        <w:t xml:space="preserve">. </w:t>
      </w:r>
      <w:r>
        <w:t xml:space="preserve">travnja </w:t>
      </w:r>
      <w:r w:rsidR="00361CFF" w:rsidRPr="00F20CCA">
        <w:t>2024. o razrješnici za izvršenje proračuna Europske agencije za pomorsku sigurnost za financijsku godinu 2022.</w:t>
      </w:r>
      <w:bookmarkEnd w:id="5"/>
      <w:r w:rsidR="00361CFF" w:rsidRPr="00F20CCA">
        <w:t xml:space="preserve"> </w:t>
      </w:r>
      <w:bookmarkStart w:id="6" w:name="References"/>
      <w:r w:rsidR="00361CFF" w:rsidRPr="00F20CCA">
        <w:t>(2023/2158(DEC))</w:t>
      </w:r>
      <w:bookmarkEnd w:id="6"/>
    </w:p>
    <w:p w:rsidR="007410FA" w:rsidRPr="00F20CCA" w:rsidRDefault="007410FA" w:rsidP="007410FA">
      <w:pPr>
        <w:pStyle w:val="EPComma"/>
      </w:pPr>
      <w:bookmarkStart w:id="7" w:name="TextBodyBegin"/>
      <w:bookmarkEnd w:id="7"/>
      <w:r w:rsidRPr="00F20CCA">
        <w:rPr>
          <w:i/>
        </w:rPr>
        <w:t>Europski parlament</w:t>
      </w:r>
      <w:r w:rsidRPr="00F20CCA">
        <w:t>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završnu godišnju računovodstvenu dokumentaciju Europske agencije za pomorsku sigurnost za financijsku godinu 2022.,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godišnje izvješće Revizorskog suda o agencijama EU-a za financijsku godinu 2022., kojemu su priloženi odgovori agencija</w:t>
      </w:r>
      <w:r w:rsidRPr="00F20CCA">
        <w:rPr>
          <w:rStyle w:val="FootnoteReference"/>
        </w:rPr>
        <w:footnoteReference w:id="1"/>
      </w:r>
      <w:r w:rsidRPr="00F20CCA">
        <w:t>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izjavu o jamstvu</w:t>
      </w:r>
      <w:r w:rsidRPr="00F20CCA">
        <w:rPr>
          <w:rStyle w:val="FootnoteReference"/>
        </w:rPr>
        <w:footnoteReference w:id="2"/>
      </w:r>
      <w:r w:rsidRPr="00F20CCA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preporuku Vijeća od 22. veljače 2024. o razrješnici koju Agencija treba dobiti za izvršenje proračuna za financijsku godinu 2022. (0</w:t>
      </w:r>
      <w:r w:rsidR="00A474B3">
        <w:t>618</w:t>
      </w:r>
      <w:r w:rsidRPr="00F20CCA">
        <w:t>0/2024 – C9</w:t>
      </w:r>
      <w:r w:rsidRPr="00F20CCA">
        <w:noBreakHyphen/>
        <w:t>00</w:t>
      </w:r>
      <w:r w:rsidR="00A474B3">
        <w:t>96</w:t>
      </w:r>
      <w:r w:rsidRPr="00F20CCA">
        <w:t>/2024),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članak 319. Ugovora o funkcioniranju Europske unije,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F20CCA">
        <w:rPr>
          <w:rStyle w:val="FootnoteReference"/>
        </w:rPr>
        <w:footnoteReference w:id="3"/>
      </w:r>
      <w:r w:rsidRPr="00F20CCA">
        <w:t>, a posebno njezin članak 70.,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 xml:space="preserve">uzimajući u obzir Uredbu (EZ) br. 1406/2002 Europskog parlamenta i Vijeća od </w:t>
      </w:r>
      <w:r w:rsidRPr="00F20CCA">
        <w:lastRenderedPageBreak/>
        <w:t>27. lipnja 2002. o osnivanju Europske agencije za pomorsku sigurnost</w:t>
      </w:r>
      <w:r w:rsidRPr="00F20CCA">
        <w:rPr>
          <w:rStyle w:val="FootnoteReference"/>
        </w:rPr>
        <w:footnoteReference w:id="4"/>
      </w:r>
      <w:r w:rsidRPr="00F20CCA">
        <w:t>, a posebno njezin članak 19.,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 xml:space="preserve">uzimajući u obzir Delegiranu uredbu Komisije (EU) 2019/715 od 18. prosinca 2018. o okvirnoj financijskoj uredbi za tijela osnovana na temelju Ugovora o funkcioniranju Europske unije i Ugovora o </w:t>
      </w:r>
      <w:proofErr w:type="spellStart"/>
      <w:r w:rsidRPr="00F20CCA">
        <w:t>Euratomu</w:t>
      </w:r>
      <w:proofErr w:type="spellEnd"/>
      <w:r w:rsidRPr="00F20CCA">
        <w:t xml:space="preserve"> na koja se upućuje u članku 70. Uredbe (EU, Euratom) 2018/1046 Europskog parlamenta i Vijeća</w:t>
      </w:r>
      <w:r w:rsidRPr="00F20CCA">
        <w:rPr>
          <w:rStyle w:val="FootnoteReference"/>
        </w:rPr>
        <w:footnoteReference w:id="5"/>
      </w:r>
      <w:r w:rsidRPr="00F20CCA">
        <w:t>, a posebno njezin članak 105.,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članak 100. Poslovnika i Prilog V. Poslovniku,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mišljenje Odbora za promet i turizam,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izvješće Odbora za proračunski nadzor (A9</w:t>
      </w:r>
      <w:r w:rsidRPr="00F20CCA">
        <w:noBreakHyphen/>
        <w:t>0107/2024),</w:t>
      </w:r>
    </w:p>
    <w:p w:rsidR="007410FA" w:rsidRPr="00F20CCA" w:rsidRDefault="007410FA" w:rsidP="007410FA">
      <w:pPr>
        <w:pStyle w:val="NormalHanging12a"/>
      </w:pPr>
      <w:r w:rsidRPr="00F20CCA">
        <w:t>1.</w:t>
      </w:r>
      <w:r w:rsidRPr="00F20CCA">
        <w:tab/>
        <w:t>daje razrješnicu izvršnoj direktorici Europske agencije za pomorsku sigurnost za izvršenje proračuna Agencije za financijsku godinu 2022.;</w:t>
      </w:r>
    </w:p>
    <w:p w:rsidR="007410FA" w:rsidRPr="00F20CCA" w:rsidRDefault="007410FA" w:rsidP="007410FA">
      <w:pPr>
        <w:pStyle w:val="NormalHanging12a"/>
      </w:pPr>
      <w:r w:rsidRPr="00F20CCA">
        <w:t>2.</w:t>
      </w:r>
      <w:r w:rsidRPr="00F20CCA">
        <w:tab/>
        <w:t>iznosi svoje primjedbe u Rezoluciji u nastavku;</w:t>
      </w:r>
    </w:p>
    <w:p w:rsidR="007410FA" w:rsidRPr="00F20CCA" w:rsidRDefault="007410FA" w:rsidP="007410FA">
      <w:pPr>
        <w:pStyle w:val="NormalHanging12a"/>
      </w:pPr>
      <w:r w:rsidRPr="00F20CCA">
        <w:t>3.</w:t>
      </w:r>
      <w:r w:rsidRPr="00F20CCA">
        <w:tab/>
        <w:t xml:space="preserve">nalaže svojoj predsjednici da ovu Odluku i Rezoluciju, koja je njezin sastavni dio, proslijedi izvršnoj direktorici Europske agencije za pomorsku sigurnost, Vijeću, Komisiji i Revizorskom sudu te da ih da na objavu u </w:t>
      </w:r>
      <w:r w:rsidRPr="00F20CCA">
        <w:rPr>
          <w:i/>
        </w:rPr>
        <w:t>Službenom listu Europske unije</w:t>
      </w:r>
      <w:r w:rsidRPr="00F20CCA">
        <w:t xml:space="preserve"> (serija L).</w:t>
      </w:r>
    </w:p>
    <w:p w:rsidR="007410FA" w:rsidRPr="00F20CCA" w:rsidRDefault="007410FA" w:rsidP="007410FA"/>
    <w:p w:rsidR="007410FA" w:rsidRPr="00F20CCA" w:rsidRDefault="007410FA" w:rsidP="007410FA">
      <w:pPr>
        <w:pStyle w:val="PageHeading"/>
        <w:sectPr w:rsidR="007410FA" w:rsidRPr="00F20CCA" w:rsidSect="00F819BD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410FA" w:rsidRPr="00F20CCA" w:rsidRDefault="00F20CCA" w:rsidP="00F20CCA">
      <w:pPr>
        <w:pStyle w:val="ATHeading3"/>
      </w:pPr>
      <w:bookmarkStart w:id="8" w:name="_Toc161838992"/>
      <w:r w:rsidRPr="00F20CCA">
        <w:lastRenderedPageBreak/>
        <w:t xml:space="preserve">2. </w:t>
      </w:r>
      <w:r>
        <w:t>Odluka E</w:t>
      </w:r>
      <w:r w:rsidRPr="00F20CCA">
        <w:t>uropskog parlamenta</w:t>
      </w:r>
      <w:bookmarkEnd w:id="8"/>
      <w:r w:rsidRPr="00F20CCA">
        <w:t xml:space="preserve"> </w:t>
      </w:r>
      <w:r>
        <w:t xml:space="preserve">od 11. travnja 2024. </w:t>
      </w:r>
      <w:r w:rsidR="007410FA" w:rsidRPr="00F20CCA">
        <w:t>o zaključenju poslovnih knjiga Europske agencije za pomorsku sigurnost za financijsku godinu 2022.</w:t>
      </w:r>
      <w:r w:rsidRPr="00F20CCA">
        <w:t xml:space="preserve"> </w:t>
      </w:r>
      <w:r w:rsidR="007410FA" w:rsidRPr="00F20CCA">
        <w:t>(2023/2158(DEC))</w:t>
      </w:r>
    </w:p>
    <w:p w:rsidR="007410FA" w:rsidRPr="00F20CCA" w:rsidRDefault="007410FA" w:rsidP="007410FA">
      <w:pPr>
        <w:pStyle w:val="EPComma"/>
      </w:pPr>
      <w:r w:rsidRPr="00F20CCA">
        <w:rPr>
          <w:i/>
        </w:rPr>
        <w:t>Europski parlament</w:t>
      </w:r>
      <w:r w:rsidRPr="00F20CCA">
        <w:t>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završnu godišnju računovodstvenu dokumentaciju Europske agencije za pomorsku sigurnost za financijsku godinu 2022.,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godišnje izvješće Revizorskog suda o agencijama EU-a za financijsku godinu 2022., kojemu su priloženi odgovori agencija</w:t>
      </w:r>
      <w:r w:rsidRPr="00F20CCA">
        <w:rPr>
          <w:rStyle w:val="FootnoteReference"/>
        </w:rPr>
        <w:footnoteReference w:id="6"/>
      </w:r>
      <w:r w:rsidRPr="00F20CCA">
        <w:t>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izjavu o jamstvu</w:t>
      </w:r>
      <w:r w:rsidRPr="00F20CCA">
        <w:rPr>
          <w:rStyle w:val="FootnoteReference"/>
        </w:rPr>
        <w:footnoteReference w:id="7"/>
      </w:r>
      <w:r w:rsidRPr="00F20CCA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preporuku Vijeća od 22. veljače 2024. o razrješnici koju Agencija treba dobiti za izvršenje proračuna za financijsku godinu 2022. (0</w:t>
      </w:r>
      <w:r w:rsidR="00A474B3">
        <w:t>618</w:t>
      </w:r>
      <w:r w:rsidRPr="00F20CCA">
        <w:t>0/2024 – C9</w:t>
      </w:r>
      <w:r w:rsidRPr="00F20CCA">
        <w:noBreakHyphen/>
        <w:t>00</w:t>
      </w:r>
      <w:r w:rsidR="00A474B3">
        <w:t>96</w:t>
      </w:r>
      <w:r w:rsidRPr="00F20CCA">
        <w:t>/2024),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članak 319. Ugovora o funkcioniranju Europske unije,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F20CCA">
        <w:rPr>
          <w:rStyle w:val="FootnoteReference"/>
        </w:rPr>
        <w:footnoteReference w:id="8"/>
      </w:r>
      <w:r w:rsidRPr="00F20CCA">
        <w:t>, a posebno njezin članak 70.,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Uredbu (EZ) br. 1406/2002 Europskog parlamenta i Vijeća od 27. lipnja 2002. o osnivanju Europske agencije za pomorsku sigurnost</w:t>
      </w:r>
      <w:r w:rsidRPr="00F20CCA">
        <w:rPr>
          <w:rStyle w:val="FootnoteReference"/>
        </w:rPr>
        <w:footnoteReference w:id="9"/>
      </w:r>
      <w:r w:rsidRPr="00F20CCA">
        <w:t>, a posebno njezin članak 19.,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 xml:space="preserve">uzimajući u obzir Delegiranu uredbu Komisije (EU) 2019/715 od 18. prosinca 2018. o okvirnoj financijskoj uredbi za tijela osnovana na temelju Ugovora o funkcioniranju Europske unije i Ugovora o </w:t>
      </w:r>
      <w:proofErr w:type="spellStart"/>
      <w:r w:rsidRPr="00F20CCA">
        <w:t>Euratomu</w:t>
      </w:r>
      <w:proofErr w:type="spellEnd"/>
      <w:r w:rsidRPr="00F20CCA">
        <w:t xml:space="preserve"> na koja se upućuje u članku 70. Uredbe (EU, Euratom) 2018/1046 Europskog parlamenta i Vijeća</w:t>
      </w:r>
      <w:r w:rsidRPr="00F20CCA">
        <w:rPr>
          <w:rStyle w:val="FootnoteReference"/>
        </w:rPr>
        <w:footnoteReference w:id="10"/>
      </w:r>
      <w:r w:rsidRPr="00F20CCA">
        <w:t>, a posebno njezin članak 105.,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članak 100. Poslovnika i Prilog V. Poslovniku,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mišljenje Odbora za promet i turizam,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izvješće Odbora za proračunski nadzor (A9</w:t>
      </w:r>
      <w:r w:rsidRPr="00F20CCA">
        <w:noBreakHyphen/>
        <w:t>0107/2024),</w:t>
      </w:r>
    </w:p>
    <w:p w:rsidR="007410FA" w:rsidRPr="00F20CCA" w:rsidRDefault="007410FA" w:rsidP="007410FA">
      <w:pPr>
        <w:pStyle w:val="NormalHanging12a"/>
      </w:pPr>
      <w:r w:rsidRPr="00F20CCA">
        <w:t>1.</w:t>
      </w:r>
      <w:r w:rsidRPr="00F20CCA">
        <w:tab/>
        <w:t>odobrava zaključenje poslovnih knjiga Europske agencije za pomorsku sigurnost za financijsku godinu 2022.;</w:t>
      </w:r>
    </w:p>
    <w:p w:rsidR="007410FA" w:rsidRPr="00F20CCA" w:rsidRDefault="007410FA" w:rsidP="007410FA">
      <w:pPr>
        <w:pStyle w:val="NormalHanging12a"/>
      </w:pPr>
      <w:r w:rsidRPr="00F20CCA">
        <w:lastRenderedPageBreak/>
        <w:t>2.</w:t>
      </w:r>
      <w:r w:rsidRPr="00F20CCA">
        <w:tab/>
        <w:t xml:space="preserve">nalaže svojoj predsjednici da ovu Odluku proslijedi izvršnoj direktorici Europske agencije za pomorsku sigurnost, Vijeću, Komisiji i Revizorskom sudu te da je da na objavu u </w:t>
      </w:r>
      <w:r w:rsidRPr="00F20CCA">
        <w:rPr>
          <w:i/>
        </w:rPr>
        <w:t>Službenom listu Europske unije</w:t>
      </w:r>
      <w:r w:rsidRPr="00F20CCA">
        <w:t xml:space="preserve"> (serija L).</w:t>
      </w:r>
    </w:p>
    <w:p w:rsidR="007410FA" w:rsidRPr="00F20CCA" w:rsidRDefault="007410FA" w:rsidP="007410FA"/>
    <w:p w:rsidR="007410FA" w:rsidRPr="00F20CCA" w:rsidRDefault="007410FA" w:rsidP="007410FA">
      <w:pPr>
        <w:pStyle w:val="PageHeading"/>
        <w:sectPr w:rsidR="007410FA" w:rsidRPr="00F20CCA" w:rsidSect="00F819BD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7410FA" w:rsidRPr="00F20CCA" w:rsidRDefault="007410FA" w:rsidP="00F20CCA">
      <w:pPr>
        <w:pStyle w:val="ATHeading3"/>
      </w:pPr>
      <w:bookmarkStart w:id="9" w:name="_Toc161838993"/>
      <w:r w:rsidRPr="00F20CCA">
        <w:lastRenderedPageBreak/>
        <w:t xml:space="preserve">3. </w:t>
      </w:r>
      <w:r w:rsidR="00F20CCA">
        <w:t>Rezolucija E</w:t>
      </w:r>
      <w:r w:rsidR="00F20CCA" w:rsidRPr="00F20CCA">
        <w:t>uropskog parlamenta</w:t>
      </w:r>
      <w:bookmarkEnd w:id="9"/>
      <w:r w:rsidR="00F20CCA" w:rsidRPr="00F20CCA">
        <w:t xml:space="preserve"> </w:t>
      </w:r>
      <w:r w:rsidR="00F20CCA">
        <w:t xml:space="preserve">od 11. travnja 2024. </w:t>
      </w:r>
      <w:r w:rsidRPr="00F20CCA">
        <w:t>s primjedbama koje su sastavni dio Odluke o razrješnici za izvršenje proračuna Europske agencije za pomorsku sigurnost za financijsku godinu 2022.</w:t>
      </w:r>
      <w:r w:rsidR="00F20CCA" w:rsidRPr="00F20CCA">
        <w:t xml:space="preserve"> </w:t>
      </w:r>
      <w:r w:rsidRPr="00F20CCA">
        <w:t>(2023/2158(DEC))</w:t>
      </w:r>
    </w:p>
    <w:p w:rsidR="007410FA" w:rsidRPr="00F20CCA" w:rsidRDefault="007410FA" w:rsidP="007410FA">
      <w:pPr>
        <w:pStyle w:val="EPComma"/>
      </w:pPr>
      <w:r w:rsidRPr="00F20CCA">
        <w:rPr>
          <w:i/>
        </w:rPr>
        <w:t>Europski parlament</w:t>
      </w:r>
      <w:r w:rsidRPr="00F20CCA">
        <w:t>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svoju Odluku o razrješnici za izvršenje proračuna Europske agencije za pomorsku sigurnost za financijsku godinu 2022.,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članak 100. Poslovnika i Prilog V. Poslovniku,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mišljenje Odbora za promet i turizam,</w:t>
      </w:r>
    </w:p>
    <w:p w:rsidR="007410FA" w:rsidRPr="00F20CCA" w:rsidRDefault="007410FA" w:rsidP="007410FA">
      <w:pPr>
        <w:pStyle w:val="NormalHanging12a"/>
      </w:pPr>
      <w:r w:rsidRPr="00F20CCA">
        <w:t>–</w:t>
      </w:r>
      <w:r w:rsidRPr="00F20CCA">
        <w:tab/>
        <w:t>uzimajući u obzir izvješće Odbora za proračunski nadzor (A9</w:t>
      </w:r>
      <w:r w:rsidRPr="00F20CCA">
        <w:noBreakHyphen/>
        <w:t>0107/2024),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A.</w:t>
      </w:r>
      <w:r w:rsidRPr="00F20CCA">
        <w:tab/>
        <w:t>budući da je prema izvještaju o prihodima i rashodima</w:t>
      </w:r>
      <w:r w:rsidRPr="00F20CCA">
        <w:rPr>
          <w:rStyle w:val="FootnoteReference"/>
          <w:szCs w:val="24"/>
        </w:rPr>
        <w:footnoteReference w:id="11"/>
      </w:r>
      <w:r w:rsidRPr="00F20CCA">
        <w:t xml:space="preserve"> Europske agencije za pomorsku sigurnost („Agencija”) za financijsku godinu 2022. njezin konačni proračun iznosio 115 807 269,88 EUR, što je povećanje od 9,48 % u odnosu na 2021. godinu; budući da se proračun Agencije financira iz proračuna Unije i prihoda od poslovanja;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B.</w:t>
      </w:r>
      <w:r w:rsidRPr="00F20CCA">
        <w:tab/>
        <w:t>budući da je Revizorski sud u svojem izvješću o godišnjoj računovodstvenoj dokumentaciji Agencije za financijsku godinu 2022. („izvješće Revizorskog suda”) izjavio da je dobio razumno jamstvo da je godišnja računovodstvena dokumentacija Agencije pouzdana te da su temeljne transakcije zakonite i pravilne;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C.</w:t>
      </w:r>
      <w:r w:rsidRPr="00F20CCA">
        <w:tab/>
        <w:t>budući da u pogledu sektora javne nabave Agencije za 2022. nisu prijavljeni problemi zbog kojih bi bile potrebne korektivne mjere te da nema ni tekućih ni nedovršenih korektivnih mjera iz revizija i procjena iz prethodnih godina;</w:t>
      </w:r>
    </w:p>
    <w:p w:rsidR="007410FA" w:rsidRPr="00F20CCA" w:rsidRDefault="007410FA" w:rsidP="007410FA">
      <w:pPr>
        <w:widowControl/>
        <w:spacing w:after="240"/>
        <w:ind w:left="567" w:hanging="567"/>
        <w:rPr>
          <w:szCs w:val="24"/>
        </w:rPr>
      </w:pPr>
      <w:r w:rsidRPr="00F20CCA">
        <w:t>D.</w:t>
      </w:r>
      <w:r w:rsidRPr="00F20CCA">
        <w:tab/>
        <w:t>budući da u pogledu sustava unutarnje kontrole Agencije za 2022. nisu prijavljeni problemi zbog kojih bi bile potrebne korektivne mjere te da nema ni tekućih ni nedovršenih korektivnih mjera iz revizija i procjena iz prethodnih godina;</w:t>
      </w:r>
    </w:p>
    <w:p w:rsidR="007410FA" w:rsidRPr="00F20CCA" w:rsidRDefault="007410FA" w:rsidP="007410FA">
      <w:pPr>
        <w:spacing w:after="240"/>
        <w:ind w:left="567" w:hanging="567"/>
        <w:rPr>
          <w:b/>
          <w:i/>
          <w:szCs w:val="24"/>
        </w:rPr>
      </w:pPr>
      <w:r w:rsidRPr="00F20CCA">
        <w:rPr>
          <w:b/>
          <w:i/>
        </w:rPr>
        <w:t>Upravljanje proračunom i financijama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1.</w:t>
      </w:r>
      <w:r w:rsidRPr="00F20CCA">
        <w:tab/>
        <w:t xml:space="preserve">izražava zadovoljstvo zbog činjenice da je praćenje proračuna tijekom financijske godine 2022. rezultiralo stopom izvršenja proračuna od 99,80 % za odobrena sredstva za preuzimanje obveza, što je blago povećanje od 0,14 % u odnosu na 2021., te da je stopa izvršenja odobrenih sredstava za plaćanje iznosila 98,42 %, što je </w:t>
      </w:r>
      <w:r w:rsidR="00F20CCA">
        <w:t>također povećanje, i to od 1,10</w:t>
      </w:r>
      <w:r w:rsidR="00F20CCA" w:rsidRPr="00F20CCA">
        <w:t> </w:t>
      </w:r>
      <w:r w:rsidRPr="00F20CCA">
        <w:t>%;</w:t>
      </w:r>
    </w:p>
    <w:p w:rsidR="007410FA" w:rsidRPr="00F20CCA" w:rsidRDefault="007410FA" w:rsidP="007410FA">
      <w:pPr>
        <w:spacing w:after="240"/>
        <w:ind w:left="567" w:hanging="567"/>
        <w:rPr>
          <w:b/>
          <w:i/>
          <w:szCs w:val="24"/>
        </w:rPr>
      </w:pPr>
      <w:r w:rsidRPr="00F20CCA">
        <w:rPr>
          <w:b/>
          <w:i/>
        </w:rPr>
        <w:t>Uspješnost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2.</w:t>
      </w:r>
      <w:r w:rsidRPr="00F20CCA">
        <w:tab/>
        <w:t xml:space="preserve">pozdravlja činjenicu da se Agencija koristi ključnim pokazateljima uspješnosti za mjerenje provedbe svojeg godišnjeg programa rada u ključnim područjima kojima doprinosi (održivost, nadzor, sigurnost i zaštita, pojednostavnjenje, digitalizacija, tehnička pomoć, izgradnja kapaciteta i strateška potpora) i svojih horizontalnih aktivnosti; pohvaljuje činjenicu da su ciljevi uglavnom postignuti, pri čemu nekolicina ciljeva zbog opravdanih razloga još uvijek nije ispunjena; nadalje napominje da je </w:t>
      </w:r>
      <w:r w:rsidRPr="00F20CCA">
        <w:lastRenderedPageBreak/>
        <w:t>Agencija ostvarila svoje ciljeve za 2022. u skladu s godišnjim programom rada i višegodišnjim strateškim okvirom;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3.</w:t>
      </w:r>
      <w:r w:rsidRPr="00F20CCA">
        <w:tab/>
        <w:t>prima na znanje činjenicu da je Agencija aktivno sudjelovala u nekoliko inicijativa povezanih s europskim zelenim planom i pružila potporu i podatke Komisiji i državama članicama, s posebnim naglaskom na različite prijedloge u okviru paketa „Spremni za 55 %”, kao što su prijedlog „</w:t>
      </w:r>
      <w:proofErr w:type="spellStart"/>
      <w:r w:rsidRPr="00F20CCA">
        <w:t>FuelEU</w:t>
      </w:r>
      <w:proofErr w:type="spellEnd"/>
      <w:r w:rsidRPr="00F20CCA">
        <w:t xml:space="preserve"> </w:t>
      </w:r>
      <w:proofErr w:type="spellStart"/>
      <w:r w:rsidRPr="00F20CCA">
        <w:t>Maritime</w:t>
      </w:r>
      <w:proofErr w:type="spellEnd"/>
      <w:r w:rsidRPr="00F20CCA">
        <w:t>” i prijedlog čiji je cilj proširenje sustava trgovanja emisijama na pomorski promet;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4.</w:t>
      </w:r>
      <w:r w:rsidRPr="00F20CCA">
        <w:tab/>
        <w:t>pozdravlja činjenicu da je Agencija postala važan akter u pogledu praćenja i izvješćivanja o plovilima od interesa nakon nezakonite i ničim izazvane ruske invazije na Ukrajinu u veljači 2022.; u tom pogledu napominje da je služba za pomoć izvijestila države članice i Komisiju o plovilima na moru koja plove pod ruskom zastavom, određene države članice i Komisiju o pristajanju brodova u luke EU-a te o pristajanjima brodova povezanima sa sankcijama (npr. uvoz ugljena);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5.</w:t>
      </w:r>
      <w:r w:rsidRPr="00F20CCA">
        <w:tab/>
        <w:t xml:space="preserve">napominje da su službe Agencije za promatranje Zemlje nastavile razvijati i osiguravati kapacitete za nadzor, s naglaskom na službi </w:t>
      </w:r>
      <w:proofErr w:type="spellStart"/>
      <w:r w:rsidRPr="00F20CCA">
        <w:t>CleanSeaNet</w:t>
      </w:r>
      <w:proofErr w:type="spellEnd"/>
      <w:r w:rsidRPr="00F20CCA">
        <w:t xml:space="preserve">, pomorskom nadzoru programa </w:t>
      </w:r>
      <w:proofErr w:type="spellStart"/>
      <w:r w:rsidRPr="00F20CCA">
        <w:t>Copernicus</w:t>
      </w:r>
      <w:proofErr w:type="spellEnd"/>
      <w:r w:rsidRPr="00F20CCA">
        <w:t xml:space="preserve"> za </w:t>
      </w:r>
      <w:proofErr w:type="spellStart"/>
      <w:r w:rsidRPr="00F20CCA">
        <w:t>Frontex</w:t>
      </w:r>
      <w:proofErr w:type="spellEnd"/>
      <w:r w:rsidRPr="00F20CCA">
        <w:t xml:space="preserve"> i potpori pomorskim kriznim situacijama na moru u kontekstu plana Agencije za nepredvidive situacije;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6.</w:t>
      </w:r>
      <w:r w:rsidRPr="00F20CCA">
        <w:tab/>
        <w:t>pozdravlja činjenicu da je Agencija pružila tehničku potporu Komisiji i Nadzornom tijelu EFTA-e sudjelovanjem u inspekcijama koje su organizirali radi procjene i provjere provedbe i primjene zakonodavstva EU-a o pomorskoj sigurnosti u državama članicama;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7.</w:t>
      </w:r>
      <w:r w:rsidRPr="00F20CCA">
        <w:tab/>
        <w:t>primjećuje da je Agencija 2022. Agenciji Europske unije za suradnju tijela za izvršavanje zakonodavstva (EUROPOL) omogućila pristup pomorskim i nadzornim informacijskim uslugama kako bi im se pružila potpora u područjima kaznenog progona i organiziranog kriminala na moru;</w:t>
      </w:r>
    </w:p>
    <w:p w:rsidR="007410FA" w:rsidRPr="00F20CCA" w:rsidRDefault="007410FA" w:rsidP="007410FA">
      <w:pPr>
        <w:spacing w:after="240"/>
        <w:ind w:left="567" w:hanging="567"/>
        <w:rPr>
          <w:i/>
          <w:szCs w:val="24"/>
        </w:rPr>
      </w:pPr>
      <w:r w:rsidRPr="00F20CCA">
        <w:t>8.</w:t>
      </w:r>
      <w:r w:rsidRPr="00F20CCA">
        <w:tab/>
        <w:t>napominje da je Agencija 2022. zadržala svoju ulogu centra izvrsnosti za izgradnju kapaciteta, provedbu projekta IPA II i zaključenje projekata za tehničku pomoć u Sredozemnom moru (SAFEMED IV) te Crnom i Kaspijskom moru (BCSEA);</w:t>
      </w:r>
    </w:p>
    <w:p w:rsidR="007410FA" w:rsidRPr="00F20CCA" w:rsidRDefault="007410FA" w:rsidP="007410FA">
      <w:pPr>
        <w:spacing w:after="240"/>
        <w:ind w:left="567" w:hanging="567"/>
      </w:pPr>
      <w:r w:rsidRPr="00F20CCA">
        <w:t>9.</w:t>
      </w:r>
      <w:r w:rsidRPr="00F20CCA">
        <w:tab/>
        <w:t>pozdravlja činjenicu da Agencija podupire Komisiju u IMO-u, posebno na forumima kao što su Odbor za zaštitu morskog okoliša, Pododbor za sprečavanje onečišćenja i reagiranje na onečišćenje i Pododbor za prijevoz tereta i kontejnera; tom se potporom pokrivaju ključna područja sprečavanja onečišćenja i održivosti, uključujući strategiju IMO-a za smanjenje emisija stakleničkih plinova, intenzitet ugljika u pomorskom prometu, sigurnost, evaluaciju, uvođenje i upotrebu održivih alternativnih goriva i tehnologija, morski otpad i podvodnu buku; ističe da će predstojeći rad IMO-a na razvoju odgovarajućih zahtjeva i standarda za upotrebu novih goriva i tehnologija biti od ključne važnosti za njihovu primjenu na globalnoj razini i razini EU-a;</w:t>
      </w:r>
    </w:p>
    <w:p w:rsidR="007410FA" w:rsidRPr="00F20CCA" w:rsidRDefault="007410FA" w:rsidP="007410FA">
      <w:pPr>
        <w:pStyle w:val="NormalHanging12a"/>
        <w:rPr>
          <w:b/>
          <w:i/>
          <w:color w:val="000000" w:themeColor="text1"/>
          <w:szCs w:val="24"/>
        </w:rPr>
      </w:pPr>
      <w:r w:rsidRPr="00F20CCA">
        <w:rPr>
          <w:b/>
          <w:i/>
          <w:color w:val="000000" w:themeColor="text1"/>
        </w:rPr>
        <w:t>Učinkovitost i rezultati</w:t>
      </w:r>
    </w:p>
    <w:p w:rsidR="007410FA" w:rsidRPr="00F20CCA" w:rsidRDefault="007410FA" w:rsidP="007410FA">
      <w:pPr>
        <w:widowControl/>
        <w:spacing w:after="240"/>
        <w:ind w:left="567" w:hanging="567"/>
        <w:rPr>
          <w:szCs w:val="24"/>
        </w:rPr>
      </w:pPr>
      <w:r w:rsidRPr="00F20CCA">
        <w:rPr>
          <w:color w:val="000000" w:themeColor="text1"/>
        </w:rPr>
        <w:t>10.</w:t>
      </w:r>
      <w:r w:rsidRPr="00F20CCA">
        <w:rPr>
          <w:color w:val="000000" w:themeColor="text1"/>
        </w:rPr>
        <w:tab/>
      </w:r>
      <w:r w:rsidRPr="00F20CCA">
        <w:t xml:space="preserve">napominje da Agencija u okviru novog mandata za europsku suradnju u pogledu funkcija obalne straže s Europskom agencijom za kontrolu ribarstva (EFCA) i </w:t>
      </w:r>
      <w:proofErr w:type="spellStart"/>
      <w:r w:rsidRPr="00F20CCA">
        <w:t>Frontexom</w:t>
      </w:r>
      <w:proofErr w:type="spellEnd"/>
      <w:r w:rsidRPr="00F20CCA">
        <w:t xml:space="preserve"> razmjenjuje informacije, stručno znanje, postupke, materijale i alate za osposobljavanje;</w:t>
      </w:r>
      <w:r w:rsidRPr="00F20CCA">
        <w:rPr>
          <w:color w:val="000000" w:themeColor="text1"/>
        </w:rPr>
        <w:t xml:space="preserve"> nadalje napominje da Agencija nastavlja blisko surađivati s Europskim </w:t>
      </w:r>
      <w:r w:rsidRPr="00F20CCA">
        <w:rPr>
          <w:color w:val="000000" w:themeColor="text1"/>
        </w:rPr>
        <w:lastRenderedPageBreak/>
        <w:t xml:space="preserve">centrom za praćenje droga i ovisnosti o drogama (EMCCDA) kako bi povećala svoju učinkovitost i uštedjela troškove zbog geografske blizine obiju agencija; pozdravlja činjenicu da je Agencija pružala potporu EMCCDA-i razmjenom znanja u pogledu registracije u sustavu EMAS te da je s EFCA-om nastavila osiguravati mehanizam uzajamne podrške za računovodstvenu funkciju u objema agencijama; </w:t>
      </w:r>
      <w:r w:rsidRPr="00F20CCA">
        <w:t>ističe horizontalne koristi suradnje i prilagodbe najboljih praksi te naglašava da zajedničke inicijative objedinjuju različite perspektive, smanjuju dupliciranje napora, poboljšavaju učenje i jačaju odnose među sudionicima;</w:t>
      </w:r>
    </w:p>
    <w:p w:rsidR="007410FA" w:rsidRPr="00F20CCA" w:rsidRDefault="007410FA" w:rsidP="007410FA">
      <w:pPr>
        <w:pStyle w:val="NormalHanging12a"/>
        <w:rPr>
          <w:color w:val="000000" w:themeColor="text1"/>
          <w:szCs w:val="24"/>
        </w:rPr>
      </w:pPr>
      <w:r w:rsidRPr="00F20CCA">
        <w:rPr>
          <w:color w:val="000000" w:themeColor="text1"/>
        </w:rPr>
        <w:t>11.</w:t>
      </w:r>
      <w:r w:rsidRPr="00F20CCA">
        <w:rPr>
          <w:color w:val="000000" w:themeColor="text1"/>
        </w:rPr>
        <w:tab/>
        <w:t>napominje da je Agencija radila na poboljšanju svoje učinkovitosti i djelotvornosti automatizacijom postupaka s ciljem da se znatno smanji administrativno radnog opterećenje određenih članova osoblja te im se omogućujući da se usredotoče na zadaće u povezanim područjima s većom dodanom vrijednošću; primjećuje da je Agencija osim toga pokrenula pilot-projekte za kvalificirani e-potpis i integraciju korporativnih alata s ARES-om; poziva Agenciju da identificira više internih postupaka koji bi se mogli pojednostavniti primjenom automatizacije;</w:t>
      </w:r>
    </w:p>
    <w:p w:rsidR="007410FA" w:rsidRPr="00F20CCA" w:rsidRDefault="007410FA" w:rsidP="007410FA">
      <w:pPr>
        <w:spacing w:after="240"/>
        <w:ind w:left="567" w:hanging="567"/>
        <w:rPr>
          <w:b/>
          <w:i/>
          <w:szCs w:val="24"/>
        </w:rPr>
      </w:pPr>
      <w:r w:rsidRPr="00F20CCA">
        <w:rPr>
          <w:b/>
          <w:i/>
        </w:rPr>
        <w:t>Kadrovska politika</w:t>
      </w:r>
    </w:p>
    <w:p w:rsidR="007410FA" w:rsidRPr="00F20CCA" w:rsidRDefault="007410FA" w:rsidP="007410FA">
      <w:pPr>
        <w:pStyle w:val="NormalHanging12a"/>
        <w:rPr>
          <w:szCs w:val="24"/>
        </w:rPr>
      </w:pPr>
      <w:r w:rsidRPr="00F20CCA">
        <w:t>12.</w:t>
      </w:r>
      <w:r w:rsidRPr="00F20CCA">
        <w:tab/>
        <w:t>prima na znanje da je 31. prosinca 2022. plan radnih mjesta bio stabilan i ostvaren u iznosu od 99,06 %, pri čemu je bilo zaposleno 210 dužnosnika ili privremenih djelatnika od ukupno 212 odobrenih radnih mjesta u okviru proračuna Unije (isto kao 2021.); nadalje konstatira da je 2022. za Agenciju također radio 28 ugovorni djelatnik i 16 upućenih nacionalnih stručnjaka;</w:t>
      </w:r>
    </w:p>
    <w:p w:rsidR="007410FA" w:rsidRPr="00F20CCA" w:rsidRDefault="007410FA" w:rsidP="007410FA">
      <w:pPr>
        <w:pStyle w:val="NormalHanging12a"/>
      </w:pPr>
      <w:r w:rsidRPr="00F20CCA">
        <w:t>13.</w:t>
      </w:r>
      <w:r w:rsidRPr="00F20CCA">
        <w:tab/>
        <w:t>prima na znanje nedostatak rodne ravnoteže među članovima višeg i srednjeg rukovodstva Agencije, u kojemu je od ukupno 16 osoba 5 žena (31 %); prima na znanje nedostatak rodne ravnoteže među članovima Upravnog odbora Agencije, u kojemu je od ukupno 57 osoba 10 žena (18 %); prima na znanje nedostatak rodne ravnoteže među ukupnim osobljem Agencije, u kojemu je od 264 osobe 99 žena (38 %); podsjeća na važnost osiguravanja rodne ravnoteže i poziva Agenciju da taj aspekt uzme u obzir kad je riječ o budućem zapošljavanju novog osoblja i imenovanjima na položaje višeg i srednjeg rukovodstva; u tom pogledu pozdravlja činjenicu da je Agencija pokrenula akcijski plan za rodnu ravnopravnost za razdoblje 2022.–2025., s naglaskom na dugoročnom poboljšanju rodne ravnoteže i ravnopravnosti na temelju kvalitete; traži od Komisije i država članica da pri imenovanju svojih članova u Upravni odbor Agencije vode računa o važnosti ostvarivanja rodne ravnoteže; potiče Agenciju da usvoji i Povelju o raznolikosti i uključivanja te da i dalje sudjeluje u inicijativama kojima se promiču raznolikost i uključenost na radnome mjestu na svim hijerarhijskim razinama;</w:t>
      </w:r>
    </w:p>
    <w:p w:rsidR="007410FA" w:rsidRPr="00F20CCA" w:rsidRDefault="007410FA" w:rsidP="007410FA">
      <w:pPr>
        <w:spacing w:after="240"/>
        <w:ind w:left="567" w:hanging="567"/>
      </w:pPr>
      <w:r w:rsidRPr="00F20CCA">
        <w:t>14.</w:t>
      </w:r>
      <w:r w:rsidRPr="00F20CCA">
        <w:tab/>
        <w:t>ističe trenutačni izazov zapošljavanja upućenih nacionalnih stručnjaka s obzirom na poteškoće u privlačenju stručnjaka iz država članica; ističe da je Agencija imala neke neuspješne pozive; predlaže da se internom ugovornom osoblju omogući da prijeđu u sljedeću funkcijsku skupinu nakon sudjelovanja u općem postupku odabira; kada je riječ o povećanju učinkovitosti, napominje da Agencija teži i radi na poboljšanju svojih postupaka kako bi povećala svoju učinkovitost i djelotvornost te postigla optimalno korištenje ljudskih i financijskih resursa;</w:t>
      </w:r>
    </w:p>
    <w:p w:rsidR="007410FA" w:rsidRPr="00F20CCA" w:rsidRDefault="007410FA" w:rsidP="007410FA">
      <w:pPr>
        <w:pStyle w:val="NormalHanging12a"/>
      </w:pPr>
      <w:r w:rsidRPr="00F20CCA">
        <w:t>15.</w:t>
      </w:r>
      <w:r w:rsidRPr="00F20CCA">
        <w:tab/>
        <w:t>pozdravlja činjenicu da je u kontekstu sprečavanja uznemiravanja na radnom mjestu imenovano šest novih povjerljivih savjetnika nakon uspješnog završetka obveznog osposobljavanja te su sada aktivni u toj ulozi u Agenciji;</w:t>
      </w:r>
    </w:p>
    <w:p w:rsidR="007410FA" w:rsidRPr="00F20CCA" w:rsidRDefault="007410FA" w:rsidP="007410FA">
      <w:pPr>
        <w:pStyle w:val="NormalHanging12a"/>
      </w:pPr>
      <w:r w:rsidRPr="00F20CCA">
        <w:lastRenderedPageBreak/>
        <w:t>16.</w:t>
      </w:r>
      <w:r w:rsidRPr="00F20CCA">
        <w:tab/>
        <w:t>prima na znanje da je Agencija pokrenula strateški projekt u području ljudskih resursa uz savjetovanje s osobljem, rukovodstvom i Odborom osoblja, projekt s ciljem osmišljavanja uvodnog programa na internetu za nove zaposlenike, kao i pripremni rad povezan s odlukom o radnom vremenu i hibridnom načinu rada, za koje se očekivalo da će biti usvojeni 2023.; poziva Agenciju da o napretku ostvarenom u vezi s tim pitanjima obavještava tijelo nadležno za davanje razrješnice;</w:t>
      </w:r>
    </w:p>
    <w:p w:rsidR="007410FA" w:rsidRPr="00F20CCA" w:rsidRDefault="007410FA" w:rsidP="007410FA">
      <w:pPr>
        <w:pStyle w:val="NormalHanging12a"/>
        <w:rPr>
          <w:b/>
          <w:i/>
          <w:szCs w:val="24"/>
        </w:rPr>
      </w:pPr>
      <w:r w:rsidRPr="00F20CCA">
        <w:rPr>
          <w:b/>
          <w:i/>
        </w:rPr>
        <w:t>Postupanje u slučaju sukoba interesa i njihovo sprečavanje te transparentnost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17.</w:t>
      </w:r>
      <w:r w:rsidRPr="00F20CCA">
        <w:tab/>
        <w:t>potvrđuje da se od članova i zamjenika članova Upravnog odbora Agencije traži da potpišu Izjavu o obvezama i povjerljivosti pri imenovanju te da svake godine prijave svaki (potencijalni) sukob interesa za koji bi se moglo smatrati da dovodi u pitanje postupanje s bilo kojom točkom dnevnog reda na početku svakog sastanka Upravnog odbora; napominje da cjelokupno osoblje (uključujući više rukovodstvo uključeno u posebne postupke) mora prijaviti (potencijaln</w:t>
      </w:r>
      <w:r w:rsidR="00A474B3">
        <w:t>e</w:t>
      </w:r>
      <w:r w:rsidRPr="00F20CCA">
        <w:t>) sukob</w:t>
      </w:r>
      <w:r w:rsidR="00A474B3">
        <w:t>e</w:t>
      </w:r>
      <w:r w:rsidRPr="00F20CCA">
        <w:t xml:space="preserve"> interesa u različitim postupcima kao što su javna nabava i zapošljavanje; prima na znanje da je tijekom 2022. član odbora za odabir u postupku zapošljavanja prijavio jedan slučaj sukoba interesa, a nakon analize prijavljenog sukoba odgovarajući je član zamijenjen;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18.</w:t>
      </w:r>
      <w:r w:rsidRPr="00F20CCA">
        <w:tab/>
        <w:t>napominje da je Agencija usvojila „politiku sukoba interesa upravnog odbora EMSA-e” kojom se utvrđuju načela nepristranosti i neovisnosti članova upravnog odbora i njihovih zamjenika te definiraju mjere za osiguravanje njezine praktične primjene kako bi se spriječili i ublažili rizici od toga da bi prošli, sadašnji ili budući interesi mogli neprimjereno utjecati na nepristranost i neovisnost članova odbora tijekom obavljanja njihovih dužnosti;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19.</w:t>
      </w:r>
      <w:r w:rsidRPr="00F20CCA">
        <w:tab/>
        <w:t xml:space="preserve">prima na znanje </w:t>
      </w:r>
      <w:r w:rsidR="00A474B3">
        <w:t xml:space="preserve">činjenicu </w:t>
      </w:r>
      <w:r w:rsidRPr="00F20CCA">
        <w:t>da su životopisi članova upravnog odbora i rukovodećeg osoblja objavljeni na internetskim stranicama Agencije;</w:t>
      </w:r>
    </w:p>
    <w:p w:rsidR="007410FA" w:rsidRPr="00F20CCA" w:rsidRDefault="007410FA" w:rsidP="007410FA">
      <w:pPr>
        <w:pStyle w:val="Normal12Hanging"/>
        <w:rPr>
          <w:b/>
          <w:i/>
          <w:szCs w:val="24"/>
        </w:rPr>
      </w:pPr>
      <w:r w:rsidRPr="00F20CCA">
        <w:rPr>
          <w:b/>
          <w:i/>
        </w:rPr>
        <w:t>Ostale primjedbe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20.</w:t>
      </w:r>
      <w:r w:rsidRPr="00F20CCA">
        <w:tab/>
        <w:t>pohvaljuje činjenicu da je 2022. u skladu s okvirom Agencije za upravljanje rizicima registar rizika u potpunosti ažuriran i dorađen te da je tijekom tog postupka posebna pozornost posvećena utvrđivanju potencijalnih rizika povezanih s prijevarama i ukupnih mogućnosti; nadalje, pozdravlja činjenicu da je nakon ruske invazije na Ukrajinu u ažuriranim registrima rizika utvrđen i uvršten niz novih rizika i prilika povezanih s tom velikom krizom;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21.</w:t>
      </w:r>
      <w:r w:rsidRPr="00F20CCA">
        <w:tab/>
        <w:t xml:space="preserve">pohvaljuje činjenicu da je Agencija razvila niz ad </w:t>
      </w:r>
      <w:proofErr w:type="spellStart"/>
      <w:r w:rsidRPr="00F20CCA">
        <w:t>hoc</w:t>
      </w:r>
      <w:proofErr w:type="spellEnd"/>
      <w:r w:rsidRPr="00F20CCA">
        <w:t xml:space="preserve"> proizvoda za pomoć državama članicama i Komisiji u provedbi sankcija EU-a povezanih s ruskom invazijom na Ukrajinu, kao što je izvješćivanje o pristajanjima brodova za određeni teret i zastave; nadalje pozdravlja činjenicu da je Agencija uspostavila mjesečno izvješće o utjecaju razvoja događaja u Ukrajini na pomorski promet i trgovinu, koje stavlja na raspolaganje relevantnim dionicima;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22.</w:t>
      </w:r>
      <w:r w:rsidRPr="00F20CCA">
        <w:tab/>
        <w:t xml:space="preserve">pozdravlja činjenicu da je Agencija 2022. provela različite aktivnosti </w:t>
      </w:r>
      <w:proofErr w:type="spellStart"/>
      <w:r w:rsidRPr="00F20CCA">
        <w:t>ekologizacije</w:t>
      </w:r>
      <w:proofErr w:type="spellEnd"/>
      <w:r w:rsidRPr="00F20CCA">
        <w:t xml:space="preserve">, među ostalim, opsežnu komunikacijsku kampanju za </w:t>
      </w:r>
      <w:proofErr w:type="spellStart"/>
      <w:r w:rsidRPr="00F20CCA">
        <w:t>ekologizaciju</w:t>
      </w:r>
      <w:proofErr w:type="spellEnd"/>
      <w:r w:rsidRPr="00F20CCA">
        <w:t>, stvaranje stacionarne prostorije za višekratnu uporabu, sudjelovanje u Europskom tjednu mobilnosti i snižavanje osnovne temperature u prostorima tijekom zimske sezone;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23.</w:t>
      </w:r>
      <w:r w:rsidRPr="00F20CCA">
        <w:tab/>
        <w:t>podsjeća da je Agencija 2019. Pokrenula projekt „</w:t>
      </w:r>
      <w:proofErr w:type="spellStart"/>
      <w:r w:rsidRPr="00F20CCA">
        <w:t>ekologizacije</w:t>
      </w:r>
      <w:proofErr w:type="spellEnd"/>
      <w:r w:rsidRPr="00F20CCA">
        <w:t xml:space="preserve"> EMSA-e” u cilju </w:t>
      </w:r>
      <w:r w:rsidRPr="00F20CCA">
        <w:lastRenderedPageBreak/>
        <w:t>uvođenja upravljanja okolišem te da je posljednji korak s vanjskom revizijom u svrhu provjere sustava obavljen u siječnju 2022.; napominje da je Agencija nakon toga dobila oznaku EMAS i objavila svoju izjavu o okolišu;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24.</w:t>
      </w:r>
      <w:r w:rsidRPr="00F20CCA">
        <w:tab/>
        <w:t xml:space="preserve">napominje da je Agencija pojačala suradnju s Agencijom Europske unije za </w:t>
      </w:r>
      <w:proofErr w:type="spellStart"/>
      <w:r w:rsidRPr="00F20CCA">
        <w:t>kibersigurnost</w:t>
      </w:r>
      <w:proofErr w:type="spellEnd"/>
      <w:r w:rsidRPr="00F20CCA">
        <w:t xml:space="preserve"> sudjelovanjem u pilot-projektu za buduću provedbu predstojeće Uredbe o </w:t>
      </w:r>
      <w:proofErr w:type="spellStart"/>
      <w:r w:rsidRPr="00F20CCA">
        <w:t>kibersigurnosti</w:t>
      </w:r>
      <w:proofErr w:type="spellEnd"/>
      <w:r w:rsidRPr="00F20CCA">
        <w:t xml:space="preserve">; nadalje napominje da je Agencija ojačala suradnju s timom CERT EU obnovom posebnog sporazuma o razini usluga koji sada uključuje više mjera, kao što je veći broj procjena sigurnosti, te omogućavanjem pristupa praćenju događaja povezanih sa sigurnošću u okviru IT infrastrukture EMSA-e u stvarnom vremenu; nadalje napominje da Agencija provodi redovite sigurnosne procjene s timom CERT EU i pružateljem </w:t>
      </w:r>
      <w:proofErr w:type="spellStart"/>
      <w:r w:rsidRPr="00F20CCA">
        <w:t>međuinstitucijskih</w:t>
      </w:r>
      <w:proofErr w:type="spellEnd"/>
      <w:r w:rsidRPr="00F20CCA">
        <w:t xml:space="preserve"> sigurnosnih usluga Vijeća;</w:t>
      </w:r>
    </w:p>
    <w:p w:rsidR="007410FA" w:rsidRPr="00F20CCA" w:rsidRDefault="007410FA" w:rsidP="007410FA">
      <w:pPr>
        <w:spacing w:after="240"/>
        <w:ind w:left="567" w:hanging="567"/>
        <w:rPr>
          <w:szCs w:val="24"/>
        </w:rPr>
      </w:pPr>
      <w:r w:rsidRPr="00F20CCA">
        <w:t>25.</w:t>
      </w:r>
      <w:r w:rsidRPr="00F20CCA">
        <w:tab/>
        <w:t>napominje da je Agencija provela različite mjere kako bi povećala svoju vidljivost u javnosti i prisutnost na internetu, kao što su organiziranje konferencija, dijeljenje videozapisa u kojima se objašnjavaju glavne aktivnosti i nadležnosti Agencije, prijenos uživo i pokretanje koncepta „Dana otvorenih vrata EMSA-e”;</w:t>
      </w:r>
    </w:p>
    <w:p w:rsidR="007410FA" w:rsidRPr="00F20CCA" w:rsidRDefault="007410FA" w:rsidP="007410FA">
      <w:pPr>
        <w:pStyle w:val="NormalHanging12a"/>
      </w:pPr>
      <w:r w:rsidRPr="00F20CCA">
        <w:t>26.</w:t>
      </w:r>
      <w:r w:rsidRPr="00F20CCA">
        <w:tab/>
        <w:t>pozdravlja predanost Agencije poboljšanju svoje višejezične komunikacije kako bi se osigurala veća dostupnost za sve europske građane; konstatira da su petogodišnja strategija Agencije, izvješće o europskom pomorskom okolišu i izvješće o europskoj pomorskoj sigurnosti sada dostupni na sva 24 jezika EU-a;</w:t>
      </w:r>
    </w:p>
    <w:p w:rsidR="007410FA" w:rsidRPr="00F20CCA" w:rsidRDefault="007410FA" w:rsidP="007410FA">
      <w:pPr>
        <w:spacing w:after="240"/>
        <w:ind w:left="567" w:hanging="567"/>
      </w:pPr>
      <w:r w:rsidRPr="00F20CCA">
        <w:t>27.</w:t>
      </w:r>
      <w:r w:rsidRPr="00F20CCA">
        <w:tab/>
        <w:t xml:space="preserve">ističe važnost aktivnosti Agencije u području pomorske sigurnosti te zahtijeva nastavak pružanja tehničke pomoći Agencije pri inspekcijskim pregledima Komisije u okviru Uredbe </w:t>
      </w:r>
      <w:r w:rsidR="004505DB">
        <w:t xml:space="preserve">(EZ) br. </w:t>
      </w:r>
      <w:r w:rsidRPr="00F20CCA">
        <w:t xml:space="preserve">725/2004 Europskog parlamenta i Vijeća o jačanju sigurnosne zaštite brodova i luka; naglašava da se broj </w:t>
      </w:r>
      <w:proofErr w:type="spellStart"/>
      <w:r w:rsidRPr="00F20CCA">
        <w:t>kibernetičkih</w:t>
      </w:r>
      <w:proofErr w:type="spellEnd"/>
      <w:r w:rsidRPr="00F20CCA">
        <w:t xml:space="preserve"> incidenata u pomorskom sektoru posljednjih godina znatno povećao;</w:t>
      </w:r>
    </w:p>
    <w:p w:rsidR="007410FA" w:rsidRPr="00F20CCA" w:rsidRDefault="007410FA" w:rsidP="007410FA">
      <w:pPr>
        <w:spacing w:after="240"/>
        <w:ind w:left="567" w:hanging="567"/>
      </w:pPr>
      <w:r w:rsidRPr="00F20CCA">
        <w:t>28.</w:t>
      </w:r>
      <w:r w:rsidRPr="00F20CCA">
        <w:tab/>
        <w:t>poziva na promicanje digitalizacije pomorskog sektora olakšavanjem elektroničkog prijenosa podataka, čime se radi na pojednostavnjenju, i stavljanje na raspolaganje integriranih sustava i usluga za pomorski nadzor i informiranost o pomorstvu Komisiji i državama članicama;</w:t>
      </w:r>
    </w:p>
    <w:p w:rsidR="007410FA" w:rsidRPr="00F20CCA" w:rsidRDefault="007410FA" w:rsidP="007410FA">
      <w:pPr>
        <w:spacing w:after="240"/>
        <w:ind w:left="567" w:hanging="567"/>
      </w:pPr>
      <w:r w:rsidRPr="00F20CCA">
        <w:t>29.</w:t>
      </w:r>
      <w:r w:rsidRPr="00F20CCA">
        <w:tab/>
        <w:t>naglašava da je rast flote EU-a (u pogledu brodova i tonaže) sporiji u usporedbi s rastom globalne flote; u posljednjih pet godina flota EU-a zabilježila je rast od 3,4 %, dok je globalna flota zabilježila veću stopu rasta i to od 7 %;</w:t>
      </w:r>
    </w:p>
    <w:p w:rsidR="007410FA" w:rsidRPr="00F20CCA" w:rsidRDefault="007410FA" w:rsidP="007410FA">
      <w:pPr>
        <w:spacing w:after="240"/>
        <w:ind w:left="567" w:hanging="567"/>
        <w:jc w:val="center"/>
        <w:rPr>
          <w:szCs w:val="24"/>
        </w:rPr>
      </w:pPr>
      <w:r w:rsidRPr="00F20CCA">
        <w:t>°</w:t>
      </w:r>
    </w:p>
    <w:p w:rsidR="007410FA" w:rsidRPr="00F20CCA" w:rsidRDefault="007410FA" w:rsidP="007410FA">
      <w:pPr>
        <w:pStyle w:val="NormalCenter12a"/>
        <w:rPr>
          <w:szCs w:val="24"/>
        </w:rPr>
      </w:pPr>
      <w:r w:rsidRPr="00F20CCA">
        <w:t>°</w:t>
      </w:r>
      <w:r w:rsidRPr="00F20CCA">
        <w:tab/>
        <w:t>°</w:t>
      </w:r>
    </w:p>
    <w:p w:rsidR="007410FA" w:rsidRPr="00F20CCA" w:rsidRDefault="007410FA" w:rsidP="00F20CCA">
      <w:pPr>
        <w:ind w:left="567" w:hanging="567"/>
      </w:pPr>
      <w:r w:rsidRPr="00F20CCA">
        <w:t>30.</w:t>
      </w:r>
      <w:r w:rsidRPr="00F20CCA">
        <w:tab/>
        <w:t xml:space="preserve">u vezi s drugim primjedbama priloženima Odluci o razrješnici i horizontalne naravi upućuje na svoju Rezoluciju od </w:t>
      </w:r>
      <w:r w:rsidR="004B44D4">
        <w:t>11. travnja 2024.</w:t>
      </w:r>
      <w:r w:rsidRPr="00F20CCA">
        <w:rPr>
          <w:rStyle w:val="FootnoteReference"/>
        </w:rPr>
        <w:footnoteReference w:id="12"/>
      </w:r>
      <w:r w:rsidRPr="00F20CCA">
        <w:t xml:space="preserve"> o uspješnosti, financijskom upravljanju i nadzoru agencija.</w:t>
      </w:r>
    </w:p>
    <w:sectPr w:rsidR="007410FA" w:rsidRPr="00F20CCA" w:rsidSect="00F819B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CFF" w:rsidRPr="00F819BD" w:rsidRDefault="00361CFF">
      <w:r w:rsidRPr="00F819BD">
        <w:separator/>
      </w:r>
    </w:p>
  </w:endnote>
  <w:endnote w:type="continuationSeparator" w:id="0">
    <w:p w:rsidR="00361CFF" w:rsidRPr="00F819BD" w:rsidRDefault="00361CFF">
      <w:r w:rsidRPr="00F819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0FA" w:rsidRPr="00F819BD" w:rsidRDefault="007410FA" w:rsidP="00BD3165">
    <w:pPr>
      <w:pStyle w:val="EPFooter"/>
    </w:pPr>
    <w:r w:rsidRPr="00F819BD">
      <w:t>PE</w:t>
    </w:r>
    <w:r w:rsidRPr="00F819BD">
      <w:rPr>
        <w:rStyle w:val="HideTWBExt"/>
      </w:rPr>
      <w:t>&lt;</w:t>
    </w:r>
    <w:proofErr w:type="spellStart"/>
    <w:r w:rsidRPr="00F819BD">
      <w:rPr>
        <w:rStyle w:val="HideTWBExt"/>
      </w:rPr>
      <w:t>NoPE</w:t>
    </w:r>
    <w:proofErr w:type="spellEnd"/>
    <w:r w:rsidRPr="00F819BD">
      <w:rPr>
        <w:rStyle w:val="HideTWBExt"/>
      </w:rPr>
      <w:t>&gt;</w:t>
    </w:r>
    <w:r w:rsidRPr="00F819BD">
      <w:t>753.526</w:t>
    </w:r>
    <w:r w:rsidRPr="00F819BD">
      <w:rPr>
        <w:rStyle w:val="HideTWBExt"/>
      </w:rPr>
      <w:t>&lt;/</w:t>
    </w:r>
    <w:proofErr w:type="spellStart"/>
    <w:r w:rsidRPr="00F819BD">
      <w:rPr>
        <w:rStyle w:val="HideTWBExt"/>
      </w:rPr>
      <w:t>NoPE</w:t>
    </w:r>
    <w:proofErr w:type="spellEnd"/>
    <w:r w:rsidRPr="00F819BD">
      <w:rPr>
        <w:rStyle w:val="HideTWBExt"/>
      </w:rPr>
      <w:t>&gt;&lt;Version&gt;</w:t>
    </w:r>
    <w:r w:rsidRPr="00F819BD">
      <w:t>v02-00</w:t>
    </w:r>
    <w:r w:rsidRPr="00F819BD">
      <w:rPr>
        <w:rStyle w:val="HideTWBExt"/>
      </w:rPr>
      <w:t>&lt;/</w:t>
    </w:r>
    <w:proofErr w:type="spellStart"/>
    <w:r w:rsidRPr="00F819BD">
      <w:rPr>
        <w:rStyle w:val="HideTWBExt"/>
      </w:rPr>
      <w:t>Version</w:t>
    </w:r>
    <w:proofErr w:type="spellEnd"/>
    <w:r w:rsidRPr="00F819BD">
      <w:rPr>
        <w:rStyle w:val="HideTWBExt"/>
      </w:rPr>
      <w:t>&gt;</w:t>
    </w:r>
    <w:r w:rsidRPr="00F819BD">
      <w:tab/>
    </w:r>
    <w:r w:rsidRPr="00F819BD">
      <w:fldChar w:fldCharType="begin"/>
    </w:r>
    <w:r w:rsidRPr="00F819BD">
      <w:instrText xml:space="preserve"> PAGE  \* MERGEFORMAT </w:instrText>
    </w:r>
    <w:r w:rsidRPr="00F819BD">
      <w:fldChar w:fldCharType="separate"/>
    </w:r>
    <w:r w:rsidR="00F819BD" w:rsidRPr="00F819BD">
      <w:rPr>
        <w:noProof/>
      </w:rPr>
      <w:t>2</w:t>
    </w:r>
    <w:r w:rsidRPr="00F819BD">
      <w:fldChar w:fldCharType="end"/>
    </w:r>
    <w:r w:rsidRPr="00F819BD">
      <w:t>/</w:t>
    </w:r>
    <w:fldSimple w:instr=" NUMPAGES  \* MERGEFORMAT ">
      <w:r w:rsidR="00F819BD" w:rsidRPr="00F819BD">
        <w:rPr>
          <w:noProof/>
        </w:rPr>
        <w:t>4</w:t>
      </w:r>
    </w:fldSimple>
    <w:r w:rsidRPr="00F819BD">
      <w:tab/>
    </w:r>
    <w:r w:rsidRPr="00F819BD">
      <w:rPr>
        <w:rStyle w:val="HideTWBExt"/>
      </w:rPr>
      <w:t>&lt;PathFdR&gt;</w:t>
    </w:r>
    <w:r w:rsidRPr="00F819BD">
      <w:t>RR\1298830HR.docx</w:t>
    </w:r>
    <w:r w:rsidRPr="00F819BD">
      <w:rPr>
        <w:rStyle w:val="HideTWBExt"/>
      </w:rPr>
      <w:t>&lt;/</w:t>
    </w:r>
    <w:proofErr w:type="spellStart"/>
    <w:r w:rsidRPr="00F819BD">
      <w:rPr>
        <w:rStyle w:val="HideTWBExt"/>
      </w:rPr>
      <w:t>PathFdR</w:t>
    </w:r>
    <w:proofErr w:type="spellEnd"/>
    <w:r w:rsidRPr="00F819BD">
      <w:rPr>
        <w:rStyle w:val="HideTWBExt"/>
      </w:rPr>
      <w:t>&gt;</w:t>
    </w:r>
  </w:p>
  <w:p w:rsidR="007410FA" w:rsidRPr="00F819BD" w:rsidRDefault="007410FA" w:rsidP="00BD3165">
    <w:pPr>
      <w:pStyle w:val="EPFooter2"/>
    </w:pPr>
    <w:r w:rsidRPr="00F819BD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0FA" w:rsidRPr="00F819BD" w:rsidRDefault="007410FA" w:rsidP="00BD3165">
    <w:pPr>
      <w:pStyle w:val="EPFooter"/>
    </w:pPr>
    <w:r w:rsidRPr="00F819BD">
      <w:rPr>
        <w:rStyle w:val="HideTWBExt"/>
      </w:rPr>
      <w:t>&lt;PathFdR&gt;</w:t>
    </w:r>
    <w:r w:rsidRPr="00F819BD">
      <w:t>RR\1298830HR.docx</w:t>
    </w:r>
    <w:r w:rsidRPr="00F819BD">
      <w:rPr>
        <w:rStyle w:val="HideTWBExt"/>
      </w:rPr>
      <w:t>&lt;/</w:t>
    </w:r>
    <w:proofErr w:type="spellStart"/>
    <w:r w:rsidRPr="00F819BD">
      <w:rPr>
        <w:rStyle w:val="HideTWBExt"/>
      </w:rPr>
      <w:t>PathFdR</w:t>
    </w:r>
    <w:proofErr w:type="spellEnd"/>
    <w:r w:rsidRPr="00F819BD">
      <w:rPr>
        <w:rStyle w:val="HideTWBExt"/>
      </w:rPr>
      <w:t>&gt;</w:t>
    </w:r>
    <w:r w:rsidRPr="00F819BD">
      <w:tab/>
    </w:r>
    <w:r w:rsidRPr="00F819BD">
      <w:tab/>
      <w:t>PE</w:t>
    </w:r>
    <w:r w:rsidRPr="00F819BD">
      <w:rPr>
        <w:rStyle w:val="HideTWBExt"/>
      </w:rPr>
      <w:t>&lt;</w:t>
    </w:r>
    <w:proofErr w:type="spellStart"/>
    <w:r w:rsidRPr="00F819BD">
      <w:rPr>
        <w:rStyle w:val="HideTWBExt"/>
      </w:rPr>
      <w:t>NoPE</w:t>
    </w:r>
    <w:proofErr w:type="spellEnd"/>
    <w:r w:rsidRPr="00F819BD">
      <w:rPr>
        <w:rStyle w:val="HideTWBExt"/>
      </w:rPr>
      <w:t>&gt;</w:t>
    </w:r>
    <w:r w:rsidRPr="00F819BD">
      <w:t>753.526</w:t>
    </w:r>
    <w:r w:rsidRPr="00F819BD">
      <w:rPr>
        <w:rStyle w:val="HideTWBExt"/>
      </w:rPr>
      <w:t>&lt;/</w:t>
    </w:r>
    <w:proofErr w:type="spellStart"/>
    <w:r w:rsidRPr="00F819BD">
      <w:rPr>
        <w:rStyle w:val="HideTWBExt"/>
      </w:rPr>
      <w:t>NoPE</w:t>
    </w:r>
    <w:proofErr w:type="spellEnd"/>
    <w:r w:rsidRPr="00F819BD">
      <w:rPr>
        <w:rStyle w:val="HideTWBExt"/>
      </w:rPr>
      <w:t>&gt;&lt;Version&gt;</w:t>
    </w:r>
    <w:r w:rsidRPr="00F819BD">
      <w:t>v02-00</w:t>
    </w:r>
    <w:r w:rsidRPr="00F819BD">
      <w:rPr>
        <w:rStyle w:val="HideTWBExt"/>
      </w:rPr>
      <w:t>&lt;/</w:t>
    </w:r>
    <w:proofErr w:type="spellStart"/>
    <w:r w:rsidRPr="00F819BD">
      <w:rPr>
        <w:rStyle w:val="HideTWBExt"/>
      </w:rPr>
      <w:t>Version</w:t>
    </w:r>
    <w:proofErr w:type="spellEnd"/>
    <w:r w:rsidRPr="00F819BD">
      <w:rPr>
        <w:rStyle w:val="HideTWBExt"/>
      </w:rPr>
      <w:t>&gt;</w:t>
    </w:r>
  </w:p>
  <w:p w:rsidR="007410FA" w:rsidRPr="00F819BD" w:rsidRDefault="007410FA" w:rsidP="00BD3165">
    <w:pPr>
      <w:pStyle w:val="EPFooter2"/>
    </w:pPr>
    <w:r w:rsidRPr="00F819BD">
      <w:t>HR</w:t>
    </w:r>
    <w:r w:rsidRPr="00F819BD">
      <w:tab/>
    </w:r>
    <w:r w:rsidRPr="00F819BD">
      <w:rPr>
        <w:b w:val="0"/>
        <w:i/>
        <w:color w:val="C0C0C0"/>
        <w:sz w:val="22"/>
      </w:rPr>
      <w:t>Ujedinjena u raznolikosti</w:t>
    </w:r>
    <w:r w:rsidRPr="00F819BD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19BD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19B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19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CFF" w:rsidRPr="00F819BD" w:rsidRDefault="00361CFF">
      <w:r w:rsidRPr="00F819BD">
        <w:separator/>
      </w:r>
    </w:p>
  </w:footnote>
  <w:footnote w:type="continuationSeparator" w:id="0">
    <w:p w:rsidR="00361CFF" w:rsidRPr="00F819BD" w:rsidRDefault="00361CFF">
      <w:r w:rsidRPr="00F819BD">
        <w:continuationSeparator/>
      </w:r>
    </w:p>
  </w:footnote>
  <w:footnote w:id="1">
    <w:p w:rsidR="007410FA" w:rsidRPr="00F819BD" w:rsidRDefault="007410FA" w:rsidP="00F819BD">
      <w:pPr>
        <w:pStyle w:val="FootnoteText"/>
        <w:ind w:left="567" w:hanging="567"/>
        <w:rPr>
          <w:sz w:val="24"/>
          <w:lang w:val="hr-HR"/>
        </w:rPr>
      </w:pPr>
      <w:r w:rsidRPr="00F819BD">
        <w:rPr>
          <w:rStyle w:val="FootnoteReference"/>
          <w:sz w:val="24"/>
          <w:lang w:val="hr-HR"/>
        </w:rPr>
        <w:footnoteRef/>
      </w:r>
      <w:r w:rsidR="00F819BD" w:rsidRPr="00F819BD">
        <w:rPr>
          <w:sz w:val="24"/>
          <w:lang w:val="hr-HR"/>
        </w:rPr>
        <w:t xml:space="preserve"> </w:t>
      </w:r>
      <w:r w:rsidR="00F819BD" w:rsidRPr="00F819BD">
        <w:rPr>
          <w:sz w:val="24"/>
          <w:lang w:val="hr-HR"/>
        </w:rPr>
        <w:tab/>
      </w:r>
      <w:r w:rsidRPr="00F819BD">
        <w:rPr>
          <w:sz w:val="24"/>
          <w:lang w:val="hr-HR"/>
        </w:rPr>
        <w:t>SL C, C/2023/594, 27.10.2023.</w:t>
      </w:r>
    </w:p>
  </w:footnote>
  <w:footnote w:id="2">
    <w:p w:rsidR="007410FA" w:rsidRPr="00F819BD" w:rsidRDefault="007410FA" w:rsidP="00F819BD">
      <w:pPr>
        <w:pStyle w:val="FootnoteText"/>
        <w:ind w:left="567" w:hanging="567"/>
        <w:rPr>
          <w:sz w:val="24"/>
          <w:lang w:val="hr-HR"/>
        </w:rPr>
      </w:pPr>
      <w:r w:rsidRPr="00F819BD">
        <w:rPr>
          <w:rStyle w:val="FootnoteReference"/>
          <w:sz w:val="24"/>
          <w:lang w:val="hr-HR"/>
        </w:rPr>
        <w:footnoteRef/>
      </w:r>
      <w:r w:rsidR="00F819BD" w:rsidRPr="00F819BD">
        <w:rPr>
          <w:sz w:val="24"/>
          <w:lang w:val="hr-HR"/>
        </w:rPr>
        <w:t xml:space="preserve"> </w:t>
      </w:r>
      <w:r w:rsidR="00F819BD" w:rsidRPr="00F819BD">
        <w:rPr>
          <w:sz w:val="24"/>
          <w:lang w:val="hr-HR"/>
        </w:rPr>
        <w:tab/>
      </w:r>
      <w:r w:rsidRPr="00F819BD">
        <w:rPr>
          <w:sz w:val="24"/>
          <w:lang w:val="hr-HR"/>
        </w:rPr>
        <w:t>SL C, C/2023/112, 12.10.2023.</w:t>
      </w:r>
    </w:p>
  </w:footnote>
  <w:footnote w:id="3">
    <w:p w:rsidR="007410FA" w:rsidRPr="00F819BD" w:rsidRDefault="007410FA" w:rsidP="00F819BD">
      <w:pPr>
        <w:pStyle w:val="FootnoteText"/>
        <w:ind w:left="567" w:hanging="567"/>
        <w:rPr>
          <w:sz w:val="24"/>
          <w:lang w:val="hr-HR"/>
        </w:rPr>
      </w:pPr>
      <w:r w:rsidRPr="00F819BD">
        <w:rPr>
          <w:rStyle w:val="FootnoteReference"/>
          <w:sz w:val="24"/>
          <w:lang w:val="hr-HR"/>
        </w:rPr>
        <w:footnoteRef/>
      </w:r>
      <w:r w:rsidR="00F819BD" w:rsidRPr="00F819BD">
        <w:rPr>
          <w:sz w:val="24"/>
          <w:lang w:val="hr-HR"/>
        </w:rPr>
        <w:t xml:space="preserve"> </w:t>
      </w:r>
      <w:r w:rsidR="00F819BD" w:rsidRPr="00F819BD">
        <w:rPr>
          <w:sz w:val="24"/>
          <w:lang w:val="hr-HR"/>
        </w:rPr>
        <w:tab/>
      </w:r>
      <w:r w:rsidRPr="00F819BD">
        <w:rPr>
          <w:sz w:val="24"/>
          <w:lang w:val="hr-HR"/>
        </w:rPr>
        <w:t>SL L 193, 30.7.2018., str. 1.</w:t>
      </w:r>
    </w:p>
  </w:footnote>
  <w:footnote w:id="4">
    <w:p w:rsidR="007410FA" w:rsidRPr="00F819BD" w:rsidRDefault="007410FA" w:rsidP="00F819BD">
      <w:pPr>
        <w:pStyle w:val="FootnoteText"/>
        <w:ind w:left="567" w:hanging="567"/>
        <w:rPr>
          <w:sz w:val="24"/>
          <w:lang w:val="hr-HR"/>
        </w:rPr>
      </w:pPr>
      <w:r w:rsidRPr="00F819BD">
        <w:rPr>
          <w:rStyle w:val="FootnoteReference"/>
          <w:sz w:val="24"/>
          <w:lang w:val="hr-HR"/>
        </w:rPr>
        <w:footnoteRef/>
      </w:r>
      <w:r w:rsidR="00F819BD" w:rsidRPr="00F819BD">
        <w:rPr>
          <w:sz w:val="24"/>
          <w:lang w:val="hr-HR"/>
        </w:rPr>
        <w:t xml:space="preserve"> </w:t>
      </w:r>
      <w:r w:rsidR="00F819BD" w:rsidRPr="00F819BD">
        <w:rPr>
          <w:sz w:val="24"/>
          <w:lang w:val="hr-HR"/>
        </w:rPr>
        <w:tab/>
      </w:r>
      <w:r w:rsidRPr="00F819BD">
        <w:rPr>
          <w:sz w:val="24"/>
          <w:lang w:val="hr-HR"/>
        </w:rPr>
        <w:t>SL L 208, 5.8.2002., str. 1.</w:t>
      </w:r>
    </w:p>
  </w:footnote>
  <w:footnote w:id="5">
    <w:p w:rsidR="007410FA" w:rsidRPr="00F819BD" w:rsidRDefault="007410FA" w:rsidP="00F819BD">
      <w:pPr>
        <w:pStyle w:val="FootnoteText"/>
        <w:ind w:left="567" w:hanging="567"/>
        <w:rPr>
          <w:sz w:val="24"/>
          <w:lang w:val="hr-HR"/>
        </w:rPr>
      </w:pPr>
      <w:r w:rsidRPr="00F819BD">
        <w:rPr>
          <w:rStyle w:val="FootnoteReference"/>
          <w:sz w:val="24"/>
          <w:lang w:val="hr-HR"/>
        </w:rPr>
        <w:footnoteRef/>
      </w:r>
      <w:r w:rsidR="00F819BD" w:rsidRPr="00F819BD">
        <w:rPr>
          <w:sz w:val="24"/>
          <w:lang w:val="hr-HR"/>
        </w:rPr>
        <w:t xml:space="preserve"> </w:t>
      </w:r>
      <w:r w:rsidR="00F819BD" w:rsidRPr="00F819BD">
        <w:rPr>
          <w:sz w:val="24"/>
          <w:lang w:val="hr-HR"/>
        </w:rPr>
        <w:tab/>
      </w:r>
      <w:r w:rsidRPr="00F819BD">
        <w:rPr>
          <w:sz w:val="24"/>
          <w:lang w:val="hr-HR"/>
        </w:rPr>
        <w:t>SL L 122, 10.5.2019., str. 1.</w:t>
      </w:r>
    </w:p>
  </w:footnote>
  <w:footnote w:id="6">
    <w:p w:rsidR="007410FA" w:rsidRPr="00F819BD" w:rsidRDefault="007410FA" w:rsidP="00F819BD">
      <w:pPr>
        <w:pStyle w:val="FootnoteText"/>
        <w:ind w:left="567" w:hanging="567"/>
        <w:rPr>
          <w:sz w:val="24"/>
          <w:lang w:val="hr-HR"/>
        </w:rPr>
      </w:pPr>
      <w:r w:rsidRPr="00F819BD">
        <w:rPr>
          <w:rStyle w:val="FootnoteReference"/>
          <w:sz w:val="24"/>
          <w:lang w:val="hr-HR"/>
        </w:rPr>
        <w:footnoteRef/>
      </w:r>
      <w:r w:rsidR="00F819BD" w:rsidRPr="00F819BD">
        <w:rPr>
          <w:sz w:val="24"/>
          <w:lang w:val="hr-HR"/>
        </w:rPr>
        <w:t xml:space="preserve"> </w:t>
      </w:r>
      <w:r w:rsidR="00F819BD" w:rsidRPr="00F819BD">
        <w:rPr>
          <w:sz w:val="24"/>
          <w:lang w:val="hr-HR"/>
        </w:rPr>
        <w:tab/>
      </w:r>
      <w:r w:rsidRPr="00F819BD">
        <w:rPr>
          <w:sz w:val="24"/>
          <w:lang w:val="hr-HR"/>
        </w:rPr>
        <w:t>SL C, C/2023594, 27.10.2023.</w:t>
      </w:r>
    </w:p>
  </w:footnote>
  <w:footnote w:id="7">
    <w:p w:rsidR="007410FA" w:rsidRPr="00F819BD" w:rsidRDefault="007410FA" w:rsidP="00F819BD">
      <w:pPr>
        <w:pStyle w:val="FootnoteText"/>
        <w:ind w:left="567" w:hanging="567"/>
        <w:rPr>
          <w:sz w:val="24"/>
          <w:lang w:val="hr-HR"/>
        </w:rPr>
      </w:pPr>
      <w:r w:rsidRPr="00F819BD">
        <w:rPr>
          <w:rStyle w:val="FootnoteReference"/>
          <w:sz w:val="24"/>
          <w:lang w:val="hr-HR"/>
        </w:rPr>
        <w:footnoteRef/>
      </w:r>
      <w:r w:rsidR="00F819BD" w:rsidRPr="00F819BD">
        <w:rPr>
          <w:sz w:val="24"/>
          <w:lang w:val="hr-HR"/>
        </w:rPr>
        <w:t xml:space="preserve"> </w:t>
      </w:r>
      <w:r w:rsidR="00F819BD" w:rsidRPr="00F819BD">
        <w:rPr>
          <w:sz w:val="24"/>
          <w:lang w:val="hr-HR"/>
        </w:rPr>
        <w:tab/>
      </w:r>
      <w:r w:rsidRPr="00F819BD">
        <w:rPr>
          <w:sz w:val="24"/>
          <w:lang w:val="hr-HR"/>
        </w:rPr>
        <w:t>SL C, C/2023/112, 12.10.2023.</w:t>
      </w:r>
    </w:p>
  </w:footnote>
  <w:footnote w:id="8">
    <w:p w:rsidR="007410FA" w:rsidRPr="00F819BD" w:rsidRDefault="007410FA" w:rsidP="00F819BD">
      <w:pPr>
        <w:pStyle w:val="FootnoteText"/>
        <w:ind w:left="567" w:hanging="567"/>
        <w:rPr>
          <w:sz w:val="24"/>
          <w:lang w:val="hr-HR"/>
        </w:rPr>
      </w:pPr>
      <w:r w:rsidRPr="00F819BD">
        <w:rPr>
          <w:rStyle w:val="FootnoteReference"/>
          <w:sz w:val="24"/>
          <w:lang w:val="hr-HR"/>
        </w:rPr>
        <w:footnoteRef/>
      </w:r>
      <w:r w:rsidR="00F819BD" w:rsidRPr="00F819BD">
        <w:rPr>
          <w:sz w:val="24"/>
          <w:lang w:val="hr-HR"/>
        </w:rPr>
        <w:t xml:space="preserve"> </w:t>
      </w:r>
      <w:r w:rsidR="00F819BD" w:rsidRPr="00F819BD">
        <w:rPr>
          <w:sz w:val="24"/>
          <w:lang w:val="hr-HR"/>
        </w:rPr>
        <w:tab/>
      </w:r>
      <w:r w:rsidRPr="00F819BD">
        <w:rPr>
          <w:sz w:val="24"/>
          <w:lang w:val="hr-HR"/>
        </w:rPr>
        <w:t>SL L 193, 30.7.2018., str. 1.</w:t>
      </w:r>
    </w:p>
  </w:footnote>
  <w:footnote w:id="9">
    <w:p w:rsidR="007410FA" w:rsidRPr="00F819BD" w:rsidRDefault="007410FA" w:rsidP="00F819BD">
      <w:pPr>
        <w:pStyle w:val="FootnoteText"/>
        <w:ind w:left="567" w:hanging="567"/>
        <w:rPr>
          <w:sz w:val="24"/>
          <w:lang w:val="hr-HR"/>
        </w:rPr>
      </w:pPr>
      <w:r w:rsidRPr="00F819BD">
        <w:rPr>
          <w:rStyle w:val="FootnoteReference"/>
          <w:sz w:val="24"/>
          <w:lang w:val="hr-HR"/>
        </w:rPr>
        <w:footnoteRef/>
      </w:r>
      <w:r w:rsidR="00F819BD" w:rsidRPr="00F819BD">
        <w:rPr>
          <w:sz w:val="24"/>
          <w:lang w:val="hr-HR"/>
        </w:rPr>
        <w:t xml:space="preserve"> </w:t>
      </w:r>
      <w:r w:rsidR="00F819BD" w:rsidRPr="00F819BD">
        <w:rPr>
          <w:sz w:val="24"/>
          <w:lang w:val="hr-HR"/>
        </w:rPr>
        <w:tab/>
      </w:r>
      <w:r w:rsidRPr="00F819BD">
        <w:rPr>
          <w:sz w:val="24"/>
          <w:lang w:val="hr-HR"/>
        </w:rPr>
        <w:t>SL L 208, 5.8.2002., str. 1.</w:t>
      </w:r>
    </w:p>
  </w:footnote>
  <w:footnote w:id="10">
    <w:p w:rsidR="007410FA" w:rsidRPr="00F819BD" w:rsidRDefault="007410FA" w:rsidP="00F819BD">
      <w:pPr>
        <w:pStyle w:val="FootnoteText"/>
        <w:ind w:left="567" w:hanging="567"/>
        <w:rPr>
          <w:sz w:val="24"/>
          <w:lang w:val="hr-HR"/>
        </w:rPr>
      </w:pPr>
      <w:r w:rsidRPr="00F819BD">
        <w:rPr>
          <w:rStyle w:val="FootnoteReference"/>
          <w:sz w:val="24"/>
          <w:lang w:val="hr-HR"/>
        </w:rPr>
        <w:footnoteRef/>
      </w:r>
      <w:r w:rsidR="00F819BD" w:rsidRPr="00F819BD">
        <w:rPr>
          <w:sz w:val="24"/>
          <w:lang w:val="hr-HR"/>
        </w:rPr>
        <w:t xml:space="preserve"> </w:t>
      </w:r>
      <w:r w:rsidR="00F819BD" w:rsidRPr="00F819BD">
        <w:rPr>
          <w:sz w:val="24"/>
          <w:lang w:val="hr-HR"/>
        </w:rPr>
        <w:tab/>
      </w:r>
      <w:r w:rsidRPr="00F819BD">
        <w:rPr>
          <w:sz w:val="24"/>
          <w:lang w:val="hr-HR"/>
        </w:rPr>
        <w:t>SL L 122, 10.5.2019., str. 1.</w:t>
      </w:r>
    </w:p>
  </w:footnote>
  <w:footnote w:id="11">
    <w:p w:rsidR="007410FA" w:rsidRPr="00F819BD" w:rsidRDefault="007410FA" w:rsidP="00F819BD">
      <w:pPr>
        <w:pStyle w:val="FootnoteText"/>
        <w:ind w:left="567" w:hanging="567"/>
        <w:rPr>
          <w:sz w:val="24"/>
          <w:lang w:val="hr-HR"/>
        </w:rPr>
      </w:pPr>
      <w:r w:rsidRPr="00F819BD">
        <w:rPr>
          <w:rStyle w:val="FootnoteReference"/>
          <w:sz w:val="24"/>
          <w:lang w:val="hr-HR"/>
        </w:rPr>
        <w:footnoteRef/>
      </w:r>
      <w:r w:rsidR="00F819BD" w:rsidRPr="00F819BD">
        <w:rPr>
          <w:sz w:val="24"/>
          <w:lang w:val="hr-HR"/>
        </w:rPr>
        <w:t xml:space="preserve"> </w:t>
      </w:r>
      <w:r w:rsidR="00F819BD" w:rsidRPr="00F819BD">
        <w:rPr>
          <w:sz w:val="24"/>
          <w:lang w:val="hr-HR"/>
        </w:rPr>
        <w:tab/>
      </w:r>
      <w:r w:rsidR="00987C1A">
        <w:rPr>
          <w:sz w:val="24"/>
          <w:lang w:val="hr-HR"/>
        </w:rPr>
        <w:t xml:space="preserve">SL C </w:t>
      </w:r>
      <w:r w:rsidR="00987C1A">
        <w:rPr>
          <w:sz w:val="24"/>
          <w:lang w:val="hr-HR"/>
        </w:rPr>
        <w:t>73</w:t>
      </w:r>
      <w:bookmarkStart w:id="10" w:name="_GoBack"/>
      <w:bookmarkEnd w:id="10"/>
      <w:r w:rsidR="00987C1A">
        <w:rPr>
          <w:sz w:val="24"/>
          <w:lang w:val="hr-HR"/>
        </w:rPr>
        <w:t>, 28.2.2023., str. 91</w:t>
      </w:r>
      <w:r w:rsidRPr="00F819BD">
        <w:rPr>
          <w:sz w:val="24"/>
          <w:lang w:val="hr-HR"/>
        </w:rPr>
        <w:t>.</w:t>
      </w:r>
    </w:p>
  </w:footnote>
  <w:footnote w:id="12">
    <w:p w:rsidR="007410FA" w:rsidRPr="00F819BD" w:rsidRDefault="007410FA" w:rsidP="00F819BD">
      <w:pPr>
        <w:pStyle w:val="FootnoteText"/>
        <w:ind w:left="567" w:hanging="567"/>
        <w:rPr>
          <w:sz w:val="24"/>
          <w:lang w:val="hr-HR"/>
        </w:rPr>
      </w:pPr>
      <w:r w:rsidRPr="00F819BD">
        <w:rPr>
          <w:rStyle w:val="FootnoteReference"/>
          <w:sz w:val="24"/>
          <w:lang w:val="hr-HR"/>
        </w:rPr>
        <w:footnoteRef/>
      </w:r>
      <w:r w:rsidR="00F819BD" w:rsidRPr="00F819BD">
        <w:rPr>
          <w:sz w:val="24"/>
          <w:lang w:val="hr-HR"/>
        </w:rPr>
        <w:t xml:space="preserve"> </w:t>
      </w:r>
      <w:r w:rsidR="00F819BD" w:rsidRPr="00F819BD">
        <w:rPr>
          <w:sz w:val="24"/>
          <w:lang w:val="hr-HR"/>
        </w:rPr>
        <w:tab/>
      </w:r>
      <w:r w:rsidRPr="00F819BD">
        <w:rPr>
          <w:sz w:val="24"/>
          <w:lang w:val="hr-HR"/>
        </w:rPr>
        <w:t>Usvojeni tekstovi</w:t>
      </w:r>
      <w:r w:rsidR="00FD028A">
        <w:rPr>
          <w:sz w:val="24"/>
          <w:lang w:val="hr-HR"/>
        </w:rPr>
        <w:t>, P9_TA(2024)0280</w:t>
      </w:r>
      <w:r w:rsidRPr="00F819BD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19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19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819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7/2024"/>
    <w:docVar w:name="dvlangue" w:val="HR"/>
    <w:docVar w:name="dvnumam" w:val="0"/>
    <w:docVar w:name="dvpe" w:val="753.526"/>
    <w:docVar w:name="dvrapporteur" w:val="Izvjestitelj: "/>
    <w:docVar w:name="dvtitre" w:val="Odluka Europskog parlamenta od .... 2024. o razrješnici za izvršenje proračuna Europske agencije za pomorsku sigurnost za financijsku godinu 2022.(2023/2158(DEC))"/>
  </w:docVars>
  <w:rsids>
    <w:rsidRoot w:val="00361CF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1CFF"/>
    <w:rsid w:val="00395FA1"/>
    <w:rsid w:val="003E15D4"/>
    <w:rsid w:val="00411CCE"/>
    <w:rsid w:val="0041666E"/>
    <w:rsid w:val="00421060"/>
    <w:rsid w:val="004505DB"/>
    <w:rsid w:val="00471C19"/>
    <w:rsid w:val="004867E3"/>
    <w:rsid w:val="00494A28"/>
    <w:rsid w:val="004B44D4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10FA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C1A"/>
    <w:rsid w:val="00A1687D"/>
    <w:rsid w:val="00A43E52"/>
    <w:rsid w:val="00A4678D"/>
    <w:rsid w:val="00A474B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CCA"/>
    <w:rsid w:val="00F5134D"/>
    <w:rsid w:val="00F74202"/>
    <w:rsid w:val="00F819BD"/>
    <w:rsid w:val="00F87713"/>
    <w:rsid w:val="00FB4360"/>
    <w:rsid w:val="00FD028A"/>
    <w:rsid w:val="00FD0C70"/>
    <w:rsid w:val="00FF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C8DC3A"/>
  <w15:chartTrackingRefBased/>
  <w15:docId w15:val="{38DFC4F7-0106-4492-B003-6795DB79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410F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410FA"/>
    <w:pPr>
      <w:spacing w:before="480" w:after="240"/>
    </w:pPr>
  </w:style>
  <w:style w:type="paragraph" w:customStyle="1" w:styleId="PageHeading">
    <w:name w:val="PageHeading"/>
    <w:basedOn w:val="Normal"/>
    <w:rsid w:val="007410F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410FA"/>
    <w:rPr>
      <w:b/>
    </w:rPr>
  </w:style>
  <w:style w:type="paragraph" w:customStyle="1" w:styleId="NormalHanging12a">
    <w:name w:val="NormalHanging12a"/>
    <w:basedOn w:val="Normal"/>
    <w:link w:val="NormalHanging12aChar"/>
    <w:rsid w:val="007410F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410FA"/>
    <w:pPr>
      <w:spacing w:after="240"/>
      <w:jc w:val="center"/>
    </w:pPr>
  </w:style>
  <w:style w:type="paragraph" w:styleId="Header">
    <w:name w:val="header"/>
    <w:basedOn w:val="Normal"/>
    <w:link w:val="HeaderChar"/>
    <w:rsid w:val="007410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410FA"/>
    <w:rPr>
      <w:sz w:val="24"/>
      <w:lang w:val="hr-HR"/>
    </w:rPr>
  </w:style>
  <w:style w:type="paragraph" w:customStyle="1" w:styleId="EPFooter">
    <w:name w:val="EPFooter"/>
    <w:basedOn w:val="Normal"/>
    <w:rsid w:val="007410F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7410FA"/>
    <w:rPr>
      <w:sz w:val="24"/>
      <w:lang w:val="hr-HR"/>
    </w:rPr>
  </w:style>
  <w:style w:type="paragraph" w:customStyle="1" w:styleId="Normal12Hanging">
    <w:name w:val="Normal12Hanging"/>
    <w:basedOn w:val="Normal"/>
    <w:rsid w:val="007410FA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F20C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20CCA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C5A56-F401-421C-9071-D9D039D5D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2890</Words>
  <Characters>17469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2024-05-23T13:45:00Z</dcterms:created>
  <dcterms:modified xsi:type="dcterms:W3CDTF">2024-05-23T13:45:00Z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P9_TA(2024)0248_</vt:lpwstr>
  </property>
  <property fmtid="{D5CDD505-2E9C-101B-9397-08002B2CF9AE}" pid="4" name="&lt;Type&gt;">
    <vt:lpwstr>RR</vt:lpwstr>
  </property>
</Properties>
</file>