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A7F86" w:rsidTr="0010095E">
        <w:trPr>
          <w:trHeight w:hRule="exact" w:val="1418"/>
        </w:trPr>
        <w:tc>
          <w:tcPr>
            <w:tcW w:w="6804" w:type="dxa"/>
            <w:shd w:val="clear" w:color="auto" w:fill="auto"/>
            <w:vAlign w:val="center"/>
          </w:tcPr>
          <w:p w:rsidR="00751A4A" w:rsidRPr="002A7F86" w:rsidRDefault="00B060EF" w:rsidP="0010095E">
            <w:pPr>
              <w:pStyle w:val="EPName"/>
            </w:pPr>
            <w:r w:rsidRPr="002A7F86">
              <w:t>Európai Parlament</w:t>
            </w:r>
          </w:p>
          <w:p w:rsidR="00751A4A" w:rsidRPr="002A7F86" w:rsidRDefault="00817416" w:rsidP="00756632">
            <w:pPr>
              <w:pStyle w:val="EPTerm"/>
              <w:rPr>
                <w:rStyle w:val="HideTWBExt"/>
                <w:noProof w:val="0"/>
                <w:vanish w:val="0"/>
                <w:color w:val="auto"/>
              </w:rPr>
            </w:pPr>
            <w:r w:rsidRPr="002A7F86">
              <w:t>2019-2024</w:t>
            </w:r>
          </w:p>
        </w:tc>
        <w:tc>
          <w:tcPr>
            <w:tcW w:w="2268" w:type="dxa"/>
            <w:shd w:val="clear" w:color="auto" w:fill="auto"/>
          </w:tcPr>
          <w:p w:rsidR="00751A4A" w:rsidRPr="002A7F86" w:rsidRDefault="00187494" w:rsidP="0010095E">
            <w:pPr>
              <w:pStyle w:val="EPLogo"/>
            </w:pPr>
            <w:r w:rsidRPr="002A7F8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A7F86" w:rsidRDefault="00D058B8" w:rsidP="004C5D52">
      <w:pPr>
        <w:pStyle w:val="LineTop"/>
      </w:pPr>
    </w:p>
    <w:p w:rsidR="00680577" w:rsidRPr="002A7F86" w:rsidRDefault="00B060EF" w:rsidP="00680577">
      <w:pPr>
        <w:pStyle w:val="EPBodyTA1"/>
      </w:pPr>
      <w:r w:rsidRPr="002A7F86">
        <w:t>ELFOGADOTT SZÖVEGEK</w:t>
      </w:r>
    </w:p>
    <w:p w:rsidR="00D058B8" w:rsidRPr="002A7F86" w:rsidRDefault="00D058B8" w:rsidP="00D058B8">
      <w:pPr>
        <w:pStyle w:val="LineBottom"/>
      </w:pPr>
    </w:p>
    <w:p w:rsidR="00B060EF" w:rsidRPr="002A7F86" w:rsidRDefault="00B060EF" w:rsidP="00B060EF">
      <w:pPr>
        <w:pStyle w:val="ATHeading1"/>
      </w:pPr>
      <w:bookmarkStart w:id="0" w:name="TANumber"/>
      <w:r w:rsidRPr="002A7F86">
        <w:t>P9_</w:t>
      </w:r>
      <w:proofErr w:type="gramStart"/>
      <w:r w:rsidRPr="002A7F86">
        <w:t>TA(</w:t>
      </w:r>
      <w:proofErr w:type="gramEnd"/>
      <w:r w:rsidRPr="002A7F86">
        <w:t>2024)0</w:t>
      </w:r>
      <w:r w:rsidR="00DE0213" w:rsidRPr="002A7F86">
        <w:t>248</w:t>
      </w:r>
      <w:bookmarkEnd w:id="0"/>
    </w:p>
    <w:p w:rsidR="00B060EF" w:rsidRPr="002A7F86" w:rsidRDefault="00A81D50" w:rsidP="00B060EF">
      <w:pPr>
        <w:pStyle w:val="ATHeading2"/>
      </w:pPr>
      <w:r w:rsidRPr="002A7F86">
        <w:t xml:space="preserve">2022. évi </w:t>
      </w:r>
      <w:proofErr w:type="gramStart"/>
      <w:r w:rsidRPr="002A7F86">
        <w:t>mentesítés</w:t>
      </w:r>
      <w:proofErr w:type="gramEnd"/>
      <w:r w:rsidRPr="002A7F86">
        <w:t>: Európai Tengerészeti Biztonsági Ügynökség</w:t>
      </w:r>
    </w:p>
    <w:p w:rsidR="00B060EF" w:rsidRPr="002A7F86" w:rsidRDefault="00B060EF" w:rsidP="00B060EF">
      <w:pPr>
        <w:rPr>
          <w:i/>
          <w:vanish/>
        </w:rPr>
      </w:pPr>
      <w:r w:rsidRPr="002A7F86">
        <w:rPr>
          <w:i/>
        </w:rPr>
        <w:fldChar w:fldCharType="begin"/>
      </w:r>
      <w:r w:rsidRPr="002A7F86">
        <w:rPr>
          <w:i/>
        </w:rPr>
        <w:instrText xml:space="preserve"> TC"(</w:instrText>
      </w:r>
      <w:bookmarkStart w:id="1" w:name="DocNumber"/>
      <w:r w:rsidRPr="002A7F86">
        <w:rPr>
          <w:i/>
        </w:rPr>
        <w:instrText>A9-0107/2024</w:instrText>
      </w:r>
      <w:bookmarkEnd w:id="1"/>
      <w:r w:rsidRPr="002A7F86">
        <w:rPr>
          <w:i/>
        </w:rPr>
        <w:instrText xml:space="preserve"> - Előadó: Petri Sarvamaa)"\l3 \n&gt; \* MERGEFORMAT </w:instrText>
      </w:r>
      <w:r w:rsidRPr="002A7F86">
        <w:rPr>
          <w:i/>
        </w:rPr>
        <w:fldChar w:fldCharType="end"/>
      </w:r>
    </w:p>
    <w:p w:rsidR="00B060EF" w:rsidRPr="002A7F86" w:rsidRDefault="00B060EF" w:rsidP="00B060EF">
      <w:pPr>
        <w:rPr>
          <w:vanish/>
        </w:rPr>
      </w:pPr>
      <w:bookmarkStart w:id="2" w:name="Commission"/>
      <w:r w:rsidRPr="002A7F86">
        <w:rPr>
          <w:vanish/>
        </w:rPr>
        <w:t>Költségvetési Ellenőrző Bizottság</w:t>
      </w:r>
      <w:bookmarkEnd w:id="2"/>
    </w:p>
    <w:p w:rsidR="00B060EF" w:rsidRPr="002A7F86" w:rsidRDefault="00B060EF" w:rsidP="00B060EF">
      <w:pPr>
        <w:rPr>
          <w:vanish/>
        </w:rPr>
      </w:pPr>
      <w:bookmarkStart w:id="3" w:name="PE"/>
      <w:r w:rsidRPr="002A7F86">
        <w:rPr>
          <w:vanish/>
        </w:rPr>
        <w:t>PE753.526</w:t>
      </w:r>
      <w:bookmarkEnd w:id="3"/>
    </w:p>
    <w:p w:rsidR="00B060EF" w:rsidRPr="002A7F86" w:rsidRDefault="00A81D50" w:rsidP="00B060EF">
      <w:pPr>
        <w:pStyle w:val="ATHeading3"/>
      </w:pPr>
      <w:bookmarkStart w:id="4" w:name="Sujet"/>
      <w:r w:rsidRPr="002A7F86">
        <w:t xml:space="preserve">1. </w:t>
      </w:r>
      <w:r w:rsidR="00B060EF" w:rsidRPr="002A7F86">
        <w:t xml:space="preserve">Az Európai Parlament 2024. </w:t>
      </w:r>
      <w:r w:rsidRPr="002A7F86">
        <w:t>április 11</w:t>
      </w:r>
      <w:r w:rsidR="00B060EF" w:rsidRPr="002A7F86">
        <w:t>-i határozata az Európai Tengerészeti Biztonsági Ügynökség 2022. évi pénzügyi évre szóló költségvetésének végrehajtására vonatkozó mentesítésről</w:t>
      </w:r>
      <w:bookmarkEnd w:id="4"/>
      <w:r w:rsidR="00B060EF" w:rsidRPr="002A7F86">
        <w:t xml:space="preserve"> </w:t>
      </w:r>
      <w:bookmarkStart w:id="5" w:name="References"/>
      <w:r w:rsidR="00B060EF" w:rsidRPr="002A7F86">
        <w:t>(2023/</w:t>
      </w:r>
      <w:proofErr w:type="gramStart"/>
      <w:r w:rsidR="00B060EF" w:rsidRPr="002A7F86">
        <w:t>2158(</w:t>
      </w:r>
      <w:proofErr w:type="gramEnd"/>
      <w:r w:rsidR="00B060EF" w:rsidRPr="002A7F86">
        <w:t>DEC))</w:t>
      </w:r>
      <w:bookmarkEnd w:id="5"/>
    </w:p>
    <w:p w:rsidR="003C7FF6" w:rsidRPr="002A7F86" w:rsidRDefault="003C7FF6" w:rsidP="003C7FF6">
      <w:pPr>
        <w:pStyle w:val="EPComma"/>
      </w:pPr>
      <w:bookmarkStart w:id="6" w:name="TextBodyBegin"/>
      <w:bookmarkEnd w:id="6"/>
      <w:r w:rsidRPr="002A7F86">
        <w:rPr>
          <w:i/>
        </w:rPr>
        <w:t>Az Európai Parlament,</w:t>
      </w:r>
    </w:p>
    <w:p w:rsidR="003C7FF6" w:rsidRPr="002A7F86" w:rsidRDefault="003C7FF6" w:rsidP="00A81D50">
      <w:pPr>
        <w:pStyle w:val="NormalHanging12a"/>
        <w:widowControl/>
      </w:pPr>
      <w:r w:rsidRPr="002A7F86">
        <w:t>–</w:t>
      </w:r>
      <w:r w:rsidRPr="002A7F86">
        <w:tab/>
        <w:t>tekintettel az Európai Tengerészeti Biztonsági Ügynökség 2022. évi pénzügyi évre vonatkozó végleges éves beszámolójára,</w:t>
      </w:r>
    </w:p>
    <w:p w:rsidR="003C7FF6" w:rsidRPr="002A7F86" w:rsidRDefault="003C7FF6" w:rsidP="00A81D50">
      <w:pPr>
        <w:pStyle w:val="NormalHanging12a"/>
        <w:widowControl/>
      </w:pPr>
      <w:r w:rsidRPr="002A7F86">
        <w:t>–</w:t>
      </w:r>
      <w:r w:rsidRPr="002A7F86">
        <w:tab/>
        <w:t>tekintettel a 2022. évi pénzügyi évre vonatkozóan az uniós ügynökségekről szóló éves számvevőszéki jelentésre az ügynökségek válaszaival együtt</w:t>
      </w:r>
      <w:r w:rsidRPr="002A7F86">
        <w:rPr>
          <w:rStyle w:val="FootnoteReference"/>
        </w:rPr>
        <w:footnoteReference w:id="1"/>
      </w:r>
      <w:r w:rsidRPr="002A7F86">
        <w:t>,</w:t>
      </w:r>
    </w:p>
    <w:p w:rsidR="003C7FF6" w:rsidRPr="002A7F86" w:rsidRDefault="003C7FF6" w:rsidP="00A81D50">
      <w:pPr>
        <w:pStyle w:val="NormalHanging12a"/>
        <w:widowControl/>
      </w:pPr>
      <w:r w:rsidRPr="002A7F86">
        <w:t>–</w:t>
      </w:r>
      <w:r w:rsidRPr="002A7F86">
        <w:tab/>
        <w:t xml:space="preserve">tekintettel a Számvevőszéknek a 2022. évi pénzügyi évre vonatkozóan az elszámolás megbízhatóságát, valamint az alapjául szolgáló ügyletek jogszerűségét és szabályszerűségét igazoló, az Európai Unió működéséről szóló szerződés 287. cikke szerinti </w:t>
      </w:r>
      <w:r w:rsidR="008D2537" w:rsidRPr="002A7F86">
        <w:t xml:space="preserve">megbízhatósági </w:t>
      </w:r>
      <w:r w:rsidRPr="002A7F86">
        <w:t>nyilatkozatára</w:t>
      </w:r>
      <w:r w:rsidRPr="002A7F86">
        <w:rPr>
          <w:rStyle w:val="FootnoteReference"/>
        </w:rPr>
        <w:footnoteReference w:id="2"/>
      </w:r>
      <w:r w:rsidRPr="002A7F86">
        <w:t>,</w:t>
      </w:r>
    </w:p>
    <w:p w:rsidR="003C7FF6" w:rsidRPr="002A7F86" w:rsidRDefault="003C7FF6" w:rsidP="00A81D50">
      <w:pPr>
        <w:pStyle w:val="NormalHanging12a"/>
        <w:widowControl/>
      </w:pPr>
      <w:r w:rsidRPr="002A7F86">
        <w:t>–</w:t>
      </w:r>
      <w:r w:rsidRPr="002A7F86">
        <w:tab/>
        <w:t>tekintettel a 2022. évi pénzügyi évre vonatkozó költségvetés vé</w:t>
      </w:r>
      <w:r w:rsidR="0071433E">
        <w:t>grehajtása tekintetében az Ügynö</w:t>
      </w:r>
      <w:r w:rsidRPr="002A7F86">
        <w:t xml:space="preserve">kség számára adandó </w:t>
      </w:r>
      <w:proofErr w:type="gramStart"/>
      <w:r w:rsidRPr="002A7F86">
        <w:t>mentesítésről</w:t>
      </w:r>
      <w:proofErr w:type="gramEnd"/>
      <w:r w:rsidRPr="002A7F86">
        <w:t xml:space="preserve"> szóló, 2024. február 22-i tanácsi ajánlásra (</w:t>
      </w:r>
      <w:r w:rsidR="005372FE" w:rsidRPr="002A7F86">
        <w:t>06180</w:t>
      </w:r>
      <w:r w:rsidRPr="002A7F86">
        <w:t>/2024 – C9</w:t>
      </w:r>
      <w:r w:rsidRPr="002A7F86">
        <w:noBreakHyphen/>
      </w:r>
      <w:r w:rsidR="005372FE" w:rsidRPr="002A7F86">
        <w:t>0096</w:t>
      </w:r>
      <w:r w:rsidRPr="002A7F86">
        <w:t>/2024),</w:t>
      </w:r>
    </w:p>
    <w:p w:rsidR="003C7FF6" w:rsidRPr="002A7F86" w:rsidRDefault="003C7FF6" w:rsidP="00A81D50">
      <w:pPr>
        <w:pStyle w:val="NormalHanging12a"/>
        <w:widowControl/>
      </w:pPr>
      <w:r w:rsidRPr="002A7F86">
        <w:t>–</w:t>
      </w:r>
      <w:r w:rsidRPr="002A7F86">
        <w:tab/>
        <w:t>tekintettel az Európai Unió működéséről szóló szerződés 319. cikkére,</w:t>
      </w:r>
    </w:p>
    <w:p w:rsidR="003C7FF6" w:rsidRPr="002A7F86" w:rsidRDefault="003C7FF6" w:rsidP="00A81D50">
      <w:pPr>
        <w:pStyle w:val="NormalHanging12a"/>
        <w:widowControl/>
      </w:pPr>
      <w:proofErr w:type="gramStart"/>
      <w:r w:rsidRPr="002A7F86">
        <w:t>–</w:t>
      </w:r>
      <w:r w:rsidRPr="002A7F86">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2A7F86">
        <w:rPr>
          <w:rStyle w:val="FootnoteReference"/>
        </w:rPr>
        <w:footnoteReference w:id="3"/>
      </w:r>
      <w:r w:rsidRPr="002A7F86">
        <w:t xml:space="preserve"> és különösen annak 70. cikkére,</w:t>
      </w:r>
      <w:proofErr w:type="gramEnd"/>
    </w:p>
    <w:p w:rsidR="003C7FF6" w:rsidRPr="002A7F86" w:rsidRDefault="003C7FF6" w:rsidP="00A81D50">
      <w:pPr>
        <w:pStyle w:val="NormalHanging12a"/>
        <w:widowControl/>
      </w:pPr>
      <w:r w:rsidRPr="002A7F86">
        <w:t>–</w:t>
      </w:r>
      <w:r w:rsidRPr="002A7F86">
        <w:tab/>
        <w:t>tekintettel az Európai Tengerbiztonsági Ügynökség létrehozásáról szóló, 2002. június 27-i 1406/2002/EK európai parlamenti és tanácsi rendeletre</w:t>
      </w:r>
      <w:r w:rsidRPr="002A7F86">
        <w:rPr>
          <w:rStyle w:val="FootnoteReference"/>
        </w:rPr>
        <w:footnoteReference w:id="4"/>
      </w:r>
      <w:r w:rsidRPr="002A7F86">
        <w:t xml:space="preserve"> és különösen annak 19. cikkére,</w:t>
      </w:r>
    </w:p>
    <w:p w:rsidR="003C7FF6" w:rsidRPr="002A7F86" w:rsidRDefault="003C7FF6" w:rsidP="00A81D50">
      <w:pPr>
        <w:pStyle w:val="NormalHanging12a"/>
        <w:widowControl/>
      </w:pPr>
      <w:r w:rsidRPr="002A7F86">
        <w:lastRenderedPageBreak/>
        <w:t>–</w:t>
      </w:r>
      <w:r w:rsidRPr="002A7F86">
        <w:tab/>
        <w:t>tekintettel az Európai Unió működéséről szóló szerződés és az Euratom-Szerződés keretében létrehozott és az (EU, Euratom) 2018/1046 európai parlamenti és tanácsi rendelet 70. cikkében említett szervekre vonatkozó pénzügyi keretszabályzatról szóló 2018. december 18-i (EU) 2019/715 felhatalmazáson alapuló bizottsági rendeletre</w:t>
      </w:r>
      <w:r w:rsidRPr="002A7F86">
        <w:rPr>
          <w:rStyle w:val="FootnoteReference"/>
        </w:rPr>
        <w:footnoteReference w:id="5"/>
      </w:r>
      <w:r w:rsidRPr="002A7F86">
        <w:t xml:space="preserve"> és különösen annak 105. cikkére,</w:t>
      </w:r>
    </w:p>
    <w:p w:rsidR="003C7FF6" w:rsidRPr="002A7F86" w:rsidRDefault="003C7FF6" w:rsidP="00A81D50">
      <w:pPr>
        <w:pStyle w:val="NormalHanging12a"/>
        <w:widowControl/>
      </w:pPr>
      <w:r w:rsidRPr="002A7F86">
        <w:t>–</w:t>
      </w:r>
      <w:r w:rsidRPr="002A7F86">
        <w:tab/>
        <w:t>tekintettel eljárási szabályzata 100. cikkére és V. mellékletére,</w:t>
      </w:r>
    </w:p>
    <w:p w:rsidR="003C7FF6" w:rsidRPr="002A7F86" w:rsidRDefault="003C7FF6" w:rsidP="00A81D50">
      <w:pPr>
        <w:pStyle w:val="NormalHanging12a"/>
        <w:widowControl/>
      </w:pPr>
      <w:r w:rsidRPr="002A7F86">
        <w:t>–</w:t>
      </w:r>
      <w:r w:rsidRPr="002A7F86">
        <w:tab/>
        <w:t>tekintettel a Közlekedési és Idegenforgalmi Bizottság véleményére,</w:t>
      </w:r>
    </w:p>
    <w:p w:rsidR="003C7FF6" w:rsidRPr="002A7F86" w:rsidRDefault="003C7FF6" w:rsidP="00A81D50">
      <w:pPr>
        <w:pStyle w:val="NormalHanging12a"/>
        <w:widowControl/>
      </w:pPr>
      <w:r w:rsidRPr="002A7F86">
        <w:t>–</w:t>
      </w:r>
      <w:r w:rsidRPr="002A7F86">
        <w:tab/>
        <w:t>tekintettel a Költségvetési Ellenőrző Bizottság jelentésére (A9-0107/2024),</w:t>
      </w:r>
    </w:p>
    <w:p w:rsidR="003C7FF6" w:rsidRPr="002A7F86" w:rsidRDefault="003C7FF6" w:rsidP="00A81D50">
      <w:pPr>
        <w:pStyle w:val="NormalHanging12a"/>
        <w:widowControl/>
      </w:pPr>
      <w:r w:rsidRPr="002A7F86">
        <w:t>1.</w:t>
      </w:r>
      <w:r w:rsidRPr="002A7F86">
        <w:tab/>
      </w:r>
      <w:proofErr w:type="gramStart"/>
      <w:r w:rsidRPr="002A7F86">
        <w:t>mentesítést</w:t>
      </w:r>
      <w:proofErr w:type="gramEnd"/>
      <w:r w:rsidRPr="002A7F86">
        <w:t xml:space="preserve"> ad az Európai Tengerészeti Biztonsági Ügynökség ügyvezető igazgatója számára az ügynökség 2022. évi pénzügyi évre szóló költségvetésének végrehajtására vonatkozóan;</w:t>
      </w:r>
    </w:p>
    <w:p w:rsidR="003C7FF6" w:rsidRPr="002A7F86" w:rsidRDefault="003C7FF6" w:rsidP="00A81D50">
      <w:pPr>
        <w:pStyle w:val="NormalHanging12a"/>
        <w:widowControl/>
      </w:pPr>
      <w:r w:rsidRPr="002A7F86">
        <w:t>2.</w:t>
      </w:r>
      <w:r w:rsidRPr="002A7F86">
        <w:tab/>
        <w:t>megjegyzéseit a mellékelt állásfoglalásban foglalja össze;</w:t>
      </w:r>
    </w:p>
    <w:p w:rsidR="003C7FF6" w:rsidRPr="002A7F86" w:rsidRDefault="003C7FF6" w:rsidP="00A81D50">
      <w:pPr>
        <w:pStyle w:val="NormalHanging12a"/>
        <w:widowControl/>
      </w:pPr>
      <w:r w:rsidRPr="002A7F86">
        <w:t>3.</w:t>
      </w:r>
      <w:r w:rsidRPr="002A7F86">
        <w:tab/>
        <w:t xml:space="preserve">utasítja elnökét, hogy továbbítsa ezt a határozatot, valamint az annak szerves részét képező állásfoglalást az Európai Tengerészeti Biztonsági Ügynökség ügyvezető igazgatójának, a Tanácsnak, a Bizottságnak és a Számvevőszéknek, és gondoskodjon az </w:t>
      </w:r>
      <w:r w:rsidRPr="002A7F86">
        <w:rPr>
          <w:i/>
        </w:rPr>
        <w:t>Európai Unió Hivatalos Lapjában</w:t>
      </w:r>
      <w:r w:rsidRPr="002A7F86">
        <w:t xml:space="preserve"> (L sorozat) való közzétételükről.</w:t>
      </w:r>
    </w:p>
    <w:p w:rsidR="003C7FF6" w:rsidRPr="002A7F86" w:rsidRDefault="003C7FF6" w:rsidP="003C7FF6"/>
    <w:p w:rsidR="003C7FF6" w:rsidRPr="002A7F86" w:rsidRDefault="003C7FF6" w:rsidP="003C7FF6">
      <w:pPr>
        <w:widowControl/>
        <w:rPr>
          <w:rFonts w:ascii="Arial" w:hAnsi="Arial" w:cs="Arial"/>
          <w:b/>
        </w:rPr>
        <w:sectPr w:rsidR="003C7FF6" w:rsidRPr="002A7F86" w:rsidSect="00166080">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3C7FF6" w:rsidRPr="002A7F86" w:rsidRDefault="003C7FF6" w:rsidP="002A7F86">
      <w:pPr>
        <w:pStyle w:val="ATHeading3"/>
      </w:pPr>
      <w:bookmarkStart w:id="7" w:name="_Toc146811167"/>
      <w:bookmarkStart w:id="8" w:name="_Toc161667035"/>
      <w:r w:rsidRPr="002A7F86">
        <w:lastRenderedPageBreak/>
        <w:t xml:space="preserve">2. </w:t>
      </w:r>
      <w:bookmarkEnd w:id="7"/>
      <w:bookmarkEnd w:id="8"/>
      <w:r w:rsidR="00A81D50" w:rsidRPr="002A7F86">
        <w:t xml:space="preserve">Az Európai Parlament 2024. április 11-i határozata </w:t>
      </w:r>
      <w:r w:rsidRPr="002A7F86">
        <w:t>az Európai Tengerészeti Biztonsági Ügynökség 2022. évi pénzügyi évre vonatkozó elszámolásának lezárásáról</w:t>
      </w:r>
      <w:r w:rsidR="00A81D50" w:rsidRPr="002A7F86">
        <w:t xml:space="preserve"> </w:t>
      </w:r>
      <w:r w:rsidRPr="002A7F86">
        <w:t>(2023/</w:t>
      </w:r>
      <w:proofErr w:type="gramStart"/>
      <w:r w:rsidRPr="002A7F86">
        <w:t>2158(</w:t>
      </w:r>
      <w:proofErr w:type="gramEnd"/>
      <w:r w:rsidRPr="002A7F86">
        <w:t>DEC))</w:t>
      </w:r>
    </w:p>
    <w:p w:rsidR="003C7FF6" w:rsidRPr="002A7F86" w:rsidRDefault="003C7FF6" w:rsidP="003C7FF6">
      <w:pPr>
        <w:pStyle w:val="EPComma"/>
      </w:pPr>
      <w:r w:rsidRPr="002A7F86">
        <w:rPr>
          <w:i/>
        </w:rPr>
        <w:t>Az Európai Parlament,</w:t>
      </w:r>
    </w:p>
    <w:p w:rsidR="003C7FF6" w:rsidRPr="002A7F86" w:rsidRDefault="003C7FF6" w:rsidP="00A81D50">
      <w:pPr>
        <w:pStyle w:val="NormalHanging12a"/>
        <w:widowControl/>
      </w:pPr>
      <w:r w:rsidRPr="002A7F86">
        <w:t>–</w:t>
      </w:r>
      <w:r w:rsidRPr="002A7F86">
        <w:tab/>
        <w:t>tekintettel az Európai Tengerészeti Biztonsági Ügynökség 2022. évi pénzügyi évre vonatkozó végleges éves beszámolójára,</w:t>
      </w:r>
    </w:p>
    <w:p w:rsidR="003C7FF6" w:rsidRPr="002A7F86" w:rsidRDefault="003C7FF6" w:rsidP="00A81D50">
      <w:pPr>
        <w:pStyle w:val="NormalHanging12a"/>
        <w:widowControl/>
      </w:pPr>
      <w:r w:rsidRPr="002A7F86">
        <w:t>–</w:t>
      </w:r>
      <w:r w:rsidRPr="002A7F86">
        <w:tab/>
        <w:t>tekintettel a 2022. évi pénzügyi évre vonatkozóan az uniós ügynökségekről szóló éves számvevőszéki jelentésre az ügynökségek válaszaival együtt</w:t>
      </w:r>
      <w:r w:rsidRPr="002A7F86">
        <w:rPr>
          <w:rStyle w:val="FootnoteReference"/>
        </w:rPr>
        <w:footnoteReference w:id="6"/>
      </w:r>
      <w:r w:rsidRPr="002A7F86">
        <w:t>,</w:t>
      </w:r>
    </w:p>
    <w:p w:rsidR="003C7FF6" w:rsidRPr="002A7F86" w:rsidRDefault="003C7FF6" w:rsidP="00A81D50">
      <w:pPr>
        <w:pStyle w:val="NormalHanging12a"/>
        <w:widowControl/>
      </w:pPr>
      <w:r w:rsidRPr="002A7F86">
        <w:t>–</w:t>
      </w:r>
      <w:r w:rsidRPr="002A7F86">
        <w:tab/>
        <w:t xml:space="preserve">tekintettel a Számvevőszéknek a 2022. évi pénzügyi évre vonatkozóan az elszámolás megbízhatóságát, valamint az alapjául szolgáló ügyletek jogszerűségét és szabályszerűségét igazoló, az Európai Unió működéséről szóló szerződés 287. cikke szerinti </w:t>
      </w:r>
      <w:r w:rsidR="008D2537" w:rsidRPr="002A7F86">
        <w:t xml:space="preserve">megbízhatósági </w:t>
      </w:r>
      <w:r w:rsidRPr="002A7F86">
        <w:t>nyilatkozatára</w:t>
      </w:r>
      <w:r w:rsidRPr="002A7F86">
        <w:rPr>
          <w:rStyle w:val="FootnoteReference"/>
        </w:rPr>
        <w:footnoteReference w:id="7"/>
      </w:r>
      <w:r w:rsidRPr="002A7F86">
        <w:t>,</w:t>
      </w:r>
    </w:p>
    <w:p w:rsidR="003C7FF6" w:rsidRPr="002A7F86" w:rsidRDefault="003C7FF6" w:rsidP="00A81D50">
      <w:pPr>
        <w:pStyle w:val="NormalHanging12a"/>
        <w:widowControl/>
      </w:pPr>
      <w:r w:rsidRPr="002A7F86">
        <w:t>–</w:t>
      </w:r>
      <w:r w:rsidRPr="002A7F86">
        <w:tab/>
        <w:t>tekintettel a 2022. évi pénzügyi évre vonatkozó költségvetés végrehajtása tekintetében az Ügyn</w:t>
      </w:r>
      <w:r w:rsidR="0071433E">
        <w:t>ö</w:t>
      </w:r>
      <w:r w:rsidRPr="002A7F86">
        <w:t xml:space="preserve">kség számára adandó </w:t>
      </w:r>
      <w:proofErr w:type="gramStart"/>
      <w:r w:rsidRPr="002A7F86">
        <w:t>mentesítésről</w:t>
      </w:r>
      <w:proofErr w:type="gramEnd"/>
      <w:r w:rsidRPr="002A7F86">
        <w:t xml:space="preserve"> szóló, 2024. február 22-i tanácsi ajánlásra (</w:t>
      </w:r>
      <w:r w:rsidR="005372FE" w:rsidRPr="002A7F86">
        <w:t>06180</w:t>
      </w:r>
      <w:r w:rsidRPr="002A7F86">
        <w:t>/2024 – C9</w:t>
      </w:r>
      <w:r w:rsidRPr="002A7F86">
        <w:noBreakHyphen/>
      </w:r>
      <w:r w:rsidR="005372FE" w:rsidRPr="002A7F86">
        <w:t>0096</w:t>
      </w:r>
      <w:r w:rsidRPr="002A7F86">
        <w:t>/2024),</w:t>
      </w:r>
    </w:p>
    <w:p w:rsidR="003C7FF6" w:rsidRPr="002A7F86" w:rsidRDefault="003C7FF6" w:rsidP="00A81D50">
      <w:pPr>
        <w:pStyle w:val="NormalHanging12a"/>
        <w:widowControl/>
      </w:pPr>
      <w:r w:rsidRPr="002A7F86">
        <w:t>–</w:t>
      </w:r>
      <w:r w:rsidRPr="002A7F86">
        <w:tab/>
        <w:t>tekintettel az Európai Unió működéséről szóló szerződés 319. cikkére,</w:t>
      </w:r>
    </w:p>
    <w:p w:rsidR="003C7FF6" w:rsidRPr="002A7F86" w:rsidRDefault="003C7FF6" w:rsidP="00A81D50">
      <w:pPr>
        <w:pStyle w:val="NormalHanging12a"/>
        <w:widowControl/>
      </w:pPr>
      <w:proofErr w:type="gramStart"/>
      <w:r w:rsidRPr="002A7F86">
        <w:t>–</w:t>
      </w:r>
      <w:r w:rsidRPr="002A7F86">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2A7F86">
        <w:rPr>
          <w:rStyle w:val="FootnoteReference"/>
        </w:rPr>
        <w:footnoteReference w:id="8"/>
      </w:r>
      <w:r w:rsidRPr="002A7F86">
        <w:t xml:space="preserve"> és különösen annak 70. cikkére,</w:t>
      </w:r>
      <w:proofErr w:type="gramEnd"/>
    </w:p>
    <w:p w:rsidR="003C7FF6" w:rsidRPr="002A7F86" w:rsidRDefault="003C7FF6" w:rsidP="00A81D50">
      <w:pPr>
        <w:pStyle w:val="NormalHanging12a"/>
        <w:widowControl/>
      </w:pPr>
      <w:r w:rsidRPr="002A7F86">
        <w:t>–</w:t>
      </w:r>
      <w:r w:rsidRPr="002A7F86">
        <w:tab/>
        <w:t>tekintettel az Európai Tengerbiztonsági Ügynökség létrehozásáról szóló, 2002. június 27-i 1406/2002/EK európai parlamenti és tanácsi rendeletre</w:t>
      </w:r>
      <w:r w:rsidRPr="002A7F86">
        <w:rPr>
          <w:rStyle w:val="FootnoteReference"/>
        </w:rPr>
        <w:footnoteReference w:id="9"/>
      </w:r>
      <w:r w:rsidRPr="002A7F86">
        <w:t xml:space="preserve"> és különösen annak 19. cikkére,</w:t>
      </w:r>
    </w:p>
    <w:p w:rsidR="003C7FF6" w:rsidRPr="002A7F86" w:rsidRDefault="003C7FF6" w:rsidP="00A81D50">
      <w:pPr>
        <w:pStyle w:val="NormalHanging12a"/>
        <w:widowControl/>
      </w:pPr>
      <w:r w:rsidRPr="002A7F86">
        <w:t>–</w:t>
      </w:r>
      <w:r w:rsidRPr="002A7F86">
        <w:tab/>
        <w:t>tekintettel az Európai Unió működéséről szóló szerződés és az Euratom-Szerződés keretében létrehozott és az (EU, Euratom) 2018/1046 európai parlamenti és tanácsi rendelet 70. cikkében említett szervekre vonatkozó pénzügyi keretszabályzatról szóló 2018. december 18-i (EU) 2019/715 felhatalmazáson alapuló bizottsági rendeletre</w:t>
      </w:r>
      <w:r w:rsidRPr="002A7F86">
        <w:rPr>
          <w:rStyle w:val="FootnoteReference"/>
        </w:rPr>
        <w:footnoteReference w:id="10"/>
      </w:r>
      <w:r w:rsidRPr="002A7F86">
        <w:t xml:space="preserve"> és különösen annak 105. cikkére,</w:t>
      </w:r>
    </w:p>
    <w:p w:rsidR="003C7FF6" w:rsidRPr="002A7F86" w:rsidRDefault="003C7FF6" w:rsidP="00A81D50">
      <w:pPr>
        <w:pStyle w:val="NormalHanging12a"/>
        <w:widowControl/>
      </w:pPr>
      <w:r w:rsidRPr="002A7F86">
        <w:t>–</w:t>
      </w:r>
      <w:r w:rsidRPr="002A7F86">
        <w:tab/>
        <w:t>tekintettel eljárási szabályzata 100. cikkére és V. mellékletére,</w:t>
      </w:r>
    </w:p>
    <w:p w:rsidR="003C7FF6" w:rsidRPr="002A7F86" w:rsidRDefault="003C7FF6" w:rsidP="00A81D50">
      <w:pPr>
        <w:pStyle w:val="NormalHanging12a"/>
        <w:widowControl/>
      </w:pPr>
      <w:r w:rsidRPr="002A7F86">
        <w:t>–</w:t>
      </w:r>
      <w:r w:rsidRPr="002A7F86">
        <w:tab/>
        <w:t>tekintettel a Közlekedési és Idegenforgalmi Bizottság véleményére,</w:t>
      </w:r>
    </w:p>
    <w:p w:rsidR="003C7FF6" w:rsidRPr="002A7F86" w:rsidRDefault="003C7FF6" w:rsidP="00A81D50">
      <w:pPr>
        <w:pStyle w:val="NormalHanging12a"/>
        <w:widowControl/>
      </w:pPr>
      <w:r w:rsidRPr="002A7F86">
        <w:t>–</w:t>
      </w:r>
      <w:r w:rsidRPr="002A7F86">
        <w:tab/>
        <w:t>tekintettel a Költségvetési Ellenőrző Bizottság jelentésére (A9-0107/2024),</w:t>
      </w:r>
    </w:p>
    <w:p w:rsidR="003C7FF6" w:rsidRPr="002A7F86" w:rsidRDefault="003C7FF6" w:rsidP="00A81D50">
      <w:pPr>
        <w:pStyle w:val="NormalHanging12a"/>
        <w:widowControl/>
      </w:pPr>
      <w:r w:rsidRPr="002A7F86">
        <w:lastRenderedPageBreak/>
        <w:t>1.</w:t>
      </w:r>
      <w:r w:rsidRPr="002A7F86">
        <w:tab/>
        <w:t>jóváhagyja az Európai Tengerészeti Biztonsági Ügynökség 2022. évi pénzügyi évre szóló elszámolásának lezárását;</w:t>
      </w:r>
    </w:p>
    <w:p w:rsidR="003C7FF6" w:rsidRPr="002A7F86" w:rsidRDefault="003C7FF6" w:rsidP="00A81D50">
      <w:pPr>
        <w:pStyle w:val="NormalHanging12a"/>
        <w:widowControl/>
      </w:pPr>
      <w:r w:rsidRPr="002A7F86">
        <w:t>2.</w:t>
      </w:r>
      <w:r w:rsidRPr="002A7F86">
        <w:tab/>
        <w:t xml:space="preserve">utasítja elnökét, hogy továbbítsa ezt a határozatot az Európai Tengerészeti Biztonsági Ügynökség ügyvezető igazgatójának, a Tanácsnak, a Bizottságnak és a Számvevőszéknek, és gondoskodjon az </w:t>
      </w:r>
      <w:r w:rsidRPr="002A7F86">
        <w:rPr>
          <w:i/>
        </w:rPr>
        <w:t>Európai Unió Hivatalos Lapjában</w:t>
      </w:r>
      <w:r w:rsidRPr="002A7F86">
        <w:t xml:space="preserve"> (L sorozat) való közzétételéről.</w:t>
      </w:r>
    </w:p>
    <w:p w:rsidR="003C7FF6" w:rsidRPr="002A7F86" w:rsidRDefault="003C7FF6" w:rsidP="003C7FF6"/>
    <w:p w:rsidR="003C7FF6" w:rsidRPr="002A7F86" w:rsidRDefault="003C7FF6" w:rsidP="003C7FF6">
      <w:pPr>
        <w:widowControl/>
        <w:rPr>
          <w:rFonts w:ascii="Arial" w:hAnsi="Arial" w:cs="Arial"/>
          <w:b/>
        </w:rPr>
        <w:sectPr w:rsidR="003C7FF6" w:rsidRPr="002A7F86" w:rsidSect="00166080">
          <w:footnotePr>
            <w:numRestart w:val="eachPage"/>
          </w:footnotePr>
          <w:endnotePr>
            <w:numFmt w:val="decimal"/>
          </w:endnotePr>
          <w:pgSz w:w="11906" w:h="16838"/>
          <w:pgMar w:top="1134" w:right="1418" w:bottom="1418" w:left="1418" w:header="567" w:footer="567" w:gutter="0"/>
          <w:cols w:space="720"/>
          <w:docGrid w:linePitch="326"/>
        </w:sectPr>
      </w:pPr>
    </w:p>
    <w:p w:rsidR="003C7FF6" w:rsidRPr="002A7F86" w:rsidRDefault="003C7FF6" w:rsidP="002A7F86">
      <w:pPr>
        <w:pStyle w:val="ATHeading3"/>
      </w:pPr>
      <w:bookmarkStart w:id="9" w:name="_Toc146811168"/>
      <w:bookmarkStart w:id="10" w:name="_Toc161667036"/>
      <w:r w:rsidRPr="002A7F86">
        <w:lastRenderedPageBreak/>
        <w:t xml:space="preserve">3. </w:t>
      </w:r>
      <w:bookmarkEnd w:id="9"/>
      <w:bookmarkEnd w:id="10"/>
      <w:r w:rsidR="00A81D50" w:rsidRPr="002A7F86">
        <w:t xml:space="preserve">Az Európai Parlament 2024. április 11-i állásfoglalása </w:t>
      </w:r>
      <w:r w:rsidRPr="002A7F86">
        <w:t>az Európai Tengerészeti Biztonsági Ügynökség 2022. évi pénzügyi évre szóló általános költségvetésének végrehajtására vonatkozó mentesítésről szóló határozat szerves részét képező megjegyzésekkel</w:t>
      </w:r>
      <w:r w:rsidR="00A81D50" w:rsidRPr="002A7F86">
        <w:t xml:space="preserve"> </w:t>
      </w:r>
      <w:r w:rsidRPr="002A7F86">
        <w:t>(2023/</w:t>
      </w:r>
      <w:proofErr w:type="gramStart"/>
      <w:r w:rsidRPr="002A7F86">
        <w:t>2158(</w:t>
      </w:r>
      <w:proofErr w:type="gramEnd"/>
      <w:r w:rsidRPr="002A7F86">
        <w:t>DEC))</w:t>
      </w:r>
    </w:p>
    <w:p w:rsidR="003C7FF6" w:rsidRPr="002A7F86" w:rsidRDefault="003C7FF6" w:rsidP="003C7FF6">
      <w:pPr>
        <w:pStyle w:val="EPComma"/>
      </w:pPr>
      <w:r w:rsidRPr="002A7F86">
        <w:rPr>
          <w:i/>
        </w:rPr>
        <w:t>Az Európai Parlament,</w:t>
      </w:r>
    </w:p>
    <w:p w:rsidR="003C7FF6" w:rsidRPr="002A7F86" w:rsidRDefault="003C7FF6" w:rsidP="00A81D50">
      <w:pPr>
        <w:pStyle w:val="NormalHanging12a"/>
        <w:widowControl/>
      </w:pPr>
      <w:r w:rsidRPr="002A7F86">
        <w:t>–</w:t>
      </w:r>
      <w:r w:rsidRPr="002A7F86">
        <w:tab/>
        <w:t xml:space="preserve">tekintettel az Európai Tengerészeti Biztonsági Ügynökség 2022. évi pénzügyi évre szóló költségvetésének végrehajtására vonatkozó </w:t>
      </w:r>
      <w:proofErr w:type="gramStart"/>
      <w:r w:rsidRPr="002A7F86">
        <w:t>mentesítésről</w:t>
      </w:r>
      <w:proofErr w:type="gramEnd"/>
      <w:r w:rsidRPr="002A7F86">
        <w:t xml:space="preserve"> szóló határozatára,</w:t>
      </w:r>
    </w:p>
    <w:p w:rsidR="003C7FF6" w:rsidRPr="002A7F86" w:rsidRDefault="003C7FF6" w:rsidP="00A81D50">
      <w:pPr>
        <w:pStyle w:val="NormalHanging12a"/>
        <w:widowControl/>
      </w:pPr>
      <w:r w:rsidRPr="002A7F86">
        <w:t>–</w:t>
      </w:r>
      <w:r w:rsidRPr="002A7F86">
        <w:tab/>
        <w:t>tekintettel eljárási szabályzata 100. cikkére és V. mellékletére,</w:t>
      </w:r>
    </w:p>
    <w:p w:rsidR="003C7FF6" w:rsidRPr="002A7F86" w:rsidRDefault="003C7FF6" w:rsidP="00A81D50">
      <w:pPr>
        <w:pStyle w:val="NormalHanging12a"/>
        <w:widowControl/>
      </w:pPr>
      <w:r w:rsidRPr="002A7F86">
        <w:t>–</w:t>
      </w:r>
      <w:r w:rsidRPr="002A7F86">
        <w:tab/>
        <w:t>tekintettel a Közlekedési és Idegenforgalmi Bizottság véleményére,</w:t>
      </w:r>
    </w:p>
    <w:p w:rsidR="003C7FF6" w:rsidRPr="002A7F86" w:rsidRDefault="003C7FF6" w:rsidP="00A81D50">
      <w:pPr>
        <w:pStyle w:val="NormalHanging12a"/>
        <w:widowControl/>
      </w:pPr>
      <w:r w:rsidRPr="002A7F86">
        <w:t>–</w:t>
      </w:r>
      <w:r w:rsidRPr="002A7F86">
        <w:tab/>
        <w:t>tekintettel a Költségvetési Ellenőrző Bizottság jelentésére (A9-0107/2024),</w:t>
      </w:r>
    </w:p>
    <w:p w:rsidR="003C7FF6" w:rsidRPr="002A7F86" w:rsidRDefault="003C7FF6" w:rsidP="00A81D50">
      <w:pPr>
        <w:widowControl/>
        <w:spacing w:after="240"/>
        <w:ind w:left="567" w:hanging="567"/>
        <w:rPr>
          <w:szCs w:val="24"/>
        </w:rPr>
      </w:pPr>
      <w:proofErr w:type="gramStart"/>
      <w:r w:rsidRPr="002A7F86">
        <w:t>A.</w:t>
      </w:r>
      <w:proofErr w:type="gramEnd"/>
      <w:r w:rsidRPr="002A7F86">
        <w:tab/>
      </w:r>
      <w:proofErr w:type="gramStart"/>
      <w:r w:rsidRPr="002A7F86">
        <w:t>mivel</w:t>
      </w:r>
      <w:proofErr w:type="gramEnd"/>
      <w:r w:rsidRPr="002A7F86">
        <w:t xml:space="preserve"> a bevételi és kiadási kimutatás</w:t>
      </w:r>
      <w:r w:rsidRPr="002A7F86">
        <w:rPr>
          <w:rStyle w:val="FootnoteReference"/>
          <w:szCs w:val="24"/>
        </w:rPr>
        <w:footnoteReference w:id="11"/>
      </w:r>
      <w:r w:rsidRPr="002A7F86">
        <w:t xml:space="preserve"> szerint az Európai Tengerészeti Biztonsági Ügynökség (a továbbiakban: az ügynökség) 2022. évi pénzügyi évre szóló végleges költségvetése 115 807 269,88 EUR volt, ami 2021-hez képest 9,48%-</w:t>
      </w:r>
      <w:proofErr w:type="spellStart"/>
      <w:r w:rsidRPr="002A7F86">
        <w:t>os</w:t>
      </w:r>
      <w:proofErr w:type="spellEnd"/>
      <w:r w:rsidRPr="002A7F86">
        <w:t xml:space="preserve"> növekedést jelent; mivel az ügynökség költségvetése az uniós költségvetésből és a működési bevételekből származik;</w:t>
      </w:r>
    </w:p>
    <w:p w:rsidR="003C7FF6" w:rsidRPr="002A7F86" w:rsidRDefault="003C7FF6" w:rsidP="00A81D50">
      <w:pPr>
        <w:widowControl/>
        <w:spacing w:after="240"/>
        <w:ind w:left="567" w:hanging="567"/>
        <w:rPr>
          <w:szCs w:val="24"/>
        </w:rPr>
      </w:pPr>
      <w:r w:rsidRPr="002A7F86">
        <w:t>B.</w:t>
      </w:r>
      <w:r w:rsidRPr="002A7F86">
        <w:tab/>
        <w:t>mivel a Számvevőszék az ügynökség 2022. évi pénzügyi évről szóló éves beszámolójáról szóló jelentésében (a továbbiakban: a számvevőszéki jelentés) megállapítja, hogy kellő mértékben megbizonyosodott az ügynökség éves beszámolójának megbízhatóságáról, valamint arról, hogy az annak alapjául szolgáló ügyletek jogszerűek és szabályszerűek;</w:t>
      </w:r>
    </w:p>
    <w:p w:rsidR="003C7FF6" w:rsidRPr="002A7F86" w:rsidRDefault="003C7FF6" w:rsidP="00A81D50">
      <w:pPr>
        <w:widowControl/>
        <w:spacing w:after="240"/>
        <w:ind w:left="567" w:hanging="567"/>
        <w:rPr>
          <w:szCs w:val="24"/>
        </w:rPr>
      </w:pPr>
      <w:r w:rsidRPr="002A7F86">
        <w:t>C.</w:t>
      </w:r>
      <w:r w:rsidRPr="002A7F86">
        <w:tab/>
        <w:t xml:space="preserve">mivel az ügynökség közbeszerzési ágazatát illetően 2022-re vonatkozóan nem jelentettek </w:t>
      </w:r>
      <w:proofErr w:type="gramStart"/>
      <w:r w:rsidRPr="002A7F86">
        <w:t>korrekciós</w:t>
      </w:r>
      <w:proofErr w:type="gramEnd"/>
      <w:r w:rsidRPr="002A7F86">
        <w:t xml:space="preserve"> intézkedéseket igénylő problémákat, és a korábbi évek ellenőrzései és értékelései alapján sem voltak folyamatban lévő vagy még függőben lévő korrekciós intézkedések;</w:t>
      </w:r>
    </w:p>
    <w:p w:rsidR="003C7FF6" w:rsidRPr="002A7F86" w:rsidRDefault="003C7FF6" w:rsidP="00A81D50">
      <w:pPr>
        <w:widowControl/>
        <w:spacing w:after="240"/>
        <w:ind w:left="567" w:hanging="567"/>
        <w:rPr>
          <w:szCs w:val="24"/>
        </w:rPr>
      </w:pPr>
      <w:r w:rsidRPr="002A7F86">
        <w:t>D.</w:t>
      </w:r>
      <w:r w:rsidRPr="002A7F86">
        <w:tab/>
        <w:t xml:space="preserve">mivel az ügynökség belső ellenőrzési rendszereit illetően 2022-re vonatkozóan nem jelentettek </w:t>
      </w:r>
      <w:proofErr w:type="gramStart"/>
      <w:r w:rsidRPr="002A7F86">
        <w:t>korrekciós</w:t>
      </w:r>
      <w:proofErr w:type="gramEnd"/>
      <w:r w:rsidRPr="002A7F86">
        <w:t xml:space="preserve"> intézkedéseket igénylő problémákat, és a korábbi évek ellenőrzései és értékelései alapján sem voltak folyamatban lévő vagy még függőben lévő korrekciós intézkedések;</w:t>
      </w:r>
    </w:p>
    <w:p w:rsidR="003C7FF6" w:rsidRPr="002A7F86" w:rsidRDefault="003C7FF6" w:rsidP="00A81D50">
      <w:pPr>
        <w:widowControl/>
        <w:spacing w:after="240"/>
        <w:ind w:left="567" w:hanging="567"/>
        <w:rPr>
          <w:b/>
          <w:i/>
          <w:szCs w:val="24"/>
        </w:rPr>
      </w:pPr>
      <w:r w:rsidRPr="002A7F86">
        <w:rPr>
          <w:b/>
          <w:i/>
        </w:rPr>
        <w:t>Költségvetési és pénzgazdálkodás</w:t>
      </w:r>
    </w:p>
    <w:p w:rsidR="003C7FF6" w:rsidRPr="002A7F86" w:rsidRDefault="003C7FF6" w:rsidP="00A81D50">
      <w:pPr>
        <w:widowControl/>
        <w:spacing w:after="240"/>
        <w:ind w:left="567" w:hanging="567"/>
        <w:rPr>
          <w:szCs w:val="24"/>
        </w:rPr>
      </w:pPr>
      <w:r w:rsidRPr="002A7F86">
        <w:t>1.</w:t>
      </w:r>
      <w:r w:rsidRPr="002A7F86">
        <w:tab/>
        <w:t>megelégedéssel állapítja meg, hogy a 2022. évi pénzügyi év során folytatott költségvetés-ellenőrzési erőfeszítések eredményeként a kötelezettségvállalási előirányzatok folyó évi végrehajtási aránya 99,80% volt, ami 2021-hez képest enyhe, 0,14%-</w:t>
      </w:r>
      <w:proofErr w:type="spellStart"/>
      <w:r w:rsidRPr="002A7F86">
        <w:t>os</w:t>
      </w:r>
      <w:proofErr w:type="spellEnd"/>
      <w:r w:rsidRPr="002A7F86">
        <w:t xml:space="preserve"> növekedést jelent, és hogy a kifizetési előirányzatok folyó évi végrehajtási aránya 98,42% volt, ami ugyancsak csekély, 1,10%-</w:t>
      </w:r>
      <w:proofErr w:type="spellStart"/>
      <w:r w:rsidRPr="002A7F86">
        <w:t>os</w:t>
      </w:r>
      <w:proofErr w:type="spellEnd"/>
      <w:r w:rsidRPr="002A7F86">
        <w:t xml:space="preserve"> növekedést jelent;</w:t>
      </w:r>
    </w:p>
    <w:p w:rsidR="003C7FF6" w:rsidRPr="002A7F86" w:rsidRDefault="003C7FF6" w:rsidP="00A81D50">
      <w:pPr>
        <w:widowControl/>
        <w:spacing w:after="240"/>
        <w:ind w:left="567" w:hanging="567"/>
        <w:rPr>
          <w:b/>
          <w:i/>
          <w:szCs w:val="24"/>
        </w:rPr>
      </w:pPr>
      <w:r w:rsidRPr="002A7F86">
        <w:rPr>
          <w:b/>
          <w:i/>
        </w:rPr>
        <w:t>Teljesítmény</w:t>
      </w:r>
    </w:p>
    <w:p w:rsidR="003C7FF6" w:rsidRPr="002A7F86" w:rsidRDefault="003C7FF6" w:rsidP="00A81D50">
      <w:pPr>
        <w:widowControl/>
        <w:spacing w:after="240"/>
        <w:ind w:left="567" w:hanging="567"/>
        <w:rPr>
          <w:szCs w:val="24"/>
        </w:rPr>
      </w:pPr>
      <w:proofErr w:type="gramStart"/>
      <w:r w:rsidRPr="002A7F86">
        <w:lastRenderedPageBreak/>
        <w:t>2.</w:t>
      </w:r>
      <w:r w:rsidRPr="002A7F86">
        <w:tab/>
        <w:t xml:space="preserve">üdvözli, hogy az ügynökség fő teljesítménymutatókat alkalmaz éves munkaprogramja végrehajtásának mérésére azokon a kulcsfontosságú területeken, amelyekhez az ügynökség hozzájárul, valamint horizontális tevékenységeit (fenntarthatóság, felügyelet, biztonság és védelem, egyszerűsítés, </w:t>
      </w:r>
      <w:proofErr w:type="spellStart"/>
      <w:r w:rsidRPr="002A7F86">
        <w:t>digitalizáció</w:t>
      </w:r>
      <w:proofErr w:type="spellEnd"/>
      <w:r w:rsidRPr="002A7F86">
        <w:t xml:space="preserve">, technikai segítségnyújtás, kapacitásépítés és stratégiai támogatás); elismerését fejezi ki amiatt, hogy összességében sikerült elérni a célokat, és nagyon kevés célkitűzés teljesítése van elmaradásban, főként indokolt okok miatt; </w:t>
      </w:r>
      <w:proofErr w:type="spellStart"/>
      <w:r w:rsidRPr="002A7F86">
        <w:t>megjegyzi</w:t>
      </w:r>
      <w:proofErr w:type="spellEnd"/>
      <w:r w:rsidRPr="002A7F86">
        <w:t xml:space="preserve"> továbbá, hogy az ügynökség az éves munkaprogrammal és a többéves</w:t>
      </w:r>
      <w:proofErr w:type="gramEnd"/>
      <w:r w:rsidRPr="002A7F86">
        <w:t xml:space="preserve"> </w:t>
      </w:r>
      <w:proofErr w:type="gramStart"/>
      <w:r w:rsidRPr="002A7F86">
        <w:t>stratégiai</w:t>
      </w:r>
      <w:proofErr w:type="gramEnd"/>
      <w:r w:rsidRPr="002A7F86">
        <w:t xml:space="preserve"> kerettel összhangban teljesítette 2022. évi célkitűzéseit;</w:t>
      </w:r>
    </w:p>
    <w:p w:rsidR="003C7FF6" w:rsidRPr="002A7F86" w:rsidRDefault="003C7FF6" w:rsidP="00A81D50">
      <w:pPr>
        <w:widowControl/>
        <w:spacing w:after="240"/>
        <w:ind w:left="567" w:hanging="567"/>
        <w:rPr>
          <w:szCs w:val="24"/>
        </w:rPr>
      </w:pPr>
      <w:r w:rsidRPr="002A7F86">
        <w:t>3.</w:t>
      </w:r>
      <w:r w:rsidRPr="002A7F86">
        <w:tab/>
        <w:t xml:space="preserve">tudomásul veszi, hogy az ügynökség </w:t>
      </w:r>
      <w:proofErr w:type="gramStart"/>
      <w:r w:rsidRPr="002A7F86">
        <w:t>aktívan</w:t>
      </w:r>
      <w:proofErr w:type="gramEnd"/>
      <w:r w:rsidRPr="002A7F86">
        <w:t xml:space="preserve"> részt vett az európai zöld megállapodással kapcsolatos számos kezdeményezésben, és támogatást és adatokat nyújtott a Bizottságnak és a tagállamoknak, különös hangsúlyt fektetve az „Irány az 55%!” </w:t>
      </w:r>
      <w:proofErr w:type="gramStart"/>
      <w:r w:rsidRPr="002A7F86">
        <w:t>intézkedéscsomagon</w:t>
      </w:r>
      <w:proofErr w:type="gramEnd"/>
      <w:r w:rsidRPr="002A7F86">
        <w:t xml:space="preserve"> belüli különböző javaslatokra, például a </w:t>
      </w:r>
      <w:proofErr w:type="spellStart"/>
      <w:r w:rsidRPr="002A7F86">
        <w:t>FuelEU</w:t>
      </w:r>
      <w:proofErr w:type="spellEnd"/>
      <w:r w:rsidRPr="002A7F86">
        <w:t xml:space="preserve"> tengerészeti kezdeményezésre vonatkozó javaslatra és a kibocsátáskereskedelmi rendszer tengeri szállításra való kiterjesztésére irányuló javaslatra;</w:t>
      </w:r>
    </w:p>
    <w:p w:rsidR="003C7FF6" w:rsidRPr="002A7F86" w:rsidRDefault="003C7FF6" w:rsidP="00A81D50">
      <w:pPr>
        <w:widowControl/>
        <w:spacing w:after="240"/>
        <w:ind w:left="567" w:hanging="567"/>
        <w:rPr>
          <w:szCs w:val="24"/>
        </w:rPr>
      </w:pPr>
      <w:r w:rsidRPr="002A7F86">
        <w:t>4.</w:t>
      </w:r>
      <w:r w:rsidRPr="002A7F86">
        <w:tab/>
        <w:t xml:space="preserve">üdvözli, hogy az ügynökség az Ukrajna elleni 2022. februári jogellenes és provokáció nélkül indított orosz támadást követően fontos szereplővé vált az érdeklődésre számot tartó hajók nyomon követése és bejelentése terén; e tekintetben </w:t>
      </w:r>
      <w:proofErr w:type="spellStart"/>
      <w:r w:rsidRPr="002A7F86">
        <w:t>megjegyzi</w:t>
      </w:r>
      <w:proofErr w:type="spellEnd"/>
      <w:r w:rsidRPr="002A7F86">
        <w:t>, hogy a tengeri támogató szolgálat (MSS) beszámolt a tagállamoknak és a Bizottságnak az orosz lobogó alatt közlekedő hajókról, az uniós kikötőkbe befutó hajókról, valamint a szankciók által érintett kikötésekről (pl. szénimport);</w:t>
      </w:r>
    </w:p>
    <w:p w:rsidR="003C7FF6" w:rsidRPr="002A7F86" w:rsidRDefault="003C7FF6" w:rsidP="00A81D50">
      <w:pPr>
        <w:widowControl/>
        <w:spacing w:after="240"/>
        <w:ind w:left="567" w:hanging="567"/>
        <w:rPr>
          <w:szCs w:val="24"/>
        </w:rPr>
      </w:pPr>
      <w:r w:rsidRPr="002A7F86">
        <w:t>5.</w:t>
      </w:r>
      <w:r w:rsidRPr="002A7F86">
        <w:tab/>
      </w:r>
      <w:proofErr w:type="spellStart"/>
      <w:r w:rsidRPr="002A7F86">
        <w:t>megjegyzi</w:t>
      </w:r>
      <w:proofErr w:type="spellEnd"/>
      <w:r w:rsidRPr="002A7F86">
        <w:t xml:space="preserve">, hogy az ügynökség Föld-megfigyelési szolgálatai folytatták a megfigyelési képességek fejlesztését és biztosítását, különös tekintettel a </w:t>
      </w:r>
      <w:proofErr w:type="spellStart"/>
      <w:r w:rsidRPr="002A7F86">
        <w:t>CleanSeaNet</w:t>
      </w:r>
      <w:proofErr w:type="spellEnd"/>
      <w:r w:rsidRPr="002A7F86">
        <w:t xml:space="preserve">-re, a </w:t>
      </w:r>
      <w:proofErr w:type="spellStart"/>
      <w:r w:rsidRPr="002A7F86">
        <w:t>Frontex</w:t>
      </w:r>
      <w:proofErr w:type="spellEnd"/>
      <w:r w:rsidRPr="002A7F86">
        <w:t xml:space="preserve"> számára biztosított Kopernikusz tengeri megfigyelésre, valamint a tengeri vészhelyzetek támogatására az ügynökség készenléti tervével összefüggésben;</w:t>
      </w:r>
    </w:p>
    <w:p w:rsidR="003C7FF6" w:rsidRPr="002A7F86" w:rsidRDefault="003C7FF6" w:rsidP="00A81D50">
      <w:pPr>
        <w:widowControl/>
        <w:spacing w:after="240"/>
        <w:ind w:left="567" w:hanging="567"/>
        <w:rPr>
          <w:szCs w:val="24"/>
        </w:rPr>
      </w:pPr>
      <w:r w:rsidRPr="002A7F86">
        <w:t>6.</w:t>
      </w:r>
      <w:r w:rsidRPr="002A7F86">
        <w:tab/>
        <w:t>üdvözli, hogy az ügynökség technikai támogatást nyújtott a Bizottságnak és az EFTA Felügyeleti Hatóságnak azáltal, hogy részt vett az uniós tengeri védelmi jogszabályok tagállami végrehajtásának és érvényesítésének értékelése és ellenőrzése céljából szervezett ellenőrzésekben;</w:t>
      </w:r>
    </w:p>
    <w:p w:rsidR="003C7FF6" w:rsidRPr="002A7F86" w:rsidRDefault="003C7FF6" w:rsidP="00A81D50">
      <w:pPr>
        <w:widowControl/>
        <w:spacing w:after="240"/>
        <w:ind w:left="567" w:hanging="567"/>
        <w:rPr>
          <w:szCs w:val="24"/>
        </w:rPr>
      </w:pPr>
      <w:r w:rsidRPr="002A7F86">
        <w:t>7.</w:t>
      </w:r>
      <w:r w:rsidRPr="002A7F86">
        <w:tab/>
      </w:r>
      <w:proofErr w:type="spellStart"/>
      <w:r w:rsidRPr="002A7F86">
        <w:t>megjegyzi</w:t>
      </w:r>
      <w:proofErr w:type="spellEnd"/>
      <w:r w:rsidRPr="002A7F86">
        <w:t xml:space="preserve">, hogy 2022-ben az ügynökség hozzáférést biztosított a Bűnüldözési Együttműködés Európai Uniós Ügynöksége (EUROPOL) számára a tengeri és megfigyelési </w:t>
      </w:r>
      <w:proofErr w:type="gramStart"/>
      <w:r w:rsidRPr="002A7F86">
        <w:t>információs</w:t>
      </w:r>
      <w:proofErr w:type="gramEnd"/>
      <w:r w:rsidRPr="002A7F86">
        <w:t xml:space="preserve"> szolgáltatásokhoz, hogy támogassa azt a bűnüldözés és a tengeri szervezett bűnözés elleni fellépés területén;</w:t>
      </w:r>
    </w:p>
    <w:p w:rsidR="003C7FF6" w:rsidRPr="002A7F86" w:rsidRDefault="003C7FF6" w:rsidP="00A81D50">
      <w:pPr>
        <w:widowControl/>
        <w:spacing w:after="240"/>
        <w:ind w:left="567" w:hanging="567"/>
        <w:rPr>
          <w:i/>
          <w:szCs w:val="24"/>
        </w:rPr>
      </w:pPr>
      <w:r w:rsidRPr="002A7F86">
        <w:t>8.</w:t>
      </w:r>
      <w:r w:rsidRPr="002A7F86">
        <w:tab/>
      </w:r>
      <w:proofErr w:type="spellStart"/>
      <w:r w:rsidRPr="002A7F86">
        <w:t>megjegyzi</w:t>
      </w:r>
      <w:proofErr w:type="spellEnd"/>
      <w:r w:rsidRPr="002A7F86">
        <w:t>, hogy az ügynökség 2022-ben fenntartotta kiválósági központként betöltött szerepét a kapacitásépítésben, az IPA II projekt végrehajtásában és a technikai segítségnyújtásra irányuló projektek lezárásában a Földközi-tengeren (SAFEMED IV), valamint a Fekete- és Kaszpi-tengeren (BCSEA);</w:t>
      </w:r>
    </w:p>
    <w:p w:rsidR="003C7FF6" w:rsidRPr="002A7F86" w:rsidRDefault="003C7FF6" w:rsidP="00A81D50">
      <w:pPr>
        <w:widowControl/>
        <w:spacing w:after="240"/>
        <w:ind w:left="567" w:hanging="567"/>
      </w:pPr>
      <w:proofErr w:type="gramStart"/>
      <w:r w:rsidRPr="002A7F86">
        <w:t>9.</w:t>
      </w:r>
      <w:r w:rsidRPr="002A7F86">
        <w:tab/>
        <w:t xml:space="preserve">üdvözli, hogy az ügynökség támogatja a Bizottságot az IMO keretében, többek között olyan fórumokon, mint a MEPC, a PPR és a CCC; ez a támogatás a környezetszennyezés megelőzése és a fenntarthatóság kulcsfontosságú területeire terjed ki, beleértve az ÜHG-kibocsátások csökkentésére, a szállítás karbonintenzitására, a fenntartható alternatív üzemanyagok és technológiák biztonságára, értékelésére, bevezetésére és alkalmazására, a tengeri hulladékra, valamint a víz alatti zajra vonatkozó IMO-stratégiát; hangsúlyozza, hogy az IMO által az új üzemanyagok és </w:t>
      </w:r>
      <w:r w:rsidRPr="002A7F86">
        <w:lastRenderedPageBreak/>
        <w:t>technológiák alkalmazására vonatkozó megfelelő</w:t>
      </w:r>
      <w:proofErr w:type="gramEnd"/>
      <w:r w:rsidRPr="002A7F86">
        <w:t xml:space="preserve"> követelmények és standardok kidolgozása terén a közeljövőben végzendő munka kulcsfontosságú lesz ezek </w:t>
      </w:r>
      <w:proofErr w:type="gramStart"/>
      <w:r w:rsidRPr="002A7F86">
        <w:t>globális</w:t>
      </w:r>
      <w:proofErr w:type="gramEnd"/>
      <w:r w:rsidRPr="002A7F86">
        <w:t xml:space="preserve"> és uniós szintű elterjesztésében;</w:t>
      </w:r>
    </w:p>
    <w:p w:rsidR="003C7FF6" w:rsidRPr="002A7F86" w:rsidRDefault="003C7FF6" w:rsidP="00A81D50">
      <w:pPr>
        <w:pStyle w:val="NormalHanging12a"/>
        <w:widowControl/>
        <w:rPr>
          <w:b/>
          <w:i/>
          <w:color w:val="000000" w:themeColor="text1"/>
          <w:szCs w:val="24"/>
        </w:rPr>
      </w:pPr>
      <w:r w:rsidRPr="002A7F86">
        <w:rPr>
          <w:b/>
          <w:i/>
          <w:color w:val="000000" w:themeColor="text1"/>
        </w:rPr>
        <w:t>Hatékonyság és hatékonyságnövekedés</w:t>
      </w:r>
    </w:p>
    <w:p w:rsidR="003C7FF6" w:rsidRPr="002A7F86" w:rsidRDefault="003C7FF6" w:rsidP="00A81D50">
      <w:pPr>
        <w:widowControl/>
        <w:spacing w:after="240"/>
        <w:ind w:left="567" w:hanging="567"/>
        <w:rPr>
          <w:szCs w:val="24"/>
        </w:rPr>
      </w:pPr>
      <w:proofErr w:type="gramStart"/>
      <w:r w:rsidRPr="002A7F86">
        <w:rPr>
          <w:color w:val="000000" w:themeColor="text1"/>
        </w:rPr>
        <w:t>10.</w:t>
      </w:r>
      <w:r w:rsidRPr="002A7F86">
        <w:rPr>
          <w:color w:val="000000" w:themeColor="text1"/>
        </w:rPr>
        <w:tab/>
      </w:r>
      <w:proofErr w:type="spellStart"/>
      <w:r w:rsidRPr="002A7F86">
        <w:t>megjegyzi</w:t>
      </w:r>
      <w:proofErr w:type="spellEnd"/>
      <w:r w:rsidRPr="002A7F86">
        <w:t xml:space="preserve">, hogy a parti őrségi feladatok terén folytatott európai együttműködésre vonatkozó új megbízatás keretében a hivatal információkat, szakértelmet, eljárásokat, képzési anyagokat és eszközöket osztott meg az Európai Halászati Ellenőrző Hivatallal (EFCA) és a </w:t>
      </w:r>
      <w:proofErr w:type="spellStart"/>
      <w:r w:rsidRPr="002A7F86">
        <w:t>Frontexszel</w:t>
      </w:r>
      <w:proofErr w:type="spellEnd"/>
      <w:r w:rsidRPr="002A7F86">
        <w:t>;</w:t>
      </w:r>
      <w:r w:rsidRPr="002A7F86">
        <w:rPr>
          <w:color w:val="000000" w:themeColor="text1"/>
        </w:rPr>
        <w:t xml:space="preserve"> </w:t>
      </w:r>
      <w:proofErr w:type="spellStart"/>
      <w:r w:rsidRPr="002A7F86">
        <w:rPr>
          <w:color w:val="000000" w:themeColor="text1"/>
        </w:rPr>
        <w:t>megjegyzi</w:t>
      </w:r>
      <w:proofErr w:type="spellEnd"/>
      <w:r w:rsidRPr="002A7F86">
        <w:rPr>
          <w:color w:val="000000" w:themeColor="text1"/>
        </w:rPr>
        <w:t xml:space="preserve"> továbbá, hogy az ügynökség továbbra is szorosan együttműködik a Kábítószer és a Kábítószerfüggőség Európai Megfigyelőközpontjával (EMCCDA) annak érdekében, hogy növelje hatékonyságát és költségeket takarítson meg a két ügynökség földrajzi közelsége miatt; üdvözli, hogy az ügynökség az EMAS-regisztrációval</w:t>
      </w:r>
      <w:proofErr w:type="gramEnd"/>
      <w:r w:rsidRPr="002A7F86">
        <w:rPr>
          <w:color w:val="000000" w:themeColor="text1"/>
        </w:rPr>
        <w:t xml:space="preserve"> kapcsolatos tudásmegosztás révén támogatta az EMCCDA-t, és az EFCA-</w:t>
      </w:r>
      <w:proofErr w:type="spellStart"/>
      <w:r w:rsidRPr="002A7F86">
        <w:rPr>
          <w:color w:val="000000" w:themeColor="text1"/>
        </w:rPr>
        <w:t>val</w:t>
      </w:r>
      <w:proofErr w:type="spellEnd"/>
      <w:r w:rsidRPr="002A7F86">
        <w:rPr>
          <w:color w:val="000000" w:themeColor="text1"/>
        </w:rPr>
        <w:t xml:space="preserve"> továbbra is biztosította a két ügynökség számviteli </w:t>
      </w:r>
      <w:proofErr w:type="gramStart"/>
      <w:r w:rsidRPr="002A7F86">
        <w:rPr>
          <w:color w:val="000000" w:themeColor="text1"/>
        </w:rPr>
        <w:t>funkciójára</w:t>
      </w:r>
      <w:proofErr w:type="gramEnd"/>
      <w:r w:rsidRPr="002A7F86">
        <w:rPr>
          <w:color w:val="000000" w:themeColor="text1"/>
        </w:rPr>
        <w:t xml:space="preserve"> vonatkozó kölcsönös tartalékrendszert; </w:t>
      </w:r>
      <w:r w:rsidRPr="002A7F86">
        <w:t>rámutat az együttműködés és a bevált gyakorlatok kiigazításának horizontális előnyeire, valamint arra, hogy a közös kezdeményezések különböző nézőpontokat egyesítenek, csökkentik a párhuzamos erőfeszítéseket, fokozzák a tanulást és erősítik a résztvevők közötti kapcsolatokat;</w:t>
      </w:r>
    </w:p>
    <w:p w:rsidR="003C7FF6" w:rsidRPr="002A7F86" w:rsidRDefault="003C7FF6" w:rsidP="00A81D50">
      <w:pPr>
        <w:pStyle w:val="NormalHanging12a"/>
        <w:widowControl/>
        <w:rPr>
          <w:color w:val="000000" w:themeColor="text1"/>
          <w:szCs w:val="24"/>
        </w:rPr>
      </w:pPr>
      <w:proofErr w:type="gramStart"/>
      <w:r w:rsidRPr="002A7F86">
        <w:rPr>
          <w:color w:val="000000" w:themeColor="text1"/>
        </w:rPr>
        <w:t>11.</w:t>
      </w:r>
      <w:r w:rsidRPr="002A7F86">
        <w:rPr>
          <w:color w:val="000000" w:themeColor="text1"/>
        </w:rPr>
        <w:tab/>
      </w:r>
      <w:proofErr w:type="spellStart"/>
      <w:r w:rsidRPr="002A7F86">
        <w:rPr>
          <w:color w:val="000000" w:themeColor="text1"/>
        </w:rPr>
        <w:t>megjegyzi</w:t>
      </w:r>
      <w:proofErr w:type="spellEnd"/>
      <w:r w:rsidRPr="002A7F86">
        <w:rPr>
          <w:color w:val="000000" w:themeColor="text1"/>
        </w:rPr>
        <w:t xml:space="preserve">, hogy az ügynökség arra törekedett, hogy az eljárások automatizálása révén javítsa hatékonyságát és eredményességét azzal a céllal, hogy jelentősen csökkentse az egyes alkalmazottak adminisztratív </w:t>
      </w:r>
      <w:proofErr w:type="spellStart"/>
      <w:r w:rsidRPr="002A7F86">
        <w:rPr>
          <w:color w:val="000000" w:themeColor="text1"/>
        </w:rPr>
        <w:t>munkaterhét</w:t>
      </w:r>
      <w:proofErr w:type="spellEnd"/>
      <w:r w:rsidRPr="002A7F86">
        <w:rPr>
          <w:color w:val="000000" w:themeColor="text1"/>
        </w:rPr>
        <w:t xml:space="preserve">, lehetővé téve számukra, hogy nagyobb hozzáadott értékkel rendelkező kapcsolódó területekre összpontosítsanak; </w:t>
      </w:r>
      <w:proofErr w:type="spellStart"/>
      <w:r w:rsidRPr="002A7F86">
        <w:rPr>
          <w:color w:val="000000" w:themeColor="text1"/>
        </w:rPr>
        <w:t>megjegyzi</w:t>
      </w:r>
      <w:proofErr w:type="spellEnd"/>
      <w:r w:rsidRPr="002A7F86">
        <w:rPr>
          <w:color w:val="000000" w:themeColor="text1"/>
        </w:rPr>
        <w:t xml:space="preserve"> továbbá, hogy az ügynökség a minősített elektronikus aláírásra és a szervezeti eszközök ARES-be történő integrálására irányuló kísérleti projekteket kezdeményezett; felkéri az </w:t>
      </w:r>
      <w:proofErr w:type="spellStart"/>
      <w:r w:rsidRPr="002A7F86">
        <w:rPr>
          <w:color w:val="000000" w:themeColor="text1"/>
        </w:rPr>
        <w:t>ügynükséget</w:t>
      </w:r>
      <w:proofErr w:type="spellEnd"/>
      <w:r w:rsidRPr="002A7F86">
        <w:rPr>
          <w:color w:val="000000" w:themeColor="text1"/>
        </w:rPr>
        <w:t xml:space="preserve">, hogy találjon több olyan belső eljárást, amelyeket </w:t>
      </w:r>
      <w:proofErr w:type="spellStart"/>
      <w:r w:rsidRPr="002A7F86">
        <w:rPr>
          <w:color w:val="000000" w:themeColor="text1"/>
        </w:rPr>
        <w:t>automatizáció</w:t>
      </w:r>
      <w:proofErr w:type="spellEnd"/>
      <w:r w:rsidRPr="002A7F86">
        <w:rPr>
          <w:color w:val="000000" w:themeColor="text1"/>
        </w:rPr>
        <w:t xml:space="preserve"> révén</w:t>
      </w:r>
      <w:proofErr w:type="gramEnd"/>
      <w:r w:rsidRPr="002A7F86">
        <w:rPr>
          <w:color w:val="000000" w:themeColor="text1"/>
        </w:rPr>
        <w:t xml:space="preserve"> </w:t>
      </w:r>
      <w:proofErr w:type="gramStart"/>
      <w:r w:rsidRPr="002A7F86">
        <w:rPr>
          <w:color w:val="000000" w:themeColor="text1"/>
        </w:rPr>
        <w:t>egyszerűsíteni</w:t>
      </w:r>
      <w:proofErr w:type="gramEnd"/>
      <w:r w:rsidRPr="002A7F86">
        <w:rPr>
          <w:color w:val="000000" w:themeColor="text1"/>
        </w:rPr>
        <w:t xml:space="preserve"> lehetne;</w:t>
      </w:r>
    </w:p>
    <w:p w:rsidR="003C7FF6" w:rsidRPr="002A7F86" w:rsidRDefault="003C7FF6" w:rsidP="00A81D50">
      <w:pPr>
        <w:widowControl/>
        <w:spacing w:after="240"/>
        <w:ind w:left="567" w:hanging="567"/>
        <w:rPr>
          <w:b/>
          <w:i/>
          <w:szCs w:val="24"/>
        </w:rPr>
      </w:pPr>
      <w:r w:rsidRPr="002A7F86">
        <w:rPr>
          <w:b/>
          <w:i/>
        </w:rPr>
        <w:t>Személyzeti politika</w:t>
      </w:r>
    </w:p>
    <w:p w:rsidR="003C7FF6" w:rsidRPr="002A7F86" w:rsidRDefault="003C7FF6" w:rsidP="00A81D50">
      <w:pPr>
        <w:pStyle w:val="NormalHanging12a"/>
        <w:widowControl/>
        <w:rPr>
          <w:szCs w:val="24"/>
        </w:rPr>
      </w:pPr>
      <w:r w:rsidRPr="002A7F86">
        <w:t>12.</w:t>
      </w:r>
      <w:r w:rsidRPr="002A7F86">
        <w:tab/>
        <w:t>megállapítja, hogy 2022. december 31-én a létszámterv 99,06%-</w:t>
      </w:r>
      <w:proofErr w:type="spellStart"/>
      <w:r w:rsidRPr="002A7F86">
        <w:t>ban</w:t>
      </w:r>
      <w:proofErr w:type="spellEnd"/>
      <w:r w:rsidRPr="002A7F86">
        <w:t xml:space="preserve"> teljesült: az uniós költségvetés értelmében engedélyezett 212 tisztviselői és ideiglenes alkalmazotti álláshelyből 210 volt betöltve (nincs változás 2021-hez képest); </w:t>
      </w:r>
      <w:proofErr w:type="spellStart"/>
      <w:r w:rsidRPr="002A7F86">
        <w:t>megjegyzi</w:t>
      </w:r>
      <w:proofErr w:type="spellEnd"/>
      <w:r w:rsidRPr="002A7F86">
        <w:t>, hogy ezen felül 28 szerződéses alkalmazott és 16 kirendelt nemzeti szakértő dolgozott az ügynökségnél 2022-ban;</w:t>
      </w:r>
    </w:p>
    <w:p w:rsidR="003C7FF6" w:rsidRPr="002A7F86" w:rsidRDefault="003C7FF6" w:rsidP="00A81D50">
      <w:pPr>
        <w:pStyle w:val="NormalHanging12a"/>
        <w:widowControl/>
      </w:pPr>
      <w:proofErr w:type="gramStart"/>
      <w:r w:rsidRPr="002A7F86">
        <w:t>13.</w:t>
      </w:r>
      <w:r w:rsidRPr="002A7F86">
        <w:tab/>
      </w:r>
      <w:proofErr w:type="spellStart"/>
      <w:r w:rsidRPr="002A7F86">
        <w:t>megjegyzi</w:t>
      </w:r>
      <w:proofErr w:type="spellEnd"/>
      <w:r w:rsidRPr="002A7F86">
        <w:t xml:space="preserve">, hogy az ügynökség felső és középvezetésében hiányzik a nemek közötti egyensúly: 16 főből 5 nő (31%); </w:t>
      </w:r>
      <w:proofErr w:type="spellStart"/>
      <w:r w:rsidRPr="002A7F86">
        <w:t>megjegyzi</w:t>
      </w:r>
      <w:proofErr w:type="spellEnd"/>
      <w:r w:rsidRPr="002A7F86">
        <w:t xml:space="preserve">, hogy az ügynökség igazgatótanácsában nem áll fenn a nemek közötti egyensúly: 57-ből 10 nő (18%); </w:t>
      </w:r>
      <w:proofErr w:type="spellStart"/>
      <w:r w:rsidRPr="002A7F86">
        <w:t>megjegyzi</w:t>
      </w:r>
      <w:proofErr w:type="spellEnd"/>
      <w:r w:rsidRPr="002A7F86">
        <w:t xml:space="preserve"> továbbá, hogy az ügynökség teljes személyzetében sem érvényesül a nemek közötti egyensúly: 264 főből 99 nő (38%); emlékeztet a nemek közötti egyensúly biztosításának fontosságára, és felhívja az ügynökséget, hogy vegye figyelembe ezt a szempontot a személyzet jövőbeli felvétele, valamint a felső és középvezetésen belüli kinevezések tekintetében; üdvözli e tekintetben,</w:t>
      </w:r>
      <w:proofErr w:type="gramEnd"/>
      <w:r w:rsidRPr="002A7F86">
        <w:t xml:space="preserve"> </w:t>
      </w:r>
      <w:proofErr w:type="gramStart"/>
      <w:r w:rsidRPr="002A7F86">
        <w:t xml:space="preserve">hogy az ügynökség elindította a nemek közötti egyenlőségre vonatkozó 2022–2025-ös cselekvési tervet, amely a nemek közötti egyensúly és az egyenlőség hosszú távú, minőségi alapon történő javítására összpontosít; kéri a Bizottságot és a tagállamokat, hogy az ügynökség igazgatótanácsi tagjainak kinevezésekor tartsák szem előtt a nemek közötti egyensúly biztosításának fontosságát; </w:t>
      </w:r>
      <w:proofErr w:type="spellStart"/>
      <w:r w:rsidRPr="002A7F86">
        <w:t>ösztönzi</w:t>
      </w:r>
      <w:proofErr w:type="spellEnd"/>
      <w:r w:rsidRPr="002A7F86">
        <w:t xml:space="preserve"> az ügynökséget arra is, hogy fogadja el a sokszínűségről és befogadásról szóló </w:t>
      </w:r>
      <w:r w:rsidRPr="002A7F86">
        <w:lastRenderedPageBreak/>
        <w:t>chartát, és továbbra is vegyen részt a munkahelyi sokszínűséget és befogadást a hierarchia valamennyi szintjén előmozdító kezdeményezésekben;</w:t>
      </w:r>
      <w:proofErr w:type="gramEnd"/>
    </w:p>
    <w:p w:rsidR="003C7FF6" w:rsidRPr="002A7F86" w:rsidRDefault="003C7FF6" w:rsidP="00A81D50">
      <w:pPr>
        <w:widowControl/>
        <w:spacing w:after="240"/>
        <w:ind w:left="567" w:hanging="567"/>
      </w:pPr>
      <w:proofErr w:type="gramStart"/>
      <w:r w:rsidRPr="002A7F86">
        <w:t>14.</w:t>
      </w:r>
      <w:r w:rsidRPr="002A7F86">
        <w:tab/>
        <w:t xml:space="preserve">hangsúlyozza, hogy továbbra is kihívást jelent a kirendelt nemzeti szakértők felvétele, tekintettel a tagállami szakértők vonzásának nehézségére; rámutat, hogy az ügynökség néhány felhívása sikertelennek bizonyult; javasolja, hogy a belső szerződéses alkalmazottaknak adjanak lehetőséget a következő besorolási csoportba való </w:t>
      </w:r>
      <w:proofErr w:type="spellStart"/>
      <w:r w:rsidRPr="002A7F86">
        <w:t>előrelépésre</w:t>
      </w:r>
      <w:proofErr w:type="spellEnd"/>
      <w:r w:rsidRPr="002A7F86">
        <w:t xml:space="preserve"> általános kiválasztási eljárás révén; a hatékonyságnövelést illetően </w:t>
      </w:r>
      <w:proofErr w:type="spellStart"/>
      <w:r w:rsidRPr="002A7F86">
        <w:t>megjegyzi</w:t>
      </w:r>
      <w:proofErr w:type="spellEnd"/>
      <w:r w:rsidRPr="002A7F86">
        <w:t>, hogy az ügynökség célul tűzte ki és dolgozik azon, hogy javítsa eljárásait annak érdekében, hogy növelje hatékonyságát és eredményességét az emberi és pénzügyi erőforrások optimális</w:t>
      </w:r>
      <w:proofErr w:type="gramEnd"/>
      <w:r w:rsidRPr="002A7F86">
        <w:t xml:space="preserve"> </w:t>
      </w:r>
      <w:proofErr w:type="gramStart"/>
      <w:r w:rsidRPr="002A7F86">
        <w:t>felhasználása</w:t>
      </w:r>
      <w:proofErr w:type="gramEnd"/>
      <w:r w:rsidRPr="002A7F86">
        <w:t xml:space="preserve"> érdekében;</w:t>
      </w:r>
    </w:p>
    <w:p w:rsidR="003C7FF6" w:rsidRPr="002A7F86" w:rsidRDefault="003C7FF6" w:rsidP="00A81D50">
      <w:pPr>
        <w:pStyle w:val="NormalHanging12a"/>
        <w:widowControl/>
      </w:pPr>
      <w:r w:rsidRPr="002A7F86">
        <w:t>15.</w:t>
      </w:r>
      <w:r w:rsidRPr="002A7F86">
        <w:tab/>
        <w:t xml:space="preserve">üdvözli, hogy a munkahelyi zaklatás megelőzésével összefüggésben hat új bizalmi személyt neveztek ki, miután sikeresen elvégezték a kötelező képzést, és ezek jelenleg </w:t>
      </w:r>
      <w:proofErr w:type="gramStart"/>
      <w:r w:rsidRPr="002A7F86">
        <w:t>aktív</w:t>
      </w:r>
      <w:proofErr w:type="gramEnd"/>
      <w:r w:rsidRPr="002A7F86">
        <w:t xml:space="preserve"> szerepet töltenek be az ügynökségnél;</w:t>
      </w:r>
    </w:p>
    <w:p w:rsidR="003C7FF6" w:rsidRPr="002A7F86" w:rsidRDefault="003C7FF6" w:rsidP="00A81D50">
      <w:pPr>
        <w:pStyle w:val="NormalHanging12a"/>
        <w:widowControl/>
      </w:pPr>
      <w:r w:rsidRPr="002A7F86">
        <w:t>16.</w:t>
      </w:r>
      <w:r w:rsidRPr="002A7F86">
        <w:tab/>
      </w:r>
      <w:proofErr w:type="spellStart"/>
      <w:r w:rsidRPr="002A7F86">
        <w:t>megjegyzi</w:t>
      </w:r>
      <w:proofErr w:type="spellEnd"/>
      <w:r w:rsidRPr="002A7F86">
        <w:t xml:space="preserve">, hogy az ügynökség elindított egy emberierőforrás-stratégiai projektet a személyzettel, a vezetéssel és a személyzeti bizottsággal folytatott </w:t>
      </w:r>
      <w:proofErr w:type="gramStart"/>
      <w:r w:rsidRPr="002A7F86">
        <w:t>konzultációval</w:t>
      </w:r>
      <w:proofErr w:type="gramEnd"/>
      <w:r w:rsidRPr="002A7F86">
        <w:t xml:space="preserve">, egy, az újonnan érkezőknek szóló online bevezető program létrehozására irányuló projektet, valamint a munkaidőről és a hibrid munkavégzésről szóló határozattal kapcsolatos előkészítő munkát, amelyet a tervek szerint 2023-ban fogadtak el; felkéri az ügynökséget, hogy a kérdésben történt </w:t>
      </w:r>
      <w:proofErr w:type="spellStart"/>
      <w:r w:rsidRPr="002A7F86">
        <w:t>előrelépésekről</w:t>
      </w:r>
      <w:proofErr w:type="spellEnd"/>
      <w:r w:rsidRPr="002A7F86">
        <w:t xml:space="preserve"> tájékoztassa a mentesítésért felelős hatóságot;</w:t>
      </w:r>
    </w:p>
    <w:p w:rsidR="003C7FF6" w:rsidRPr="002A7F86" w:rsidRDefault="003C7FF6" w:rsidP="00A81D50">
      <w:pPr>
        <w:pStyle w:val="NormalHanging12a"/>
        <w:widowControl/>
        <w:rPr>
          <w:b/>
          <w:i/>
          <w:szCs w:val="24"/>
        </w:rPr>
      </w:pPr>
      <w:r w:rsidRPr="002A7F86">
        <w:rPr>
          <w:b/>
          <w:i/>
        </w:rPr>
        <w:t>Az összeférhetetlenségek megelőzése és kezelése, valamint az átláthatóság</w:t>
      </w:r>
    </w:p>
    <w:p w:rsidR="003C7FF6" w:rsidRPr="002A7F86" w:rsidRDefault="003C7FF6" w:rsidP="00A81D50">
      <w:pPr>
        <w:widowControl/>
        <w:spacing w:after="240"/>
        <w:ind w:left="567" w:hanging="567"/>
        <w:rPr>
          <w:szCs w:val="24"/>
        </w:rPr>
      </w:pPr>
      <w:proofErr w:type="gramStart"/>
      <w:r w:rsidRPr="002A7F86">
        <w:t>17.</w:t>
      </w:r>
      <w:r w:rsidRPr="002A7F86">
        <w:tab/>
        <w:t xml:space="preserve">tudomásul veszi, hogy az ügynökség igazgatási tanácsának tagjait és póttagjait arra kérik, hogy jelölésükkor és évente írjanak alá kötelezettségvállalási és titoktartási nyilatkozatot, és az igazgatási tanács minden ülésének elején nyilatkozzanak minden olyan (potenciális) összeférhetetlenségről, amely kihathat a napirend bármely pontjának kezelésére; </w:t>
      </w:r>
      <w:proofErr w:type="spellStart"/>
      <w:r w:rsidRPr="002A7F86">
        <w:t>megjegyzi</w:t>
      </w:r>
      <w:proofErr w:type="spellEnd"/>
      <w:r w:rsidRPr="002A7F86">
        <w:t>, hogy a személyzet valamennyi tagjának (beleértve a konkrét eljárásokban részt vevő felső vezetést is) be kell jelentenie a (lehetséges) összeférhetetlensége</w:t>
      </w:r>
      <w:r w:rsidR="005372FE" w:rsidRPr="002A7F86">
        <w:t>ke</w:t>
      </w:r>
      <w:r w:rsidRPr="002A7F86">
        <w:t>t a különböző eljárásokban, például a közbeszerzésben és a munkaerő-felvételben;</w:t>
      </w:r>
      <w:proofErr w:type="gramEnd"/>
      <w:r w:rsidRPr="002A7F86">
        <w:t xml:space="preserve">  </w:t>
      </w:r>
      <w:proofErr w:type="gramStart"/>
      <w:r w:rsidRPr="002A7F86">
        <w:t>tudomásul</w:t>
      </w:r>
      <w:proofErr w:type="gramEnd"/>
      <w:r w:rsidRPr="002A7F86">
        <w:t xml:space="preserve"> veszi, hogy 2022 folyamán egy kiválasztási bizottsági tag egy összeférhetetlenségi esetet jelentett be egy felvételi eljárás során, és a bejelentett összeférhetetlenség elemzését követően a tagot másvalakivel helyettesítették;</w:t>
      </w:r>
    </w:p>
    <w:p w:rsidR="003C7FF6" w:rsidRPr="002A7F86" w:rsidRDefault="003C7FF6" w:rsidP="00A81D50">
      <w:pPr>
        <w:widowControl/>
        <w:spacing w:after="240"/>
        <w:ind w:left="567" w:hanging="567"/>
        <w:rPr>
          <w:szCs w:val="24"/>
        </w:rPr>
      </w:pPr>
      <w:r w:rsidRPr="002A7F86">
        <w:t>18.</w:t>
      </w:r>
      <w:r w:rsidRPr="002A7F86">
        <w:tab/>
      </w:r>
      <w:proofErr w:type="spellStart"/>
      <w:r w:rsidRPr="002A7F86">
        <w:t>megjegyzi</w:t>
      </w:r>
      <w:proofErr w:type="spellEnd"/>
      <w:r w:rsidRPr="002A7F86">
        <w:t xml:space="preserve">, hogy az ügynökség elfogadta az EMSA igazgatótanácsának összeférhetetlenségi politikáját, amely elveket állapít meg tagjai és póttagjai </w:t>
      </w:r>
      <w:proofErr w:type="spellStart"/>
      <w:r w:rsidRPr="002A7F86">
        <w:t>pártatlanságának</w:t>
      </w:r>
      <w:proofErr w:type="spellEnd"/>
      <w:r w:rsidRPr="002A7F86">
        <w:t xml:space="preserve"> és függetlenségének szabályozására, és meghatározza a gyakorlati alkalmazásukat biztosító intézkedéseket azon kockázat megelőzése és csökkentése érdekében, hogy a múltbeli, jelenlegi vagy jövőbeli érdekeik nem megfelelő módon befolyásolhatják az igazgatótanács tagjainak </w:t>
      </w:r>
      <w:proofErr w:type="spellStart"/>
      <w:r w:rsidRPr="002A7F86">
        <w:t>pártatlanságát</w:t>
      </w:r>
      <w:proofErr w:type="spellEnd"/>
      <w:r w:rsidRPr="002A7F86">
        <w:t xml:space="preserve"> és függetlenségét feladataik ellátása során;</w:t>
      </w:r>
    </w:p>
    <w:p w:rsidR="003C7FF6" w:rsidRPr="002A7F86" w:rsidRDefault="003C7FF6" w:rsidP="00A81D50">
      <w:pPr>
        <w:widowControl/>
        <w:spacing w:after="240"/>
        <w:ind w:left="567" w:hanging="567"/>
        <w:rPr>
          <w:szCs w:val="24"/>
        </w:rPr>
      </w:pPr>
      <w:r w:rsidRPr="002A7F86">
        <w:t>19.</w:t>
      </w:r>
      <w:r w:rsidRPr="002A7F86">
        <w:tab/>
        <w:t>tudomásul veszi</w:t>
      </w:r>
      <w:r w:rsidR="005372FE" w:rsidRPr="002A7F86">
        <w:t xml:space="preserve"> annak tényét,</w:t>
      </w:r>
      <w:r w:rsidRPr="002A7F86">
        <w:t xml:space="preserve"> hogy az igazgatótanács tagjainak és a vezetőség tagjainak szakmai életrajzát közzéteszik az ügynökség honlapján;</w:t>
      </w:r>
    </w:p>
    <w:p w:rsidR="003C7FF6" w:rsidRPr="002A7F86" w:rsidRDefault="003C7FF6" w:rsidP="00A81D50">
      <w:pPr>
        <w:pStyle w:val="Normal12Hanging"/>
        <w:widowControl/>
        <w:rPr>
          <w:b/>
          <w:i/>
          <w:szCs w:val="24"/>
        </w:rPr>
      </w:pPr>
      <w:r w:rsidRPr="002A7F86">
        <w:rPr>
          <w:b/>
          <w:i/>
        </w:rPr>
        <w:t>Egyéb megjegyzések</w:t>
      </w:r>
    </w:p>
    <w:p w:rsidR="003C7FF6" w:rsidRPr="002A7F86" w:rsidRDefault="003C7FF6" w:rsidP="00A81D50">
      <w:pPr>
        <w:widowControl/>
        <w:spacing w:after="240"/>
        <w:ind w:left="567" w:hanging="567"/>
        <w:rPr>
          <w:szCs w:val="24"/>
        </w:rPr>
      </w:pPr>
      <w:r w:rsidRPr="002A7F86">
        <w:lastRenderedPageBreak/>
        <w:t>20.</w:t>
      </w:r>
      <w:r w:rsidRPr="002A7F86">
        <w:tab/>
        <w:t xml:space="preserve">elismerését fejezi ki amiatt, hogy az ügynökség kockázatkezelési keretével összhangban a kockázatnyilvántartást 2022-ben teljes mértékben frissítették és finomították, és hogy e gyakorlat során különös figyelmet fordítottak a csalással kapcsolatos </w:t>
      </w:r>
      <w:proofErr w:type="gramStart"/>
      <w:r w:rsidRPr="002A7F86">
        <w:t>potenciális</w:t>
      </w:r>
      <w:proofErr w:type="gramEnd"/>
      <w:r w:rsidRPr="002A7F86">
        <w:t xml:space="preserve"> kockázatok és általános lehetőségek azonosítására; üdvözli továbbá, hogy Oroszország Ukrajna elleni támadását követően e jelentős válsággal kapcsolatban számos új kockázatot és lehetőséget azonosítottak és vettek fel az aktualizált kockázati nyilvántartásokba;</w:t>
      </w:r>
    </w:p>
    <w:p w:rsidR="003C7FF6" w:rsidRPr="002A7F86" w:rsidRDefault="003C7FF6" w:rsidP="00A81D50">
      <w:pPr>
        <w:widowControl/>
        <w:spacing w:after="240"/>
        <w:ind w:left="567" w:hanging="567"/>
        <w:rPr>
          <w:szCs w:val="24"/>
        </w:rPr>
      </w:pPr>
      <w:r w:rsidRPr="002A7F86">
        <w:t>21.</w:t>
      </w:r>
      <w:r w:rsidRPr="002A7F86">
        <w:tab/>
        <w:t>méltányolja, hogy az ügynökség számos eseti terméket fejlesztett ki, amelyek segítséget nyújtanak a tagállamoknak és a Bizottságnak az Oroszországi Föderáció Ukrajna elleni támadásához kapcsolódó uniós szankciók végrehajtásában, például az egyes rakományokhoz és lobogókhoz kapcsolódó hajókikötések bejelentésében; üdvözli továbbá, hogy az ügynökség kifejlesztett és az érintettek rendelkezésére bocsát egy, az ukrajnai fejlemények által a tengeri forgalomra és kereskedelemre gyakorolt hatásokról szóló havi jelentést;</w:t>
      </w:r>
    </w:p>
    <w:p w:rsidR="003C7FF6" w:rsidRPr="002A7F86" w:rsidRDefault="003C7FF6" w:rsidP="00A81D50">
      <w:pPr>
        <w:widowControl/>
        <w:spacing w:after="240"/>
        <w:ind w:left="567" w:hanging="567"/>
        <w:rPr>
          <w:szCs w:val="24"/>
        </w:rPr>
      </w:pPr>
      <w:r w:rsidRPr="002A7F86">
        <w:t>22.</w:t>
      </w:r>
      <w:r w:rsidRPr="002A7F86">
        <w:tab/>
        <w:t xml:space="preserve">üdvözli, hogy az ügynökség 2022-ben különböző zöldítési tevékenységeket hajtott végre, például kiterjedt kommunikációs kampányt folytatott, külön helyiséget hozott létre a még használható irodaszerek számára, részt vett az Európai Mobilitási Héten, és csökkentette az épületek alaphőmérsékletét a téli </w:t>
      </w:r>
      <w:proofErr w:type="gramStart"/>
      <w:r w:rsidRPr="002A7F86">
        <w:t>szezonban</w:t>
      </w:r>
      <w:proofErr w:type="gramEnd"/>
      <w:r w:rsidRPr="002A7F86">
        <w:t>;</w:t>
      </w:r>
    </w:p>
    <w:p w:rsidR="003C7FF6" w:rsidRPr="002A7F86" w:rsidRDefault="003C7FF6" w:rsidP="00A81D50">
      <w:pPr>
        <w:widowControl/>
        <w:spacing w:after="240"/>
        <w:ind w:left="567" w:hanging="567"/>
        <w:rPr>
          <w:szCs w:val="24"/>
        </w:rPr>
      </w:pPr>
      <w:r w:rsidRPr="002A7F86">
        <w:t>23.</w:t>
      </w:r>
      <w:r w:rsidRPr="002A7F86">
        <w:tab/>
        <w:t xml:space="preserve">emlékeztet arra, hogy az ügynökség 2019-ben elindította az EMSA </w:t>
      </w:r>
      <w:proofErr w:type="spellStart"/>
      <w:r w:rsidRPr="002A7F86">
        <w:t>környezetbarátabbá</w:t>
      </w:r>
      <w:proofErr w:type="spellEnd"/>
      <w:r w:rsidRPr="002A7F86">
        <w:t xml:space="preserve"> tételét azzal a céllal, hogy bevezesse a környezetközpontú irányítási rendszert, és a külső ellenőrzés utolsó lépésére 2022 januárjában került sor; </w:t>
      </w:r>
      <w:proofErr w:type="spellStart"/>
      <w:r w:rsidRPr="002A7F86">
        <w:t>megjegyzi</w:t>
      </w:r>
      <w:proofErr w:type="spellEnd"/>
      <w:r w:rsidRPr="002A7F86">
        <w:t>, hogy ennek következtében az ügynökség megkapta az EMAS-címkét, és közzétette környezetvédelmi nyilatkozatát;</w:t>
      </w:r>
    </w:p>
    <w:p w:rsidR="003C7FF6" w:rsidRPr="002A7F86" w:rsidRDefault="003C7FF6" w:rsidP="00A81D50">
      <w:pPr>
        <w:widowControl/>
        <w:spacing w:after="240"/>
        <w:ind w:left="567" w:hanging="567"/>
        <w:rPr>
          <w:szCs w:val="24"/>
        </w:rPr>
      </w:pPr>
      <w:proofErr w:type="gramStart"/>
      <w:r w:rsidRPr="002A7F86">
        <w:t>24.</w:t>
      </w:r>
      <w:r w:rsidRPr="002A7F86">
        <w:tab/>
      </w:r>
      <w:proofErr w:type="spellStart"/>
      <w:r w:rsidRPr="002A7F86">
        <w:t>megjegyzi</w:t>
      </w:r>
      <w:proofErr w:type="spellEnd"/>
      <w:r w:rsidRPr="002A7F86">
        <w:t xml:space="preserve">, hogy az ügynökség fokozta együttműködését az Európai Uniós </w:t>
      </w:r>
      <w:proofErr w:type="spellStart"/>
      <w:r w:rsidRPr="002A7F86">
        <w:t>Kiberbiztonsági</w:t>
      </w:r>
      <w:proofErr w:type="spellEnd"/>
      <w:r w:rsidRPr="002A7F86">
        <w:t xml:space="preserve"> Ügynökséggel azáltal, hogy részt vett a közelgő </w:t>
      </w:r>
      <w:proofErr w:type="spellStart"/>
      <w:r w:rsidRPr="002A7F86">
        <w:t>kiberbiztonsági</w:t>
      </w:r>
      <w:proofErr w:type="spellEnd"/>
      <w:r w:rsidRPr="002A7F86">
        <w:t xml:space="preserve"> rendelet jövőbeli végrehajtására irányuló kísérleti projektben; </w:t>
      </w:r>
      <w:proofErr w:type="spellStart"/>
      <w:r w:rsidRPr="002A7F86">
        <w:t>megjegyzi</w:t>
      </w:r>
      <w:proofErr w:type="spellEnd"/>
      <w:r w:rsidRPr="002A7F86">
        <w:t xml:space="preserve"> továbbá, hogy az ügynökség megerősítette együttműködését a CERT EU-val azáltal, hogy megújított egy külön szolgáltatási szintre vonatkozó megállapodást, amely immár több intézkedést foglal magában, például több biztonsági értékelést, valamint azáltal, hogy hozzáférést biztosít az EMSA informatikai infrastruktúrájában a biztonsági események valós idejű nyomon követéséhez;</w:t>
      </w:r>
      <w:proofErr w:type="gramEnd"/>
      <w:r w:rsidRPr="002A7F86">
        <w:t xml:space="preserve"> </w:t>
      </w:r>
      <w:proofErr w:type="spellStart"/>
      <w:proofErr w:type="gramStart"/>
      <w:r w:rsidRPr="002A7F86">
        <w:t>megjegyzi</w:t>
      </w:r>
      <w:proofErr w:type="spellEnd"/>
      <w:proofErr w:type="gramEnd"/>
      <w:r w:rsidRPr="002A7F86">
        <w:t xml:space="preserve"> továbbá, hogy az ügynökség rendszeres biztonsági értékeléseket végez a CERT EU-val és a Tanács intézményközi biztonsági szolgáltatójával;</w:t>
      </w:r>
    </w:p>
    <w:p w:rsidR="003C7FF6" w:rsidRPr="002A7F86" w:rsidRDefault="003C7FF6" w:rsidP="00A81D50">
      <w:pPr>
        <w:widowControl/>
        <w:spacing w:after="240"/>
        <w:ind w:left="567" w:hanging="567"/>
        <w:rPr>
          <w:szCs w:val="24"/>
        </w:rPr>
      </w:pPr>
      <w:r w:rsidRPr="002A7F86">
        <w:t>25.</w:t>
      </w:r>
      <w:r w:rsidRPr="002A7F86">
        <w:tab/>
      </w:r>
      <w:proofErr w:type="spellStart"/>
      <w:r w:rsidRPr="002A7F86">
        <w:t>megjegyzi</w:t>
      </w:r>
      <w:proofErr w:type="spellEnd"/>
      <w:r w:rsidRPr="002A7F86">
        <w:t xml:space="preserve">, hogy az </w:t>
      </w:r>
      <w:proofErr w:type="gramStart"/>
      <w:r w:rsidRPr="002A7F86">
        <w:t>ügynökség különböző</w:t>
      </w:r>
      <w:proofErr w:type="gramEnd"/>
      <w:r w:rsidRPr="002A7F86">
        <w:t xml:space="preserve"> intézkedéseket hajtott végre annak érdekében, hogy növelje nyilvános láthatóságát és online jelenlétét, például konferenciák szervezése, az ügynökség fő tevékenységeit és hatásköreit bemutató videók megosztása, élő közvetítés és az „EMSA nyílt nap” koncepciójának elindítása révén;</w:t>
      </w:r>
    </w:p>
    <w:p w:rsidR="003C7FF6" w:rsidRPr="002A7F86" w:rsidRDefault="003C7FF6" w:rsidP="00A81D50">
      <w:pPr>
        <w:pStyle w:val="NormalHanging12a"/>
        <w:widowControl/>
      </w:pPr>
      <w:r w:rsidRPr="002A7F86">
        <w:t>26.</w:t>
      </w:r>
      <w:r w:rsidRPr="002A7F86">
        <w:tab/>
        <w:t xml:space="preserve">méltányolja az ügynökség aziránti elkötelezettségét, hogy növelje többnyelvű kommunikációját, ezáltal biztosítva a nagyobb elérhetőséget valamennyi európai polgár számára; </w:t>
      </w:r>
      <w:proofErr w:type="spellStart"/>
      <w:r w:rsidRPr="002A7F86">
        <w:t>megjegyzi</w:t>
      </w:r>
      <w:proofErr w:type="spellEnd"/>
      <w:r w:rsidRPr="002A7F86">
        <w:t>, hogy az ügynökség ötéves stratégiája, valamint az európai tengeri környezetre és az európai tengerészeti biztonságra vonatkozó jelentések immár mind a 24 uniós nyelven elérhetőek;</w:t>
      </w:r>
    </w:p>
    <w:p w:rsidR="003C7FF6" w:rsidRPr="002A7F86" w:rsidRDefault="003C7FF6" w:rsidP="00A81D50">
      <w:pPr>
        <w:widowControl/>
        <w:spacing w:after="240"/>
        <w:ind w:left="567" w:hanging="567"/>
      </w:pPr>
      <w:r w:rsidRPr="002A7F86">
        <w:lastRenderedPageBreak/>
        <w:t>27.</w:t>
      </w:r>
      <w:r w:rsidRPr="002A7F86">
        <w:tab/>
        <w:t xml:space="preserve">hangsúlyozza az ügynökség tevékenységeinek jelentőségét a tengeri védelem területén, és kéri, hogy az ügynökség továbbra nyújtson technikai segítséget a hajók és kikötőlétesítmények védelmének fokozásáról szóló </w:t>
      </w:r>
      <w:r w:rsidR="005372FE" w:rsidRPr="002A7F86">
        <w:t>725/2004</w:t>
      </w:r>
      <w:r w:rsidRPr="002A7F86">
        <w:t xml:space="preserve">/EK európai parlamenti és tanácsi rendelet keretében végzett bizottsági ellenőrzésekhez; hangsúlyozza, hogy a tengerhasznosítási ágazatban az utóbbi években jelentősen növekedett a </w:t>
      </w:r>
      <w:proofErr w:type="spellStart"/>
      <w:r w:rsidRPr="002A7F86">
        <w:t>kiberbiztonsági</w:t>
      </w:r>
      <w:proofErr w:type="spellEnd"/>
      <w:r w:rsidRPr="002A7F86">
        <w:t xml:space="preserve"> események száma;</w:t>
      </w:r>
    </w:p>
    <w:p w:rsidR="003C7FF6" w:rsidRPr="002A7F86" w:rsidRDefault="003C7FF6" w:rsidP="00A81D50">
      <w:pPr>
        <w:widowControl/>
        <w:spacing w:after="240"/>
        <w:ind w:left="567" w:hanging="567"/>
      </w:pPr>
      <w:r w:rsidRPr="002A7F86">
        <w:t>28.</w:t>
      </w:r>
      <w:r w:rsidRPr="002A7F86">
        <w:tab/>
        <w:t xml:space="preserve">szorgalmazza a tengerhasznosítási ágazat </w:t>
      </w:r>
      <w:proofErr w:type="spellStart"/>
      <w:r w:rsidRPr="002A7F86">
        <w:t>digitalizációjának</w:t>
      </w:r>
      <w:proofErr w:type="spellEnd"/>
      <w:r w:rsidRPr="002A7F86">
        <w:t xml:space="preserve"> előmozdítását az elektronikus adattovábbítás megkönnyítése, az egyszerűsítés támogatása, valamint integrált tengerfelügyeleti és helyzetismereti rendszereknek és szolgáltatásoknak a Bizottság és a tagállamok részére történő biztosítása révén;</w:t>
      </w:r>
    </w:p>
    <w:p w:rsidR="003C7FF6" w:rsidRPr="002A7F86" w:rsidRDefault="003C7FF6" w:rsidP="00A81D50">
      <w:pPr>
        <w:widowControl/>
        <w:spacing w:after="240"/>
        <w:ind w:left="567" w:hanging="567"/>
      </w:pPr>
      <w:r w:rsidRPr="002A7F86">
        <w:t>29.</w:t>
      </w:r>
      <w:r w:rsidRPr="002A7F86">
        <w:tab/>
        <w:t xml:space="preserve">hangsúlyozza, hogy az Unió flottája (mind a hajók száma, mind a tonnatartalom tekintetében) lassabban növekszik a </w:t>
      </w:r>
      <w:proofErr w:type="gramStart"/>
      <w:r w:rsidRPr="002A7F86">
        <w:t>globális</w:t>
      </w:r>
      <w:proofErr w:type="gramEnd"/>
      <w:r w:rsidRPr="002A7F86">
        <w:t xml:space="preserve"> flottánál; az utóbbi öt évben az Unió flottája 3,4%-</w:t>
      </w:r>
      <w:proofErr w:type="spellStart"/>
      <w:r w:rsidRPr="002A7F86">
        <w:t>kal</w:t>
      </w:r>
      <w:proofErr w:type="spellEnd"/>
      <w:r w:rsidRPr="002A7F86">
        <w:t xml:space="preserve"> növekedett, szemben a globális flotta jelentősebb, 7%-</w:t>
      </w:r>
      <w:proofErr w:type="spellStart"/>
      <w:r w:rsidRPr="002A7F86">
        <w:t>os</w:t>
      </w:r>
      <w:proofErr w:type="spellEnd"/>
      <w:r w:rsidRPr="002A7F86">
        <w:t xml:space="preserve"> növekedési arányával;</w:t>
      </w:r>
    </w:p>
    <w:p w:rsidR="003C7FF6" w:rsidRPr="002A7F86" w:rsidRDefault="003C7FF6" w:rsidP="00A81D50">
      <w:pPr>
        <w:widowControl/>
        <w:spacing w:after="240"/>
        <w:ind w:left="567" w:hanging="567"/>
        <w:jc w:val="center"/>
        <w:rPr>
          <w:szCs w:val="24"/>
        </w:rPr>
      </w:pPr>
      <w:r w:rsidRPr="002A7F86">
        <w:t>°</w:t>
      </w:r>
    </w:p>
    <w:p w:rsidR="003C7FF6" w:rsidRPr="002A7F86" w:rsidRDefault="003C7FF6" w:rsidP="00A81D50">
      <w:pPr>
        <w:pStyle w:val="NormalCenter12a"/>
        <w:widowControl/>
        <w:ind w:left="567" w:hanging="567"/>
        <w:rPr>
          <w:szCs w:val="24"/>
        </w:rPr>
      </w:pPr>
      <w:r w:rsidRPr="002A7F86">
        <w:t>°</w:t>
      </w:r>
      <w:r w:rsidRPr="002A7F86">
        <w:tab/>
        <w:t>°</w:t>
      </w:r>
    </w:p>
    <w:p w:rsidR="003C7FF6" w:rsidRPr="00166080" w:rsidRDefault="003C7FF6" w:rsidP="00A81D50">
      <w:pPr>
        <w:widowControl/>
        <w:spacing w:after="240"/>
        <w:ind w:left="567" w:hanging="567"/>
        <w:rPr>
          <w:szCs w:val="24"/>
        </w:rPr>
      </w:pPr>
      <w:r w:rsidRPr="002A7F86">
        <w:t>30.</w:t>
      </w:r>
      <w:r w:rsidRPr="002A7F86">
        <w:tab/>
        <w:t xml:space="preserve">a mentesítő határozatot kísérő </w:t>
      </w:r>
      <w:proofErr w:type="gramStart"/>
      <w:r w:rsidRPr="002A7F86">
        <w:t>horizontális</w:t>
      </w:r>
      <w:proofErr w:type="gramEnd"/>
      <w:r w:rsidRPr="002A7F86">
        <w:t xml:space="preserve"> jellegű egyéb észrevételei tekintetében utal az ügynökségek teljesítményéről, pénzgazdálkodásáról és ellenőrzéséről szóló, </w:t>
      </w:r>
      <w:r w:rsidR="008D2537" w:rsidRPr="002A7F86">
        <w:t>2024. április 11</w:t>
      </w:r>
      <w:r w:rsidRPr="002A7F86">
        <w:t>-i állásfoglalására</w:t>
      </w:r>
      <w:r w:rsidRPr="002A7F86">
        <w:rPr>
          <w:rStyle w:val="FootnoteReference"/>
        </w:rPr>
        <w:footnoteReference w:id="12"/>
      </w:r>
      <w:r w:rsidRPr="002A7F86">
        <w:t>.</w:t>
      </w:r>
    </w:p>
    <w:sectPr w:rsidR="003C7FF6" w:rsidRPr="00166080" w:rsidSect="00166080">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60EF" w:rsidRPr="00166080" w:rsidRDefault="00B060EF">
      <w:r w:rsidRPr="00166080">
        <w:separator/>
      </w:r>
    </w:p>
  </w:endnote>
  <w:endnote w:type="continuationSeparator" w:id="0">
    <w:p w:rsidR="00B060EF" w:rsidRPr="00166080" w:rsidRDefault="00B060EF">
      <w:r w:rsidRPr="0016608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7FF6" w:rsidRPr="00166080" w:rsidRDefault="003C7FF6" w:rsidP="007B0B5C">
    <w:pPr>
      <w:pStyle w:val="EPFooter"/>
    </w:pPr>
    <w:r w:rsidRPr="00166080">
      <w:t>PE</w:t>
    </w:r>
    <w:r w:rsidRPr="00166080">
      <w:rPr>
        <w:rStyle w:val="HideTWBExt"/>
      </w:rPr>
      <w:t>&lt;NoPE&gt;</w:t>
    </w:r>
    <w:r w:rsidRPr="00166080">
      <w:t>753.526</w:t>
    </w:r>
    <w:r w:rsidRPr="00166080">
      <w:rPr>
        <w:rStyle w:val="HideTWBExt"/>
      </w:rPr>
      <w:t>&lt;/NoPE&gt;&lt;Version&gt;</w:t>
    </w:r>
    <w:r w:rsidRPr="00166080">
      <w:t>v02-00</w:t>
    </w:r>
    <w:r w:rsidRPr="00166080">
      <w:rPr>
        <w:rStyle w:val="HideTWBExt"/>
      </w:rPr>
      <w:t>&lt;/Version&gt;</w:t>
    </w:r>
    <w:r w:rsidRPr="00166080">
      <w:tab/>
    </w:r>
    <w:r w:rsidRPr="00166080">
      <w:fldChar w:fldCharType="begin"/>
    </w:r>
    <w:r w:rsidRPr="00166080">
      <w:instrText xml:space="preserve"> PAGE  \* MERGEFORMAT </w:instrText>
    </w:r>
    <w:r w:rsidRPr="00166080">
      <w:fldChar w:fldCharType="separate"/>
    </w:r>
    <w:r w:rsidR="00166080" w:rsidRPr="00166080">
      <w:rPr>
        <w:noProof/>
      </w:rPr>
      <w:t>2</w:t>
    </w:r>
    <w:r w:rsidRPr="00166080">
      <w:fldChar w:fldCharType="end"/>
    </w:r>
    <w:r w:rsidRPr="00166080">
      <w:t>/</w:t>
    </w:r>
    <w:r w:rsidR="001925D0">
      <w:fldChar w:fldCharType="begin"/>
    </w:r>
    <w:r w:rsidR="001925D0">
      <w:instrText xml:space="preserve"> NUMPAGES  \* MERGEFORMAT </w:instrText>
    </w:r>
    <w:r w:rsidR="001925D0">
      <w:fldChar w:fldCharType="separate"/>
    </w:r>
    <w:r w:rsidR="00166080" w:rsidRPr="00166080">
      <w:rPr>
        <w:noProof/>
      </w:rPr>
      <w:t>3</w:t>
    </w:r>
    <w:r w:rsidR="001925D0">
      <w:rPr>
        <w:noProof/>
      </w:rPr>
      <w:fldChar w:fldCharType="end"/>
    </w:r>
    <w:r w:rsidRPr="00166080">
      <w:tab/>
    </w:r>
    <w:r w:rsidRPr="00166080">
      <w:rPr>
        <w:rStyle w:val="HideTWBExt"/>
      </w:rPr>
      <w:t>&lt;PathFdR&gt;</w:t>
    </w:r>
    <w:r w:rsidRPr="00166080">
      <w:t>RR\1298830HU</w:t>
    </w:r>
    <w:proofErr w:type="gramStart"/>
    <w:r w:rsidRPr="00166080">
      <w:t>.docx</w:t>
    </w:r>
    <w:proofErr w:type="gramEnd"/>
    <w:r w:rsidRPr="00166080">
      <w:rPr>
        <w:rStyle w:val="HideTWBExt"/>
      </w:rPr>
      <w:t>&lt;/PathFdR&gt;</w:t>
    </w:r>
  </w:p>
  <w:p w:rsidR="003C7FF6" w:rsidRPr="00166080" w:rsidRDefault="003C7FF6" w:rsidP="007B0B5C">
    <w:pPr>
      <w:pStyle w:val="EPFooter2"/>
    </w:pPr>
    <w:r w:rsidRPr="00166080">
      <w:t>HU</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7FF6" w:rsidRPr="00166080" w:rsidRDefault="003C7FF6" w:rsidP="007B0B5C">
    <w:pPr>
      <w:pStyle w:val="EPFooter"/>
    </w:pPr>
    <w:r w:rsidRPr="00166080">
      <w:rPr>
        <w:rStyle w:val="HideTWBExt"/>
      </w:rPr>
      <w:t>&lt;PathFdR&gt;</w:t>
    </w:r>
    <w:r w:rsidRPr="00166080">
      <w:t>RR\1298830HU.docx</w:t>
    </w:r>
    <w:r w:rsidRPr="00166080">
      <w:rPr>
        <w:rStyle w:val="HideTWBExt"/>
      </w:rPr>
      <w:t>&lt;/PathFdR&gt;</w:t>
    </w:r>
    <w:r w:rsidRPr="00166080">
      <w:tab/>
    </w:r>
    <w:r w:rsidRPr="00166080">
      <w:tab/>
      <w:t>PE</w:t>
    </w:r>
    <w:r w:rsidRPr="00166080">
      <w:rPr>
        <w:rStyle w:val="HideTWBExt"/>
      </w:rPr>
      <w:t>&lt;NoPE&gt;</w:t>
    </w:r>
    <w:r w:rsidRPr="00166080">
      <w:t>753.526</w:t>
    </w:r>
    <w:r w:rsidRPr="00166080">
      <w:rPr>
        <w:rStyle w:val="HideTWBExt"/>
      </w:rPr>
      <w:t>&lt;/NoPE&gt;&lt;Version&gt;</w:t>
    </w:r>
    <w:r w:rsidRPr="00166080">
      <w:t>v02-00</w:t>
    </w:r>
    <w:r w:rsidRPr="00166080">
      <w:rPr>
        <w:rStyle w:val="HideTWBExt"/>
      </w:rPr>
      <w:t>&lt;/Version&gt;</w:t>
    </w:r>
  </w:p>
  <w:p w:rsidR="003C7FF6" w:rsidRPr="00166080" w:rsidRDefault="003C7FF6" w:rsidP="007B0B5C">
    <w:pPr>
      <w:pStyle w:val="EPFooter2"/>
    </w:pPr>
    <w:proofErr w:type="gramStart"/>
    <w:r w:rsidRPr="00166080">
      <w:t>HU</w:t>
    </w:r>
    <w:proofErr w:type="gramEnd"/>
    <w:r w:rsidRPr="00166080">
      <w:tab/>
    </w:r>
    <w:r w:rsidRPr="00166080">
      <w:rPr>
        <w:b w:val="0"/>
        <w:i/>
        <w:color w:val="C0C0C0"/>
        <w:sz w:val="22"/>
      </w:rPr>
      <w:t>Egyesülve a sokféleségben</w:t>
    </w:r>
    <w:r w:rsidRPr="00166080">
      <w:tab/>
      <w:t>HU</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66080"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66080"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6608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60EF" w:rsidRPr="00166080" w:rsidRDefault="00B060EF">
      <w:r w:rsidRPr="00166080">
        <w:separator/>
      </w:r>
    </w:p>
  </w:footnote>
  <w:footnote w:type="continuationSeparator" w:id="0">
    <w:p w:rsidR="00B060EF" w:rsidRPr="00166080" w:rsidRDefault="00B060EF">
      <w:r w:rsidRPr="00166080">
        <w:continuationSeparator/>
      </w:r>
    </w:p>
  </w:footnote>
  <w:footnote w:id="1">
    <w:p w:rsidR="003C7FF6" w:rsidRPr="00166080" w:rsidRDefault="003C7FF6" w:rsidP="00166080">
      <w:pPr>
        <w:pStyle w:val="FootnoteText"/>
        <w:ind w:left="567" w:hanging="567"/>
        <w:rPr>
          <w:sz w:val="24"/>
          <w:lang w:val="hu-HU"/>
        </w:rPr>
      </w:pPr>
      <w:r w:rsidRPr="00166080">
        <w:rPr>
          <w:rStyle w:val="FootnoteReference"/>
          <w:sz w:val="24"/>
          <w:lang w:val="hu-HU"/>
        </w:rPr>
        <w:footnoteRef/>
      </w:r>
      <w:r w:rsidR="00166080" w:rsidRPr="00166080">
        <w:rPr>
          <w:sz w:val="24"/>
          <w:lang w:val="hu-HU"/>
        </w:rPr>
        <w:t xml:space="preserve"> </w:t>
      </w:r>
      <w:r w:rsidR="00166080" w:rsidRPr="00166080">
        <w:rPr>
          <w:sz w:val="24"/>
          <w:lang w:val="hu-HU"/>
        </w:rPr>
        <w:tab/>
      </w:r>
      <w:r w:rsidRPr="00166080">
        <w:rPr>
          <w:sz w:val="24"/>
          <w:lang w:val="hu-HU"/>
        </w:rPr>
        <w:t>HL C, C/2023/594, 2023.10.27.</w:t>
      </w:r>
    </w:p>
  </w:footnote>
  <w:footnote w:id="2">
    <w:p w:rsidR="003C7FF6" w:rsidRPr="00166080" w:rsidRDefault="003C7FF6" w:rsidP="00166080">
      <w:pPr>
        <w:pStyle w:val="FootnoteText"/>
        <w:ind w:left="567" w:hanging="567"/>
        <w:rPr>
          <w:sz w:val="24"/>
          <w:lang w:val="hu-HU"/>
        </w:rPr>
      </w:pPr>
      <w:r w:rsidRPr="00166080">
        <w:rPr>
          <w:rStyle w:val="FootnoteReference"/>
          <w:sz w:val="24"/>
          <w:lang w:val="hu-HU"/>
        </w:rPr>
        <w:footnoteRef/>
      </w:r>
      <w:r w:rsidR="00166080" w:rsidRPr="00166080">
        <w:rPr>
          <w:sz w:val="24"/>
          <w:lang w:val="hu-HU"/>
        </w:rPr>
        <w:t xml:space="preserve"> </w:t>
      </w:r>
      <w:r w:rsidR="00166080" w:rsidRPr="00166080">
        <w:rPr>
          <w:sz w:val="24"/>
          <w:lang w:val="hu-HU"/>
        </w:rPr>
        <w:tab/>
      </w:r>
      <w:r w:rsidRPr="00166080">
        <w:rPr>
          <w:sz w:val="24"/>
          <w:lang w:val="hu-HU"/>
        </w:rPr>
        <w:t>HL C, C/2023/112, 2023.10.12.</w:t>
      </w:r>
    </w:p>
  </w:footnote>
  <w:footnote w:id="3">
    <w:p w:rsidR="003C7FF6" w:rsidRPr="00166080" w:rsidRDefault="003C7FF6" w:rsidP="00166080">
      <w:pPr>
        <w:pStyle w:val="FootnoteText"/>
        <w:ind w:left="567" w:hanging="567"/>
        <w:rPr>
          <w:sz w:val="24"/>
          <w:lang w:val="hu-HU"/>
        </w:rPr>
      </w:pPr>
      <w:r w:rsidRPr="00166080">
        <w:rPr>
          <w:rStyle w:val="FootnoteReference"/>
          <w:sz w:val="24"/>
          <w:lang w:val="hu-HU"/>
        </w:rPr>
        <w:footnoteRef/>
      </w:r>
      <w:r w:rsidR="00166080" w:rsidRPr="00166080">
        <w:rPr>
          <w:sz w:val="24"/>
          <w:lang w:val="hu-HU"/>
        </w:rPr>
        <w:t xml:space="preserve"> </w:t>
      </w:r>
      <w:r w:rsidR="00166080" w:rsidRPr="00166080">
        <w:rPr>
          <w:sz w:val="24"/>
          <w:lang w:val="hu-HU"/>
        </w:rPr>
        <w:tab/>
      </w:r>
      <w:r w:rsidRPr="00166080">
        <w:rPr>
          <w:sz w:val="24"/>
          <w:lang w:val="hu-HU"/>
        </w:rPr>
        <w:t>HL L 193., 2018.7.30</w:t>
      </w:r>
      <w:proofErr w:type="gramStart"/>
      <w:r w:rsidR="00A81D50">
        <w:rPr>
          <w:sz w:val="24"/>
          <w:lang w:val="hu-HU"/>
        </w:rPr>
        <w:t>.</w:t>
      </w:r>
      <w:r w:rsidRPr="00166080">
        <w:rPr>
          <w:sz w:val="24"/>
          <w:lang w:val="hu-HU"/>
        </w:rPr>
        <w:t>,</w:t>
      </w:r>
      <w:proofErr w:type="gramEnd"/>
      <w:r w:rsidRPr="00166080">
        <w:rPr>
          <w:sz w:val="24"/>
          <w:lang w:val="hu-HU"/>
        </w:rPr>
        <w:t xml:space="preserve"> 1. o.</w:t>
      </w:r>
    </w:p>
  </w:footnote>
  <w:footnote w:id="4">
    <w:p w:rsidR="003C7FF6" w:rsidRPr="00166080" w:rsidRDefault="003C7FF6" w:rsidP="00166080">
      <w:pPr>
        <w:pStyle w:val="FootnoteText"/>
        <w:ind w:left="567" w:hanging="567"/>
        <w:rPr>
          <w:sz w:val="24"/>
          <w:lang w:val="hu-HU"/>
        </w:rPr>
      </w:pPr>
      <w:r w:rsidRPr="00166080">
        <w:rPr>
          <w:rStyle w:val="FootnoteReference"/>
          <w:sz w:val="24"/>
          <w:lang w:val="hu-HU"/>
        </w:rPr>
        <w:footnoteRef/>
      </w:r>
      <w:r w:rsidR="00166080" w:rsidRPr="00166080">
        <w:rPr>
          <w:sz w:val="24"/>
          <w:lang w:val="hu-HU"/>
        </w:rPr>
        <w:t xml:space="preserve"> </w:t>
      </w:r>
      <w:r w:rsidR="00166080" w:rsidRPr="00166080">
        <w:rPr>
          <w:sz w:val="24"/>
          <w:lang w:val="hu-HU"/>
        </w:rPr>
        <w:tab/>
      </w:r>
      <w:r w:rsidRPr="00166080">
        <w:rPr>
          <w:sz w:val="24"/>
          <w:lang w:val="hu-HU"/>
        </w:rPr>
        <w:t>HL L 208., 2002.8.5</w:t>
      </w:r>
      <w:proofErr w:type="gramStart"/>
      <w:r w:rsidRPr="00166080">
        <w:rPr>
          <w:sz w:val="24"/>
          <w:lang w:val="hu-HU"/>
        </w:rPr>
        <w:t>.,</w:t>
      </w:r>
      <w:proofErr w:type="gramEnd"/>
      <w:r w:rsidRPr="00166080">
        <w:rPr>
          <w:sz w:val="24"/>
          <w:lang w:val="hu-HU"/>
        </w:rPr>
        <w:t xml:space="preserve"> 1. o.</w:t>
      </w:r>
    </w:p>
  </w:footnote>
  <w:footnote w:id="5">
    <w:p w:rsidR="003C7FF6" w:rsidRPr="00166080" w:rsidRDefault="003C7FF6" w:rsidP="00166080">
      <w:pPr>
        <w:pStyle w:val="FootnoteText"/>
        <w:ind w:left="567" w:hanging="567"/>
        <w:rPr>
          <w:sz w:val="24"/>
          <w:lang w:val="hu-HU"/>
        </w:rPr>
      </w:pPr>
      <w:r w:rsidRPr="00166080">
        <w:rPr>
          <w:rStyle w:val="FootnoteReference"/>
          <w:sz w:val="24"/>
          <w:lang w:val="hu-HU"/>
        </w:rPr>
        <w:footnoteRef/>
      </w:r>
      <w:r w:rsidR="00166080" w:rsidRPr="00166080">
        <w:rPr>
          <w:sz w:val="24"/>
          <w:lang w:val="hu-HU"/>
        </w:rPr>
        <w:t xml:space="preserve"> </w:t>
      </w:r>
      <w:r w:rsidR="00166080" w:rsidRPr="00166080">
        <w:rPr>
          <w:sz w:val="24"/>
          <w:lang w:val="hu-HU"/>
        </w:rPr>
        <w:tab/>
      </w:r>
      <w:r w:rsidRPr="00166080">
        <w:rPr>
          <w:sz w:val="24"/>
          <w:lang w:val="hu-HU"/>
        </w:rPr>
        <w:t>HL L 122., 2019.5.10</w:t>
      </w:r>
      <w:proofErr w:type="gramStart"/>
      <w:r w:rsidRPr="00166080">
        <w:rPr>
          <w:sz w:val="24"/>
          <w:lang w:val="hu-HU"/>
        </w:rPr>
        <w:t>.,</w:t>
      </w:r>
      <w:proofErr w:type="gramEnd"/>
      <w:r w:rsidRPr="00166080">
        <w:rPr>
          <w:sz w:val="24"/>
          <w:lang w:val="hu-HU"/>
        </w:rPr>
        <w:t xml:space="preserve"> 1. o.</w:t>
      </w:r>
    </w:p>
  </w:footnote>
  <w:footnote w:id="6">
    <w:p w:rsidR="003C7FF6" w:rsidRPr="00166080" w:rsidRDefault="003C7FF6" w:rsidP="00166080">
      <w:pPr>
        <w:pStyle w:val="FootnoteText"/>
        <w:ind w:left="567" w:hanging="567"/>
        <w:rPr>
          <w:sz w:val="24"/>
          <w:lang w:val="hu-HU"/>
        </w:rPr>
      </w:pPr>
      <w:r w:rsidRPr="00166080">
        <w:rPr>
          <w:rStyle w:val="FootnoteReference"/>
          <w:sz w:val="24"/>
          <w:lang w:val="hu-HU"/>
        </w:rPr>
        <w:footnoteRef/>
      </w:r>
      <w:r w:rsidR="00166080" w:rsidRPr="00166080">
        <w:rPr>
          <w:sz w:val="24"/>
          <w:lang w:val="hu-HU"/>
        </w:rPr>
        <w:t xml:space="preserve"> </w:t>
      </w:r>
      <w:r w:rsidR="00166080" w:rsidRPr="00166080">
        <w:rPr>
          <w:sz w:val="24"/>
          <w:lang w:val="hu-HU"/>
        </w:rPr>
        <w:tab/>
      </w:r>
      <w:r w:rsidRPr="00166080">
        <w:rPr>
          <w:sz w:val="24"/>
          <w:lang w:val="hu-HU"/>
        </w:rPr>
        <w:t>HL C, C/2023/594, 2023.10.27.</w:t>
      </w:r>
    </w:p>
  </w:footnote>
  <w:footnote w:id="7">
    <w:p w:rsidR="003C7FF6" w:rsidRPr="00166080" w:rsidRDefault="003C7FF6" w:rsidP="00166080">
      <w:pPr>
        <w:pStyle w:val="FootnoteText"/>
        <w:ind w:left="567" w:hanging="567"/>
        <w:rPr>
          <w:sz w:val="24"/>
          <w:lang w:val="hu-HU"/>
        </w:rPr>
      </w:pPr>
      <w:r w:rsidRPr="00166080">
        <w:rPr>
          <w:rStyle w:val="FootnoteReference"/>
          <w:sz w:val="24"/>
          <w:lang w:val="hu-HU"/>
        </w:rPr>
        <w:footnoteRef/>
      </w:r>
      <w:r w:rsidR="00166080" w:rsidRPr="00166080">
        <w:rPr>
          <w:sz w:val="24"/>
          <w:lang w:val="hu-HU"/>
        </w:rPr>
        <w:t xml:space="preserve"> </w:t>
      </w:r>
      <w:r w:rsidR="00166080" w:rsidRPr="00166080">
        <w:rPr>
          <w:sz w:val="24"/>
          <w:lang w:val="hu-HU"/>
        </w:rPr>
        <w:tab/>
      </w:r>
      <w:r w:rsidRPr="00166080">
        <w:rPr>
          <w:sz w:val="24"/>
          <w:lang w:val="hu-HU"/>
        </w:rPr>
        <w:t>HL C, C/2023/112, 2023.10.12.</w:t>
      </w:r>
    </w:p>
  </w:footnote>
  <w:footnote w:id="8">
    <w:p w:rsidR="003C7FF6" w:rsidRPr="00166080" w:rsidRDefault="003C7FF6" w:rsidP="00166080">
      <w:pPr>
        <w:pStyle w:val="FootnoteText"/>
        <w:ind w:left="567" w:hanging="567"/>
        <w:rPr>
          <w:sz w:val="24"/>
          <w:lang w:val="hu-HU"/>
        </w:rPr>
      </w:pPr>
      <w:r w:rsidRPr="00166080">
        <w:rPr>
          <w:rStyle w:val="FootnoteReference"/>
          <w:sz w:val="24"/>
          <w:lang w:val="hu-HU"/>
        </w:rPr>
        <w:footnoteRef/>
      </w:r>
      <w:r w:rsidR="00166080" w:rsidRPr="00166080">
        <w:rPr>
          <w:sz w:val="24"/>
          <w:lang w:val="hu-HU"/>
        </w:rPr>
        <w:t xml:space="preserve"> </w:t>
      </w:r>
      <w:r w:rsidR="00166080" w:rsidRPr="00166080">
        <w:rPr>
          <w:sz w:val="24"/>
          <w:lang w:val="hu-HU"/>
        </w:rPr>
        <w:tab/>
      </w:r>
      <w:r w:rsidRPr="00166080">
        <w:rPr>
          <w:sz w:val="24"/>
          <w:lang w:val="hu-HU"/>
        </w:rPr>
        <w:t>HL L 193., 2018.7.30</w:t>
      </w:r>
      <w:proofErr w:type="gramStart"/>
      <w:r w:rsidR="00A81D50">
        <w:rPr>
          <w:sz w:val="24"/>
          <w:lang w:val="hu-HU"/>
        </w:rPr>
        <w:t>.</w:t>
      </w:r>
      <w:r w:rsidRPr="00166080">
        <w:rPr>
          <w:sz w:val="24"/>
          <w:lang w:val="hu-HU"/>
        </w:rPr>
        <w:t>,</w:t>
      </w:r>
      <w:proofErr w:type="gramEnd"/>
      <w:r w:rsidRPr="00166080">
        <w:rPr>
          <w:sz w:val="24"/>
          <w:lang w:val="hu-HU"/>
        </w:rPr>
        <w:t xml:space="preserve"> 1. o.</w:t>
      </w:r>
    </w:p>
  </w:footnote>
  <w:footnote w:id="9">
    <w:p w:rsidR="003C7FF6" w:rsidRPr="00166080" w:rsidRDefault="003C7FF6" w:rsidP="00166080">
      <w:pPr>
        <w:pStyle w:val="FootnoteText"/>
        <w:ind w:left="567" w:hanging="567"/>
        <w:rPr>
          <w:sz w:val="24"/>
          <w:lang w:val="hu-HU"/>
        </w:rPr>
      </w:pPr>
      <w:r w:rsidRPr="00166080">
        <w:rPr>
          <w:rStyle w:val="FootnoteReference"/>
          <w:sz w:val="24"/>
          <w:lang w:val="hu-HU"/>
        </w:rPr>
        <w:footnoteRef/>
      </w:r>
      <w:r w:rsidR="00166080" w:rsidRPr="00166080">
        <w:rPr>
          <w:sz w:val="24"/>
          <w:lang w:val="hu-HU"/>
        </w:rPr>
        <w:t xml:space="preserve"> </w:t>
      </w:r>
      <w:r w:rsidR="00166080" w:rsidRPr="00166080">
        <w:rPr>
          <w:sz w:val="24"/>
          <w:lang w:val="hu-HU"/>
        </w:rPr>
        <w:tab/>
      </w:r>
      <w:r w:rsidRPr="00166080">
        <w:rPr>
          <w:sz w:val="24"/>
          <w:lang w:val="hu-HU"/>
        </w:rPr>
        <w:t>HL L 208., 2002.8.5</w:t>
      </w:r>
      <w:proofErr w:type="gramStart"/>
      <w:r w:rsidRPr="00166080">
        <w:rPr>
          <w:sz w:val="24"/>
          <w:lang w:val="hu-HU"/>
        </w:rPr>
        <w:t>.,</w:t>
      </w:r>
      <w:proofErr w:type="gramEnd"/>
      <w:r w:rsidRPr="00166080">
        <w:rPr>
          <w:sz w:val="24"/>
          <w:lang w:val="hu-HU"/>
        </w:rPr>
        <w:t xml:space="preserve"> 1. o.</w:t>
      </w:r>
    </w:p>
  </w:footnote>
  <w:footnote w:id="10">
    <w:p w:rsidR="003C7FF6" w:rsidRPr="00166080" w:rsidRDefault="003C7FF6" w:rsidP="00166080">
      <w:pPr>
        <w:pStyle w:val="FootnoteText"/>
        <w:ind w:left="567" w:hanging="567"/>
        <w:rPr>
          <w:sz w:val="24"/>
          <w:lang w:val="hu-HU"/>
        </w:rPr>
      </w:pPr>
      <w:r w:rsidRPr="00166080">
        <w:rPr>
          <w:rStyle w:val="FootnoteReference"/>
          <w:sz w:val="24"/>
          <w:lang w:val="hu-HU"/>
        </w:rPr>
        <w:footnoteRef/>
      </w:r>
      <w:r w:rsidR="00166080" w:rsidRPr="00166080">
        <w:rPr>
          <w:sz w:val="24"/>
          <w:lang w:val="hu-HU"/>
        </w:rPr>
        <w:t xml:space="preserve"> </w:t>
      </w:r>
      <w:r w:rsidR="00166080" w:rsidRPr="00166080">
        <w:rPr>
          <w:sz w:val="24"/>
          <w:lang w:val="hu-HU"/>
        </w:rPr>
        <w:tab/>
      </w:r>
      <w:r w:rsidRPr="00166080">
        <w:rPr>
          <w:sz w:val="24"/>
          <w:lang w:val="hu-HU"/>
        </w:rPr>
        <w:t>HL L 122., 2019.5.10</w:t>
      </w:r>
      <w:proofErr w:type="gramStart"/>
      <w:r w:rsidRPr="00166080">
        <w:rPr>
          <w:sz w:val="24"/>
          <w:lang w:val="hu-HU"/>
        </w:rPr>
        <w:t>.,</w:t>
      </w:r>
      <w:proofErr w:type="gramEnd"/>
      <w:r w:rsidRPr="00166080">
        <w:rPr>
          <w:sz w:val="24"/>
          <w:lang w:val="hu-HU"/>
        </w:rPr>
        <w:t xml:space="preserve"> 1. o.</w:t>
      </w:r>
    </w:p>
  </w:footnote>
  <w:footnote w:id="11">
    <w:p w:rsidR="003C7FF6" w:rsidRPr="00166080" w:rsidRDefault="003C7FF6" w:rsidP="00166080">
      <w:pPr>
        <w:pStyle w:val="FootnoteText"/>
        <w:ind w:left="567" w:hanging="567"/>
        <w:rPr>
          <w:sz w:val="24"/>
          <w:lang w:val="hu-HU"/>
        </w:rPr>
      </w:pPr>
      <w:r w:rsidRPr="00166080">
        <w:rPr>
          <w:rStyle w:val="FootnoteReference"/>
          <w:sz w:val="24"/>
          <w:lang w:val="hu-HU"/>
        </w:rPr>
        <w:footnoteRef/>
      </w:r>
      <w:r w:rsidR="00166080" w:rsidRPr="00166080">
        <w:rPr>
          <w:sz w:val="24"/>
          <w:lang w:val="hu-HU"/>
        </w:rPr>
        <w:t xml:space="preserve"> </w:t>
      </w:r>
      <w:r w:rsidR="00166080" w:rsidRPr="00166080">
        <w:rPr>
          <w:sz w:val="24"/>
          <w:lang w:val="hu-HU"/>
        </w:rPr>
        <w:tab/>
      </w:r>
      <w:r w:rsidRPr="00166080">
        <w:rPr>
          <w:sz w:val="24"/>
          <w:lang w:val="hu-HU"/>
        </w:rPr>
        <w:t>HL C 73., 2023.2.28</w:t>
      </w:r>
      <w:proofErr w:type="gramStart"/>
      <w:r w:rsidRPr="00166080">
        <w:rPr>
          <w:sz w:val="24"/>
          <w:lang w:val="hu-HU"/>
        </w:rPr>
        <w:t>.</w:t>
      </w:r>
      <w:proofErr w:type="gramEnd"/>
      <w:r w:rsidRPr="00166080">
        <w:rPr>
          <w:sz w:val="24"/>
          <w:lang w:val="hu-HU"/>
        </w:rPr>
        <w:t xml:space="preserve">, </w:t>
      </w:r>
      <w:r w:rsidRPr="00166080">
        <w:rPr>
          <w:sz w:val="24"/>
          <w:lang w:val="hu-HU"/>
        </w:rPr>
        <w:t>9</w:t>
      </w:r>
      <w:r w:rsidR="001925D0">
        <w:rPr>
          <w:sz w:val="24"/>
          <w:lang w:val="hu-HU"/>
        </w:rPr>
        <w:t>1</w:t>
      </w:r>
      <w:bookmarkStart w:id="11" w:name="_GoBack"/>
      <w:bookmarkEnd w:id="11"/>
      <w:r w:rsidRPr="00166080">
        <w:rPr>
          <w:sz w:val="24"/>
          <w:lang w:val="hu-HU"/>
        </w:rPr>
        <w:t>. o.</w:t>
      </w:r>
    </w:p>
  </w:footnote>
  <w:footnote w:id="12">
    <w:p w:rsidR="003C7FF6" w:rsidRPr="00166080" w:rsidRDefault="003C7FF6" w:rsidP="00166080">
      <w:pPr>
        <w:pStyle w:val="FootnoteText"/>
        <w:ind w:left="567" w:hanging="567"/>
        <w:rPr>
          <w:sz w:val="24"/>
          <w:lang w:val="hu-HU"/>
        </w:rPr>
      </w:pPr>
      <w:r w:rsidRPr="00166080">
        <w:rPr>
          <w:rStyle w:val="FootnoteReference"/>
          <w:sz w:val="24"/>
          <w:lang w:val="hu-HU"/>
        </w:rPr>
        <w:footnoteRef/>
      </w:r>
      <w:r w:rsidR="00166080" w:rsidRPr="00166080">
        <w:rPr>
          <w:sz w:val="24"/>
          <w:lang w:val="hu-HU"/>
        </w:rPr>
        <w:t xml:space="preserve"> </w:t>
      </w:r>
      <w:r w:rsidR="00166080" w:rsidRPr="00166080">
        <w:rPr>
          <w:sz w:val="24"/>
          <w:lang w:val="hu-HU"/>
        </w:rPr>
        <w:tab/>
      </w:r>
      <w:r w:rsidRPr="00166080">
        <w:rPr>
          <w:sz w:val="24"/>
          <w:lang w:val="hu-HU"/>
        </w:rPr>
        <w:t>E napon elfogadott szövegek, P9_</w:t>
      </w:r>
      <w:proofErr w:type="gramStart"/>
      <w:r w:rsidRPr="00166080">
        <w:rPr>
          <w:sz w:val="24"/>
          <w:lang w:val="hu-HU"/>
        </w:rPr>
        <w:t>TA(</w:t>
      </w:r>
      <w:proofErr w:type="gramEnd"/>
      <w:r w:rsidRPr="00166080">
        <w:rPr>
          <w:sz w:val="24"/>
          <w:lang w:val="hu-HU"/>
        </w:rPr>
        <w:t>2024)</w:t>
      </w:r>
      <w:r w:rsidR="00C14C94">
        <w:rPr>
          <w:sz w:val="24"/>
          <w:lang w:val="hu-HU"/>
        </w:rPr>
        <w:t>0280</w:t>
      </w:r>
      <w:r w:rsidRPr="00166080">
        <w:rPr>
          <w:sz w:val="24"/>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6608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6608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6608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7/2024"/>
    <w:docVar w:name="dvlangue" w:val="HU"/>
    <w:docVar w:name="dvnumam" w:val="0"/>
    <w:docVar w:name="dvpe" w:val="753.526"/>
    <w:docVar w:name="dvrapporteur" w:val="Előadó: "/>
    <w:docVar w:name="dvtitre" w:val="Az Európai Parlament 2024.  ...-i határozata az Európai Tengerészeti Biztonsági Ügynökség 2022. évi pénzügyi évre szóló költségvetésének végrehajtására vonatkozó mentesítésről(2023/2158(DEC))"/>
  </w:docVars>
  <w:rsids>
    <w:rsidRoot w:val="00B060EF"/>
    <w:rsid w:val="00002272"/>
    <w:rsid w:val="00064002"/>
    <w:rsid w:val="000677B9"/>
    <w:rsid w:val="000831BA"/>
    <w:rsid w:val="000A42CC"/>
    <w:rsid w:val="000E7DD9"/>
    <w:rsid w:val="0010095E"/>
    <w:rsid w:val="00125B37"/>
    <w:rsid w:val="00166080"/>
    <w:rsid w:val="00187494"/>
    <w:rsid w:val="001925D0"/>
    <w:rsid w:val="001F32AE"/>
    <w:rsid w:val="002767FF"/>
    <w:rsid w:val="002A7F86"/>
    <w:rsid w:val="002B18FE"/>
    <w:rsid w:val="002B5493"/>
    <w:rsid w:val="00343214"/>
    <w:rsid w:val="00361C00"/>
    <w:rsid w:val="00395FA1"/>
    <w:rsid w:val="003C7FF6"/>
    <w:rsid w:val="003E15D4"/>
    <w:rsid w:val="00411CCE"/>
    <w:rsid w:val="0041666E"/>
    <w:rsid w:val="00421060"/>
    <w:rsid w:val="00471C19"/>
    <w:rsid w:val="004867E3"/>
    <w:rsid w:val="00494A28"/>
    <w:rsid w:val="004C0004"/>
    <w:rsid w:val="004C5D52"/>
    <w:rsid w:val="0050519A"/>
    <w:rsid w:val="005072A1"/>
    <w:rsid w:val="00514517"/>
    <w:rsid w:val="005372FE"/>
    <w:rsid w:val="00545827"/>
    <w:rsid w:val="00560270"/>
    <w:rsid w:val="005C2568"/>
    <w:rsid w:val="006037C0"/>
    <w:rsid w:val="006631B6"/>
    <w:rsid w:val="00680577"/>
    <w:rsid w:val="006F74FA"/>
    <w:rsid w:val="0071433E"/>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2537"/>
    <w:rsid w:val="00930C23"/>
    <w:rsid w:val="0093193B"/>
    <w:rsid w:val="009509D8"/>
    <w:rsid w:val="00950B64"/>
    <w:rsid w:val="00981893"/>
    <w:rsid w:val="00A1687D"/>
    <w:rsid w:val="00A43E52"/>
    <w:rsid w:val="00A4678D"/>
    <w:rsid w:val="00A778C7"/>
    <w:rsid w:val="00A81D50"/>
    <w:rsid w:val="00AB441E"/>
    <w:rsid w:val="00AB6293"/>
    <w:rsid w:val="00AE0928"/>
    <w:rsid w:val="00AF3B82"/>
    <w:rsid w:val="00B060EF"/>
    <w:rsid w:val="00B12E95"/>
    <w:rsid w:val="00B22876"/>
    <w:rsid w:val="00B558F0"/>
    <w:rsid w:val="00BD48FE"/>
    <w:rsid w:val="00BD7BD8"/>
    <w:rsid w:val="00BE6ADC"/>
    <w:rsid w:val="00C05BFE"/>
    <w:rsid w:val="00C14C94"/>
    <w:rsid w:val="00C23CD4"/>
    <w:rsid w:val="00C61C0C"/>
    <w:rsid w:val="00C941CB"/>
    <w:rsid w:val="00CC2357"/>
    <w:rsid w:val="00CF071A"/>
    <w:rsid w:val="00D058B8"/>
    <w:rsid w:val="00D56C11"/>
    <w:rsid w:val="00D834A0"/>
    <w:rsid w:val="00D872DF"/>
    <w:rsid w:val="00D91E21"/>
    <w:rsid w:val="00DA7FCD"/>
    <w:rsid w:val="00DE0213"/>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B0101D"/>
  <w15:chartTrackingRefBased/>
  <w15:docId w15:val="{6A1C193A-5F4B-4542-99BB-4FEBF1654C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3C7FF6"/>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3C7FF6"/>
    <w:pPr>
      <w:spacing w:before="480" w:after="240"/>
    </w:pPr>
  </w:style>
  <w:style w:type="paragraph" w:customStyle="1" w:styleId="PageHeading">
    <w:name w:val="PageHeading"/>
    <w:basedOn w:val="Normal"/>
    <w:rsid w:val="003C7FF6"/>
    <w:pPr>
      <w:keepNext/>
      <w:spacing w:after="480"/>
      <w:jc w:val="center"/>
    </w:pPr>
    <w:rPr>
      <w:rFonts w:ascii="Arial" w:hAnsi="Arial" w:cs="Arial"/>
      <w:b/>
    </w:rPr>
  </w:style>
  <w:style w:type="paragraph" w:customStyle="1" w:styleId="NormalBold">
    <w:name w:val="NormalBold"/>
    <w:basedOn w:val="Normal"/>
    <w:rsid w:val="003C7FF6"/>
    <w:rPr>
      <w:b/>
    </w:rPr>
  </w:style>
  <w:style w:type="paragraph" w:customStyle="1" w:styleId="NormalHanging12a">
    <w:name w:val="NormalHanging12a"/>
    <w:basedOn w:val="Normal"/>
    <w:link w:val="NormalHanging12aChar"/>
    <w:rsid w:val="003C7FF6"/>
    <w:pPr>
      <w:spacing w:after="240"/>
      <w:ind w:left="567" w:hanging="567"/>
    </w:pPr>
  </w:style>
  <w:style w:type="paragraph" w:customStyle="1" w:styleId="CoverNormal24a">
    <w:name w:val="CoverNormal24a"/>
    <w:basedOn w:val="Normal"/>
    <w:rsid w:val="003C7FF6"/>
    <w:pPr>
      <w:spacing w:after="480"/>
      <w:ind w:left="1417"/>
    </w:pPr>
  </w:style>
  <w:style w:type="paragraph" w:customStyle="1" w:styleId="CoverNormal">
    <w:name w:val="CoverNormal"/>
    <w:basedOn w:val="Normal"/>
    <w:rsid w:val="003C7FF6"/>
    <w:pPr>
      <w:ind w:left="1418"/>
    </w:pPr>
  </w:style>
  <w:style w:type="paragraph" w:customStyle="1" w:styleId="NormalCenter12a">
    <w:name w:val="NormalCenter12a"/>
    <w:basedOn w:val="Normal"/>
    <w:rsid w:val="003C7FF6"/>
    <w:pPr>
      <w:spacing w:after="240"/>
      <w:jc w:val="center"/>
    </w:pPr>
  </w:style>
  <w:style w:type="paragraph" w:styleId="Header">
    <w:name w:val="header"/>
    <w:basedOn w:val="Normal"/>
    <w:link w:val="HeaderChar"/>
    <w:rsid w:val="003C7FF6"/>
    <w:pPr>
      <w:tabs>
        <w:tab w:val="center" w:pos="4513"/>
        <w:tab w:val="right" w:pos="9026"/>
      </w:tabs>
    </w:pPr>
  </w:style>
  <w:style w:type="character" w:customStyle="1" w:styleId="HeaderChar">
    <w:name w:val="Header Char"/>
    <w:basedOn w:val="DefaultParagraphFont"/>
    <w:link w:val="Header"/>
    <w:rsid w:val="003C7FF6"/>
    <w:rPr>
      <w:sz w:val="24"/>
      <w:lang w:val="hu-HU"/>
    </w:rPr>
  </w:style>
  <w:style w:type="paragraph" w:customStyle="1" w:styleId="EPFooter">
    <w:name w:val="EPFooter"/>
    <w:basedOn w:val="Normal"/>
    <w:rsid w:val="003C7FF6"/>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3C7FF6"/>
    <w:rPr>
      <w:sz w:val="24"/>
      <w:lang w:val="hu-HU"/>
    </w:rPr>
  </w:style>
  <w:style w:type="paragraph" w:customStyle="1" w:styleId="Normal12Hanging">
    <w:name w:val="Normal12Hanging"/>
    <w:basedOn w:val="Normal"/>
    <w:rsid w:val="003C7FF6"/>
    <w:pPr>
      <w:spacing w:after="240"/>
      <w:ind w:left="567" w:hanging="567"/>
    </w:pPr>
  </w:style>
  <w:style w:type="paragraph" w:customStyle="1" w:styleId="Normal24a">
    <w:name w:val="Normal24a"/>
    <w:basedOn w:val="Normal"/>
    <w:rsid w:val="003C7FF6"/>
    <w:pPr>
      <w:spacing w:after="480"/>
    </w:pPr>
  </w:style>
  <w:style w:type="paragraph" w:customStyle="1" w:styleId="Normal12a">
    <w:name w:val="Normal12a"/>
    <w:basedOn w:val="Normal"/>
    <w:rsid w:val="003C7FF6"/>
    <w:pPr>
      <w:spacing w:after="240"/>
    </w:pPr>
  </w:style>
  <w:style w:type="paragraph" w:customStyle="1" w:styleId="PageHeadingNotTOC">
    <w:name w:val="PageHeadingNotTOC"/>
    <w:basedOn w:val="Normal"/>
    <w:rsid w:val="003C7FF6"/>
    <w:pPr>
      <w:keepNext/>
      <w:spacing w:after="480"/>
      <w:jc w:val="center"/>
    </w:pPr>
    <w:rPr>
      <w:rFonts w:ascii="Arial" w:hAnsi="Arial" w:cs="Arial"/>
      <w:b/>
    </w:rPr>
  </w:style>
  <w:style w:type="paragraph" w:styleId="Footer">
    <w:name w:val="footer"/>
    <w:basedOn w:val="Normal"/>
    <w:link w:val="FooterChar"/>
    <w:rsid w:val="00A81D50"/>
    <w:pPr>
      <w:tabs>
        <w:tab w:val="center" w:pos="4513"/>
        <w:tab w:val="right" w:pos="9026"/>
      </w:tabs>
    </w:pPr>
  </w:style>
  <w:style w:type="character" w:customStyle="1" w:styleId="FooterChar">
    <w:name w:val="Footer Char"/>
    <w:basedOn w:val="DefaultParagraphFont"/>
    <w:link w:val="Footer"/>
    <w:rsid w:val="00A81D50"/>
    <w:rPr>
      <w:sz w:val="24"/>
      <w:lang w:val="hu-HU"/>
    </w:rPr>
  </w:style>
  <w:style w:type="paragraph" w:styleId="BalloonText">
    <w:name w:val="Balloon Text"/>
    <w:basedOn w:val="Normal"/>
    <w:link w:val="BalloonTextChar"/>
    <w:rsid w:val="00A81D50"/>
    <w:rPr>
      <w:rFonts w:ascii="Segoe UI" w:hAnsi="Segoe UI" w:cs="Segoe UI"/>
      <w:sz w:val="18"/>
      <w:szCs w:val="18"/>
    </w:rPr>
  </w:style>
  <w:style w:type="character" w:customStyle="1" w:styleId="BalloonTextChar">
    <w:name w:val="Balloon Text Char"/>
    <w:basedOn w:val="DefaultParagraphFont"/>
    <w:link w:val="BalloonText"/>
    <w:rsid w:val="00A81D50"/>
    <w:rPr>
      <w:rFonts w:ascii="Segoe UI" w:hAnsi="Segoe UI" w:cs="Segoe UI"/>
      <w:sz w:val="18"/>
      <w:szCs w:val="18"/>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4CF122-2144-4801-BED7-CB56326EE4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2647</Words>
  <Characters>19594</Characters>
  <Application>Microsoft Office Word</Application>
  <DocSecurity>0</DocSecurity>
  <Lines>163</Lines>
  <Paragraphs>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 REl</dc:creator>
  <cp:keywords/>
  <cp:lastModifiedBy>SALAT Adriana</cp:lastModifiedBy>
  <cp:revision>2</cp:revision>
  <cp:lastPrinted>2004-11-19T15:42:00Z</cp:lastPrinted>
  <dcterms:created xsi:type="dcterms:W3CDTF">2024-05-22T14:55:00Z</dcterms:created>
  <dcterms:modified xsi:type="dcterms:W3CDTF">2024-05-22T14:55:00Z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P9_TA(2024)0248_</vt:lpwstr>
  </property>
  <property fmtid="{D5CDD505-2E9C-101B-9397-08002B2CF9AE}" pid="4" name="&lt;Type&gt;">
    <vt:lpwstr>RR</vt:lpwstr>
  </property>
</Properties>
</file>