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152D" w:rsidTr="0010095E">
        <w:trPr>
          <w:trHeight w:hRule="exact" w:val="1418"/>
        </w:trPr>
        <w:tc>
          <w:tcPr>
            <w:tcW w:w="6804" w:type="dxa"/>
            <w:shd w:val="clear" w:color="auto" w:fill="auto"/>
            <w:vAlign w:val="center"/>
          </w:tcPr>
          <w:p w:rsidR="00751A4A" w:rsidRPr="00DC152D" w:rsidRDefault="00E91FEB" w:rsidP="0010095E">
            <w:pPr>
              <w:pStyle w:val="EPName"/>
            </w:pPr>
            <w:r w:rsidRPr="00DC152D">
              <w:t>Europos Parlamentas</w:t>
            </w:r>
          </w:p>
          <w:p w:rsidR="00751A4A" w:rsidRPr="00DC152D" w:rsidRDefault="00817416" w:rsidP="00756632">
            <w:pPr>
              <w:pStyle w:val="EPTerm"/>
              <w:rPr>
                <w:rStyle w:val="HideTWBExt"/>
                <w:noProof w:val="0"/>
                <w:vanish w:val="0"/>
                <w:color w:val="auto"/>
              </w:rPr>
            </w:pPr>
            <w:r w:rsidRPr="00DC152D">
              <w:t>2019-2024</w:t>
            </w:r>
          </w:p>
        </w:tc>
        <w:tc>
          <w:tcPr>
            <w:tcW w:w="2268" w:type="dxa"/>
            <w:shd w:val="clear" w:color="auto" w:fill="auto"/>
          </w:tcPr>
          <w:p w:rsidR="00751A4A" w:rsidRPr="00DC152D" w:rsidRDefault="00187494" w:rsidP="0010095E">
            <w:pPr>
              <w:pStyle w:val="EPLogo"/>
            </w:pPr>
            <w:r w:rsidRPr="00DC152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C152D" w:rsidRDefault="00D058B8" w:rsidP="004C5D52">
      <w:pPr>
        <w:pStyle w:val="LineTop"/>
      </w:pPr>
    </w:p>
    <w:p w:rsidR="00680577" w:rsidRPr="00DC152D" w:rsidRDefault="00E91FEB" w:rsidP="00680577">
      <w:pPr>
        <w:pStyle w:val="EPBodyTA1"/>
      </w:pPr>
      <w:r w:rsidRPr="00DC152D">
        <w:t>PRIIMTI TEKSTAI</w:t>
      </w:r>
    </w:p>
    <w:p w:rsidR="00D058B8" w:rsidRPr="00DC152D" w:rsidRDefault="00D058B8" w:rsidP="00D058B8">
      <w:pPr>
        <w:pStyle w:val="LineBottom"/>
      </w:pPr>
    </w:p>
    <w:p w:rsidR="00E91FEB" w:rsidRPr="00DC152D" w:rsidRDefault="00E91FEB" w:rsidP="00E91FEB">
      <w:pPr>
        <w:pStyle w:val="ATHeading1"/>
      </w:pPr>
      <w:bookmarkStart w:id="0" w:name="TANumber"/>
      <w:r w:rsidRPr="00DC152D">
        <w:t>P9_TA(2024)0</w:t>
      </w:r>
      <w:r w:rsidR="006B2E5E" w:rsidRPr="00DC152D">
        <w:t>248</w:t>
      </w:r>
      <w:bookmarkEnd w:id="0"/>
    </w:p>
    <w:p w:rsidR="00E91FEB" w:rsidRPr="00DC152D" w:rsidRDefault="00E91FEB" w:rsidP="00E91FEB">
      <w:pPr>
        <w:pStyle w:val="ATHeading2"/>
      </w:pPr>
      <w:bookmarkStart w:id="1" w:name="title"/>
      <w:r w:rsidRPr="00DC152D">
        <w:t>2022 m. biudžeto įvykdymo patvirtinimas: Europos jūrų saugumo agentūra</w:t>
      </w:r>
      <w:bookmarkEnd w:id="1"/>
    </w:p>
    <w:p w:rsidR="00E91FEB" w:rsidRPr="00DC152D" w:rsidRDefault="00E91FEB" w:rsidP="00E91FEB">
      <w:pPr>
        <w:rPr>
          <w:i/>
          <w:vanish/>
        </w:rPr>
      </w:pPr>
      <w:r w:rsidRPr="00DC152D">
        <w:rPr>
          <w:i/>
        </w:rPr>
        <w:fldChar w:fldCharType="begin"/>
      </w:r>
      <w:r w:rsidRPr="00DC152D">
        <w:rPr>
          <w:i/>
        </w:rPr>
        <w:instrText xml:space="preserve"> TC"(</w:instrText>
      </w:r>
      <w:bookmarkStart w:id="2" w:name="DocNumber"/>
      <w:r w:rsidRPr="00DC152D">
        <w:rPr>
          <w:i/>
        </w:rPr>
        <w:instrText>A9-0107/2024</w:instrText>
      </w:r>
      <w:bookmarkEnd w:id="2"/>
      <w:r w:rsidRPr="00DC152D">
        <w:rPr>
          <w:i/>
        </w:rPr>
        <w:instrText xml:space="preserve"> - Pranešėjas: Petri Sarvamaa)"\l3 \n&gt; \* MERGEFORMAT </w:instrText>
      </w:r>
      <w:r w:rsidRPr="00DC152D">
        <w:rPr>
          <w:i/>
        </w:rPr>
        <w:fldChar w:fldCharType="end"/>
      </w:r>
    </w:p>
    <w:p w:rsidR="00E91FEB" w:rsidRPr="00DC152D" w:rsidRDefault="00E91FEB" w:rsidP="00E91FEB">
      <w:pPr>
        <w:rPr>
          <w:vanish/>
        </w:rPr>
      </w:pPr>
      <w:bookmarkStart w:id="3" w:name="Commission"/>
      <w:r w:rsidRPr="00DC152D">
        <w:rPr>
          <w:vanish/>
        </w:rPr>
        <w:t>Biudžeto kontrolės komitetas</w:t>
      </w:r>
      <w:bookmarkEnd w:id="3"/>
    </w:p>
    <w:p w:rsidR="00E91FEB" w:rsidRPr="00DC152D" w:rsidRDefault="00E91FEB" w:rsidP="00E91FEB">
      <w:pPr>
        <w:rPr>
          <w:vanish/>
        </w:rPr>
      </w:pPr>
      <w:bookmarkStart w:id="4" w:name="PE"/>
      <w:r w:rsidRPr="00DC152D">
        <w:rPr>
          <w:vanish/>
        </w:rPr>
        <w:t>PE753.526</w:t>
      </w:r>
      <w:bookmarkEnd w:id="4"/>
    </w:p>
    <w:p w:rsidR="00E91FEB" w:rsidRPr="00DC152D" w:rsidRDefault="00E91FEB" w:rsidP="000E1EB0">
      <w:pPr>
        <w:pStyle w:val="ATHeading3"/>
      </w:pPr>
      <w:bookmarkStart w:id="5" w:name="Sujet"/>
      <w:r w:rsidRPr="00DC152D">
        <w:t xml:space="preserve">1. 2024 m. </w:t>
      </w:r>
      <w:r w:rsidR="000E1EB0" w:rsidRPr="00DC152D">
        <w:t>balandžio</w:t>
      </w:r>
      <w:r w:rsidRPr="00DC152D">
        <w:t xml:space="preserve"> 11 d. Europos Parlamento sprendimas dėl Europos jūrų saugumo agentūros 2022 finansinių metų biudžeto įvykdymo patvirtinimo</w:t>
      </w:r>
      <w:bookmarkEnd w:id="5"/>
      <w:r w:rsidRPr="00DC152D">
        <w:t xml:space="preserve"> </w:t>
      </w:r>
      <w:bookmarkStart w:id="6" w:name="References"/>
      <w:r w:rsidRPr="00DC152D">
        <w:t>(2023/2158(DEC))</w:t>
      </w:r>
      <w:bookmarkEnd w:id="6"/>
    </w:p>
    <w:p w:rsidR="00C81DEB" w:rsidRPr="00DC152D" w:rsidRDefault="00C81DEB" w:rsidP="00C81DEB">
      <w:pPr>
        <w:pStyle w:val="EPComma"/>
      </w:pPr>
      <w:bookmarkStart w:id="7" w:name="TextBodyBegin"/>
      <w:bookmarkEnd w:id="7"/>
      <w:r w:rsidRPr="00DC152D">
        <w:rPr>
          <w:i/>
          <w:iCs/>
        </w:rPr>
        <w:t>Europos Parlamentas</w:t>
      </w:r>
      <w:r w:rsidRPr="00DC152D">
        <w:t>,</w:t>
      </w:r>
    </w:p>
    <w:p w:rsidR="00C81DEB" w:rsidRPr="00DC152D" w:rsidRDefault="00C81DEB" w:rsidP="00C81DEB">
      <w:pPr>
        <w:pStyle w:val="NormalHanging12a"/>
      </w:pPr>
      <w:r w:rsidRPr="00DC152D">
        <w:t>–</w:t>
      </w:r>
      <w:r w:rsidRPr="00DC152D">
        <w:tab/>
        <w:t>atsižvelgdamas į Europos jūrų saugumo agentūros 2022 finansinių metų galutines metines ataskaitas,</w:t>
      </w:r>
    </w:p>
    <w:p w:rsidR="00C81DEB" w:rsidRPr="00DC152D" w:rsidRDefault="00C81DEB" w:rsidP="00C81DEB">
      <w:pPr>
        <w:pStyle w:val="NormalHanging12a"/>
      </w:pPr>
      <w:r w:rsidRPr="00DC152D">
        <w:t>–</w:t>
      </w:r>
      <w:r w:rsidRPr="00DC152D">
        <w:tab/>
        <w:t>atsižvelgdamas į Audito Rūmų 2022 finansinių metų metinę ataskaitą dėl ES agentūrų kartu su agentūrų atsakymais</w:t>
      </w:r>
      <w:r w:rsidRPr="00DC152D">
        <w:rPr>
          <w:rStyle w:val="FootnoteReference"/>
        </w:rPr>
        <w:footnoteReference w:id="1"/>
      </w:r>
      <w:r w:rsidRPr="00DC152D">
        <w:t>,</w:t>
      </w:r>
    </w:p>
    <w:p w:rsidR="00C81DEB" w:rsidRPr="00DC152D" w:rsidRDefault="00C81DEB" w:rsidP="00C81DEB">
      <w:pPr>
        <w:pStyle w:val="NormalHanging12a"/>
      </w:pPr>
      <w:r w:rsidRPr="00DC152D">
        <w:t>–</w:t>
      </w:r>
      <w:r w:rsidRPr="00DC152D">
        <w:tab/>
        <w:t>atsižvelgdamas į Audito Rūmų pagal Sutarties dėl Europos Sąjungos veikimo 287 straipsnį pateiktą sąskaitų patikimumo ir pagal jas atliktų operacijų teisėtumo ir tvarkingumo patikinimo pareiškimą</w:t>
      </w:r>
      <w:r w:rsidRPr="00DC152D">
        <w:rPr>
          <w:rStyle w:val="FootnoteReference"/>
        </w:rPr>
        <w:footnoteReference w:id="2"/>
      </w:r>
      <w:r w:rsidRPr="00DC152D">
        <w:t>,</w:t>
      </w:r>
    </w:p>
    <w:p w:rsidR="00C81DEB" w:rsidRPr="00DC152D" w:rsidRDefault="00C81DEB" w:rsidP="00C81DEB">
      <w:pPr>
        <w:pStyle w:val="NormalHanging12a"/>
      </w:pPr>
      <w:r w:rsidRPr="00DC152D">
        <w:t>–</w:t>
      </w:r>
      <w:r w:rsidRPr="00DC152D">
        <w:tab/>
        <w:t xml:space="preserve">atsižvelgdamas į </w:t>
      </w:r>
      <w:r w:rsidR="00CC20E9" w:rsidRPr="00DC152D">
        <w:t xml:space="preserve">2024 m. vasario 22 d. </w:t>
      </w:r>
      <w:r w:rsidRPr="00DC152D">
        <w:t>Tarybos rekomendaciją dėl patvirtinimo, kad Agentūra įvykdė 2022 finansinių metų biudžetą (</w:t>
      </w:r>
      <w:r w:rsidR="002872AF" w:rsidRPr="00DC152D">
        <w:t>(06180</w:t>
      </w:r>
      <w:r w:rsidRPr="00DC152D">
        <w:t>/2024 – C9</w:t>
      </w:r>
      <w:r w:rsidRPr="00DC152D">
        <w:noBreakHyphen/>
      </w:r>
      <w:r w:rsidR="002872AF" w:rsidRPr="00DC152D">
        <w:t>0096</w:t>
      </w:r>
      <w:r w:rsidRPr="00DC152D">
        <w:t>/2024),</w:t>
      </w:r>
    </w:p>
    <w:p w:rsidR="00C81DEB" w:rsidRPr="00DC152D" w:rsidRDefault="00C81DEB" w:rsidP="00C81DEB">
      <w:pPr>
        <w:pStyle w:val="NormalHanging12a"/>
      </w:pPr>
      <w:r w:rsidRPr="00DC152D">
        <w:t>–</w:t>
      </w:r>
      <w:r w:rsidRPr="00DC152D">
        <w:tab/>
        <w:t>atsižvelgdamas į Sutarties dėl Europos Sąjungos veikimo 319 straipsnį,</w:t>
      </w:r>
    </w:p>
    <w:p w:rsidR="00C81DEB" w:rsidRPr="00DC152D" w:rsidRDefault="00C81DEB" w:rsidP="00C81DEB">
      <w:pPr>
        <w:pStyle w:val="NormalHanging12a"/>
      </w:pPr>
      <w:r w:rsidRPr="00DC152D">
        <w:t>–</w:t>
      </w:r>
      <w:r w:rsidRPr="00DC152D">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DC152D">
        <w:rPr>
          <w:rStyle w:val="FootnoteReference"/>
        </w:rPr>
        <w:footnoteReference w:id="3"/>
      </w:r>
      <w:r w:rsidRPr="00DC152D">
        <w:t>, ypač į jo 70 straipsnį,</w:t>
      </w:r>
    </w:p>
    <w:p w:rsidR="00C81DEB" w:rsidRPr="00DC152D" w:rsidRDefault="00C81DEB" w:rsidP="00C81DEB">
      <w:pPr>
        <w:pStyle w:val="NormalHanging12a"/>
      </w:pPr>
      <w:r w:rsidRPr="00DC152D">
        <w:t>–</w:t>
      </w:r>
      <w:r w:rsidRPr="00DC152D">
        <w:tab/>
        <w:t>atsižvelgdamas į 2002 m. birželio 27 d. Europos Parlamento ir Tarybos reglamentą (EB) Nr. 1406/2002, įsteigiantį Europos jūrų saugumo agentūrą</w:t>
      </w:r>
      <w:r w:rsidRPr="00DC152D">
        <w:rPr>
          <w:rStyle w:val="FootnoteReference"/>
        </w:rPr>
        <w:footnoteReference w:id="4"/>
      </w:r>
      <w:r w:rsidRPr="00DC152D">
        <w:t>​, ypač į jo 19 straipsnį,</w:t>
      </w:r>
    </w:p>
    <w:p w:rsidR="00C81DEB" w:rsidRPr="00DC152D" w:rsidRDefault="00C81DEB" w:rsidP="00C81DEB">
      <w:pPr>
        <w:pStyle w:val="NormalHanging12a"/>
      </w:pPr>
      <w:r w:rsidRPr="00DC152D">
        <w:t>–</w:t>
      </w:r>
      <w:r w:rsidRPr="00DC152D">
        <w:tab/>
        <w:t xml:space="preserve">atsižvelgdamas į 2018 m. gruodžio 18 d. Komisijos deleguotąjį reglamentą </w:t>
      </w:r>
      <w:r w:rsidRPr="00DC152D">
        <w:lastRenderedPageBreak/>
        <w:t>(ES) 2019/715 dėl finansinio pagrindų reglamento, taikomo organams, įsteigtiems pagal SESV ir Euratomo sutartį ir nurodytiems Europos Parlamento ir Tarybos reglamento (ES, Euratomas) 2018/1046 70 straipsnyje</w:t>
      </w:r>
      <w:r w:rsidRPr="00DC152D">
        <w:rPr>
          <w:rStyle w:val="FootnoteReference"/>
        </w:rPr>
        <w:footnoteReference w:id="5"/>
      </w:r>
      <w:r w:rsidRPr="00DC152D">
        <w:t>, ypač į jo 105 straipsnį,</w:t>
      </w:r>
    </w:p>
    <w:p w:rsidR="00C81DEB" w:rsidRPr="00DC152D" w:rsidRDefault="00C81DEB" w:rsidP="00C81DEB">
      <w:pPr>
        <w:pStyle w:val="NormalHanging12a"/>
      </w:pPr>
      <w:r w:rsidRPr="00DC152D">
        <w:t>–</w:t>
      </w:r>
      <w:r w:rsidRPr="00DC152D">
        <w:tab/>
        <w:t>atsižvelgdamas į Darbo tvarkos taisyklių 100 straipsnį ir V priedą,</w:t>
      </w:r>
    </w:p>
    <w:p w:rsidR="00C81DEB" w:rsidRPr="00DC152D" w:rsidRDefault="00C81DEB" w:rsidP="00C81DEB">
      <w:pPr>
        <w:pStyle w:val="NormalHanging12a"/>
      </w:pPr>
      <w:r w:rsidRPr="00DC152D">
        <w:t>–</w:t>
      </w:r>
      <w:r w:rsidRPr="00DC152D">
        <w:tab/>
        <w:t>atsižvelgdamas į Transporto ir turizmo komiteto nuomonę,</w:t>
      </w:r>
    </w:p>
    <w:p w:rsidR="00C81DEB" w:rsidRPr="00DC152D" w:rsidRDefault="00C81DEB" w:rsidP="00C81DEB">
      <w:pPr>
        <w:pStyle w:val="NormalHanging12a"/>
      </w:pPr>
      <w:r w:rsidRPr="00DC152D">
        <w:t>–</w:t>
      </w:r>
      <w:r w:rsidRPr="00DC152D">
        <w:tab/>
        <w:t>atsižvelgdamas į Biudžeto kontrolės komiteto pranešimą (A9-0107/2024),</w:t>
      </w:r>
    </w:p>
    <w:p w:rsidR="00C81DEB" w:rsidRPr="00DC152D" w:rsidRDefault="00C81DEB" w:rsidP="00C81DEB">
      <w:pPr>
        <w:pStyle w:val="NormalHanging12a"/>
      </w:pPr>
      <w:r w:rsidRPr="00DC152D">
        <w:t>1.</w:t>
      </w:r>
      <w:r w:rsidRPr="00DC152D">
        <w:tab/>
        <w:t>patvirtina Europos jūrų saugumo agentūros vykdomajai direktorei, kad Agentūros 2022 finansinių metų biudžetas įvykdytas;</w:t>
      </w:r>
    </w:p>
    <w:p w:rsidR="00C81DEB" w:rsidRPr="00DC152D" w:rsidRDefault="00C81DEB" w:rsidP="00C81DEB">
      <w:pPr>
        <w:pStyle w:val="NormalHanging12a"/>
      </w:pPr>
      <w:r w:rsidRPr="00DC152D">
        <w:t>2.</w:t>
      </w:r>
      <w:r w:rsidRPr="00DC152D">
        <w:tab/>
        <w:t>išdėsto savo pastabas toliau pateikiamoje rezoliucijoje;</w:t>
      </w:r>
    </w:p>
    <w:p w:rsidR="00C81DEB" w:rsidRPr="00DC152D" w:rsidRDefault="00C81DEB" w:rsidP="00C81DEB">
      <w:pPr>
        <w:pStyle w:val="NormalHanging12a"/>
      </w:pPr>
      <w:r w:rsidRPr="00DC152D">
        <w:t>3.</w:t>
      </w:r>
      <w:r w:rsidRPr="00DC152D">
        <w:tab/>
        <w:t xml:space="preserve">paveda Pirmininkei perduoti šį sprendimą ir rezoliuciją, kuri yra neatskiriama jo dalis, Europos jūrų saugumo agentūros vykdomajai direktorei, Tarybai, Komisijai ir Audito Rūmams ir pasirūpinti, kad jie būtų paskelbti </w:t>
      </w:r>
      <w:r w:rsidRPr="00DC152D">
        <w:rPr>
          <w:i/>
        </w:rPr>
        <w:t>Europos Sąjungos oficialiajame leidinyje</w:t>
      </w:r>
      <w:r w:rsidRPr="00DC152D">
        <w:t xml:space="preserve"> (L serijoje).</w:t>
      </w:r>
    </w:p>
    <w:p w:rsidR="00C81DEB" w:rsidRPr="00DC152D" w:rsidRDefault="00C81DEB" w:rsidP="00C81DEB"/>
    <w:p w:rsidR="00C81DEB" w:rsidRPr="00DC152D" w:rsidRDefault="00C81DEB" w:rsidP="00C81DEB">
      <w:pPr>
        <w:widowControl/>
        <w:rPr>
          <w:rFonts w:ascii="Arial" w:hAnsi="Arial" w:cs="Arial"/>
          <w:b/>
        </w:rPr>
        <w:sectPr w:rsidR="00C81DEB" w:rsidRPr="00DC152D" w:rsidSect="007410B8">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C81DEB" w:rsidRPr="00DC152D" w:rsidRDefault="00C81DEB" w:rsidP="00600AF1">
      <w:pPr>
        <w:pStyle w:val="ATHeading3"/>
      </w:pPr>
      <w:bookmarkStart w:id="8" w:name="_Toc146811167"/>
      <w:bookmarkStart w:id="9" w:name="_Toc161157775"/>
      <w:bookmarkStart w:id="10" w:name="_Toc161732711"/>
      <w:r w:rsidRPr="00DC152D">
        <w:lastRenderedPageBreak/>
        <w:t xml:space="preserve">2. </w:t>
      </w:r>
      <w:r w:rsidR="00CD3BB9" w:rsidRPr="00DC152D">
        <w:t xml:space="preserve">2024 m. balandžio 11 d. Europos Parlamento sprendimas </w:t>
      </w:r>
      <w:bookmarkEnd w:id="8"/>
      <w:bookmarkEnd w:id="9"/>
      <w:bookmarkEnd w:id="10"/>
      <w:r w:rsidRPr="00DC152D">
        <w:t>dėl Europos jūrų saugumo agentūros 2022 finansinių metų sąskaitų uždarymo</w:t>
      </w:r>
      <w:r w:rsidR="00CD3BB9" w:rsidRPr="00DC152D">
        <w:t xml:space="preserve"> </w:t>
      </w:r>
      <w:r w:rsidRPr="00DC152D">
        <w:t>(2023/2158(DEC))</w:t>
      </w:r>
    </w:p>
    <w:p w:rsidR="00C81DEB" w:rsidRPr="00DC152D" w:rsidRDefault="00C81DEB" w:rsidP="00C81DEB">
      <w:pPr>
        <w:pStyle w:val="EPComma"/>
      </w:pPr>
      <w:r w:rsidRPr="00DC152D">
        <w:rPr>
          <w:i/>
          <w:iCs/>
        </w:rPr>
        <w:t>Europos Parlamentas</w:t>
      </w:r>
      <w:r w:rsidRPr="00DC152D">
        <w:t>,</w:t>
      </w:r>
    </w:p>
    <w:p w:rsidR="00C81DEB" w:rsidRPr="00DC152D" w:rsidRDefault="00C81DEB" w:rsidP="00C81DEB">
      <w:pPr>
        <w:pStyle w:val="NormalHanging12a"/>
      </w:pPr>
      <w:r w:rsidRPr="00DC152D">
        <w:t>–</w:t>
      </w:r>
      <w:r w:rsidRPr="00DC152D">
        <w:tab/>
        <w:t>atsižvelgdamas į Europos jūrų saugumo agentūros 2022 finansinių metų galutines metines ataskaitas,</w:t>
      </w:r>
    </w:p>
    <w:p w:rsidR="00C81DEB" w:rsidRPr="00DC152D" w:rsidRDefault="00C81DEB" w:rsidP="00C81DEB">
      <w:pPr>
        <w:pStyle w:val="NormalHanging12a"/>
      </w:pPr>
      <w:r w:rsidRPr="00DC152D">
        <w:t>–</w:t>
      </w:r>
      <w:r w:rsidRPr="00DC152D">
        <w:tab/>
        <w:t>atsižvelgdamas į Audito Rūmų 2022 finansinių metų metinę ataskaitą dėl ES agentūrų kartu su agentūrų atsakymais</w:t>
      </w:r>
      <w:r w:rsidRPr="00DC152D">
        <w:rPr>
          <w:rStyle w:val="FootnoteReference"/>
        </w:rPr>
        <w:footnoteReference w:id="6"/>
      </w:r>
      <w:r w:rsidRPr="00DC152D">
        <w:t>,</w:t>
      </w:r>
    </w:p>
    <w:p w:rsidR="00C81DEB" w:rsidRPr="00DC152D" w:rsidRDefault="00C81DEB" w:rsidP="00C81DEB">
      <w:pPr>
        <w:pStyle w:val="NormalHanging12a"/>
      </w:pPr>
      <w:r w:rsidRPr="00DC152D">
        <w:t>–</w:t>
      </w:r>
      <w:r w:rsidRPr="00DC152D">
        <w:tab/>
        <w:t>atsižvelgdamas į Audito Rūmų pagal Sutarties dėl Europos Sąjungos veikimo 287 straipsnį pateiktą sąskaitų patikimumo ir pagal jas atliktų operacijų teisėtumo ir tvarkingumo patikinimo pareiškimą</w:t>
      </w:r>
      <w:r w:rsidRPr="00DC152D">
        <w:rPr>
          <w:rStyle w:val="FootnoteReference"/>
        </w:rPr>
        <w:footnoteReference w:id="7"/>
      </w:r>
      <w:r w:rsidRPr="00DC152D">
        <w:t>,</w:t>
      </w:r>
    </w:p>
    <w:p w:rsidR="00C81DEB" w:rsidRPr="00DC152D" w:rsidRDefault="00C81DEB" w:rsidP="00C81DEB">
      <w:pPr>
        <w:pStyle w:val="NormalHanging12a"/>
      </w:pPr>
      <w:r w:rsidRPr="00DC152D">
        <w:t>–</w:t>
      </w:r>
      <w:r w:rsidRPr="00DC152D">
        <w:tab/>
        <w:t xml:space="preserve">atsižvelgdamas į </w:t>
      </w:r>
      <w:r w:rsidR="00CC20E9" w:rsidRPr="00DC152D">
        <w:t xml:space="preserve">2024 m. vasario 22 d. </w:t>
      </w:r>
      <w:r w:rsidRPr="00DC152D">
        <w:t>Tarybos rekomendaciją dėl patvirtinimo, kad Agentūra įvykdė 2022 finansinių metų biudžetą (</w:t>
      </w:r>
      <w:r w:rsidR="002872AF" w:rsidRPr="00DC152D">
        <w:t>06180</w:t>
      </w:r>
      <w:r w:rsidRPr="00DC152D">
        <w:t>/2024 – C9</w:t>
      </w:r>
      <w:r w:rsidRPr="00DC152D">
        <w:noBreakHyphen/>
      </w:r>
      <w:r w:rsidR="002872AF" w:rsidRPr="00DC152D">
        <w:t>0096</w:t>
      </w:r>
      <w:r w:rsidRPr="00DC152D">
        <w:t>/2024),</w:t>
      </w:r>
    </w:p>
    <w:p w:rsidR="00C81DEB" w:rsidRPr="00DC152D" w:rsidRDefault="00C81DEB" w:rsidP="00C81DEB">
      <w:pPr>
        <w:pStyle w:val="NormalHanging12a"/>
      </w:pPr>
      <w:r w:rsidRPr="00DC152D">
        <w:t>–</w:t>
      </w:r>
      <w:r w:rsidRPr="00DC152D">
        <w:tab/>
        <w:t>atsižvelgdamas į Sutarties dėl Europos Sąjungos veikimo 319 straipsnį,</w:t>
      </w:r>
    </w:p>
    <w:p w:rsidR="00C81DEB" w:rsidRPr="00DC152D" w:rsidRDefault="00C81DEB" w:rsidP="00C81DEB">
      <w:pPr>
        <w:pStyle w:val="NormalHanging12a"/>
      </w:pPr>
      <w:r w:rsidRPr="00DC152D">
        <w:t>–</w:t>
      </w:r>
      <w:r w:rsidRPr="00DC152D">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DC152D">
        <w:rPr>
          <w:rStyle w:val="FootnoteReference"/>
        </w:rPr>
        <w:footnoteReference w:id="8"/>
      </w:r>
      <w:r w:rsidRPr="00DC152D">
        <w:t>, ypač į jo 70 straipsnį,</w:t>
      </w:r>
    </w:p>
    <w:p w:rsidR="00C81DEB" w:rsidRPr="00DC152D" w:rsidRDefault="00C81DEB" w:rsidP="00C81DEB">
      <w:pPr>
        <w:pStyle w:val="NormalHanging12a"/>
      </w:pPr>
      <w:r w:rsidRPr="00DC152D">
        <w:t>–</w:t>
      </w:r>
      <w:r w:rsidRPr="00DC152D">
        <w:tab/>
        <w:t>atsižvelgdamas į 2002 m. birželio 27 d. Europos Parlamento ir Tarybos reglamentą (EB) Nr. 1406/2002, įsteigiantį Europos jūrų saugumo agentūrą</w:t>
      </w:r>
      <w:r w:rsidRPr="00DC152D">
        <w:rPr>
          <w:rStyle w:val="FootnoteReference"/>
        </w:rPr>
        <w:footnoteReference w:id="9"/>
      </w:r>
      <w:r w:rsidRPr="00DC152D">
        <w:t>, ypač į jo 19 straipsnį,</w:t>
      </w:r>
    </w:p>
    <w:p w:rsidR="00C81DEB" w:rsidRPr="00DC152D" w:rsidRDefault="00C81DEB" w:rsidP="00C81DEB">
      <w:pPr>
        <w:pStyle w:val="NormalHanging12a"/>
      </w:pPr>
      <w:r w:rsidRPr="00DC152D">
        <w:t>–</w:t>
      </w:r>
      <w:r w:rsidRPr="00DC152D">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DC152D">
        <w:rPr>
          <w:rStyle w:val="FootnoteReference"/>
        </w:rPr>
        <w:footnoteReference w:id="10"/>
      </w:r>
      <w:r w:rsidRPr="00DC152D">
        <w:t>, ypač į jo 105 straipsnį,</w:t>
      </w:r>
    </w:p>
    <w:p w:rsidR="00C81DEB" w:rsidRPr="00DC152D" w:rsidRDefault="00C81DEB" w:rsidP="00C81DEB">
      <w:pPr>
        <w:pStyle w:val="NormalHanging12a"/>
      </w:pPr>
      <w:r w:rsidRPr="00DC152D">
        <w:t>–</w:t>
      </w:r>
      <w:r w:rsidRPr="00DC152D">
        <w:tab/>
        <w:t>atsižvelgdamas į Darbo tvarkos taisyklių 100 straipsnį ir V priedą,</w:t>
      </w:r>
    </w:p>
    <w:p w:rsidR="00C81DEB" w:rsidRPr="00DC152D" w:rsidRDefault="00C81DEB" w:rsidP="00C81DEB">
      <w:pPr>
        <w:pStyle w:val="NormalHanging12a"/>
      </w:pPr>
      <w:r w:rsidRPr="00DC152D">
        <w:t>–</w:t>
      </w:r>
      <w:r w:rsidRPr="00DC152D">
        <w:tab/>
        <w:t>atsižvelgdamas į Transporto ir turizmo komiteto nuomonę,</w:t>
      </w:r>
    </w:p>
    <w:p w:rsidR="00C81DEB" w:rsidRPr="00DC152D" w:rsidRDefault="00C81DEB" w:rsidP="00C81DEB">
      <w:pPr>
        <w:pStyle w:val="NormalHanging12a"/>
      </w:pPr>
      <w:r w:rsidRPr="00DC152D">
        <w:t>–</w:t>
      </w:r>
      <w:r w:rsidRPr="00DC152D">
        <w:tab/>
        <w:t>atsižvelgdamas į Biudžeto kontrolės komiteto pranešimą (A9-0107/2024),</w:t>
      </w:r>
    </w:p>
    <w:p w:rsidR="00C81DEB" w:rsidRPr="00DC152D" w:rsidRDefault="00C81DEB" w:rsidP="00C81DEB">
      <w:pPr>
        <w:pStyle w:val="NormalHanging12a"/>
      </w:pPr>
      <w:r w:rsidRPr="00DC152D">
        <w:t>1.</w:t>
      </w:r>
      <w:r w:rsidRPr="00DC152D">
        <w:tab/>
        <w:t>pritaria Europos jūrų saugumo agentūros 2022 finansinių metų sąskaitų uždarymui;</w:t>
      </w:r>
    </w:p>
    <w:p w:rsidR="00C81DEB" w:rsidRPr="00DC152D" w:rsidRDefault="00C81DEB" w:rsidP="00C81DEB">
      <w:pPr>
        <w:pStyle w:val="NormalHanging12a"/>
      </w:pPr>
      <w:r w:rsidRPr="00DC152D">
        <w:t>2.</w:t>
      </w:r>
      <w:r w:rsidRPr="00DC152D">
        <w:tab/>
        <w:t xml:space="preserve">paveda Pirmininkei perduoti šį sprendimą Europos jūrų saugumo agentūros vykdomajai direktorei, Tarybai, Komisijai ir Audito Rūmams ir pasirūpinti, kad jis būtų paskelbtas </w:t>
      </w:r>
      <w:r w:rsidRPr="00DC152D">
        <w:rPr>
          <w:i/>
        </w:rPr>
        <w:lastRenderedPageBreak/>
        <w:t>Europos Sąjungos oficialiajame leidinyje</w:t>
      </w:r>
      <w:r w:rsidRPr="00DC152D">
        <w:t xml:space="preserve"> (L serijoje).</w:t>
      </w:r>
    </w:p>
    <w:p w:rsidR="00C81DEB" w:rsidRPr="00DC152D" w:rsidRDefault="00C81DEB" w:rsidP="00C81DEB"/>
    <w:p w:rsidR="00C81DEB" w:rsidRPr="00DC152D" w:rsidRDefault="00C81DEB" w:rsidP="00C81DEB">
      <w:pPr>
        <w:widowControl/>
        <w:rPr>
          <w:rFonts w:ascii="Arial" w:hAnsi="Arial" w:cs="Arial"/>
          <w:b/>
        </w:rPr>
        <w:sectPr w:rsidR="00C81DEB" w:rsidRPr="00DC152D" w:rsidSect="007410B8">
          <w:footnotePr>
            <w:numRestart w:val="eachPage"/>
          </w:footnotePr>
          <w:endnotePr>
            <w:numFmt w:val="decimal"/>
          </w:endnotePr>
          <w:pgSz w:w="11906" w:h="16838"/>
          <w:pgMar w:top="1134" w:right="1418" w:bottom="1418" w:left="1418" w:header="567" w:footer="567" w:gutter="0"/>
          <w:cols w:space="720"/>
          <w:docGrid w:linePitch="326"/>
        </w:sectPr>
      </w:pPr>
    </w:p>
    <w:p w:rsidR="00C81DEB" w:rsidRPr="00DC152D" w:rsidRDefault="00C81DEB" w:rsidP="00600AF1">
      <w:pPr>
        <w:pStyle w:val="ATHeading3"/>
      </w:pPr>
      <w:bookmarkStart w:id="11" w:name="_Toc146811168"/>
      <w:bookmarkStart w:id="12" w:name="_Toc161157776"/>
      <w:bookmarkStart w:id="13" w:name="_Toc161732712"/>
      <w:r w:rsidRPr="00DC152D">
        <w:lastRenderedPageBreak/>
        <w:t xml:space="preserve">3. </w:t>
      </w:r>
      <w:r w:rsidR="00233A60" w:rsidRPr="00DC152D">
        <w:t xml:space="preserve">2024 m. balandžio 11 d. Europos Parlamento </w:t>
      </w:r>
      <w:r w:rsidR="009E71A1" w:rsidRPr="00DC152D">
        <w:t xml:space="preserve">rezoliucija </w:t>
      </w:r>
      <w:bookmarkEnd w:id="11"/>
      <w:bookmarkEnd w:id="12"/>
      <w:bookmarkEnd w:id="13"/>
      <w:r w:rsidRPr="00DC152D">
        <w:t>su pastabomis, sudarančiomis neatskiriamą sprendimo dėl Europos jūrų saugumo agentūros 2022 finansinių metų biudžeto įvykdymo patvirtinimo dalį</w:t>
      </w:r>
      <w:r w:rsidR="009E71A1" w:rsidRPr="00DC152D">
        <w:t xml:space="preserve"> </w:t>
      </w:r>
      <w:r w:rsidRPr="00DC152D">
        <w:t>(2023/2158(DEC))</w:t>
      </w:r>
    </w:p>
    <w:p w:rsidR="00C81DEB" w:rsidRPr="00DC152D" w:rsidRDefault="00C81DEB" w:rsidP="00C81DEB">
      <w:pPr>
        <w:pStyle w:val="EPComma"/>
      </w:pPr>
      <w:r w:rsidRPr="00DC152D">
        <w:rPr>
          <w:i/>
          <w:iCs/>
        </w:rPr>
        <w:t>Europos Parlamentas</w:t>
      </w:r>
      <w:r w:rsidRPr="00DC152D">
        <w:t>,</w:t>
      </w:r>
    </w:p>
    <w:p w:rsidR="00C81DEB" w:rsidRPr="00DC152D" w:rsidRDefault="00C81DEB" w:rsidP="00C81DEB">
      <w:pPr>
        <w:pStyle w:val="NormalHanging12a"/>
      </w:pPr>
      <w:r w:rsidRPr="00DC152D">
        <w:t>–</w:t>
      </w:r>
      <w:r w:rsidRPr="00DC152D">
        <w:tab/>
        <w:t>atsižvelgdamas į savo sprendimą dėl Europos jūrų saugumo agentūros 2022 finansinių metų biudžeto įvykdymo patvirtinimo,</w:t>
      </w:r>
    </w:p>
    <w:p w:rsidR="00C81DEB" w:rsidRPr="00DC152D" w:rsidRDefault="00C81DEB" w:rsidP="00C81DEB">
      <w:pPr>
        <w:pStyle w:val="NormalHanging12a"/>
      </w:pPr>
      <w:r w:rsidRPr="00DC152D">
        <w:t>–</w:t>
      </w:r>
      <w:r w:rsidRPr="00DC152D">
        <w:tab/>
        <w:t>atsižvelgdamas į Darbo tvarkos taisyklių 100 straipsnį ir V priedą,</w:t>
      </w:r>
    </w:p>
    <w:p w:rsidR="00C81DEB" w:rsidRPr="00DC152D" w:rsidRDefault="00C81DEB" w:rsidP="00C81DEB">
      <w:pPr>
        <w:pStyle w:val="NormalHanging12a"/>
      </w:pPr>
      <w:r w:rsidRPr="00DC152D">
        <w:t>–</w:t>
      </w:r>
      <w:r w:rsidRPr="00DC152D">
        <w:tab/>
        <w:t>atsižvelgdamas į Transporto ir turizmo komiteto nuomonę,</w:t>
      </w:r>
    </w:p>
    <w:p w:rsidR="00C81DEB" w:rsidRPr="00DC152D" w:rsidRDefault="00C81DEB" w:rsidP="00C81DEB">
      <w:pPr>
        <w:pStyle w:val="NormalHanging12a"/>
      </w:pPr>
      <w:r w:rsidRPr="00DC152D">
        <w:t>–</w:t>
      </w:r>
      <w:r w:rsidRPr="00DC152D">
        <w:tab/>
        <w:t>atsižvelgdamas į Biudžeto kontrolės komiteto pranešimą (A9-0107/2024),</w:t>
      </w:r>
    </w:p>
    <w:p w:rsidR="00C81DEB" w:rsidRPr="00DC152D" w:rsidRDefault="00C81DEB" w:rsidP="00C81DEB">
      <w:pPr>
        <w:spacing w:after="240"/>
        <w:ind w:left="567" w:hanging="567"/>
        <w:rPr>
          <w:szCs w:val="24"/>
        </w:rPr>
      </w:pPr>
      <w:r w:rsidRPr="00DC152D">
        <w:t>A.</w:t>
      </w:r>
      <w:r w:rsidRPr="00DC152D">
        <w:tab/>
        <w:t>kadangi, remiantis Europos jūrų saugumo agentūros (toliau – Agentūra) pajamų ir išlaidų suvestine</w:t>
      </w:r>
      <w:r w:rsidRPr="00DC152D">
        <w:rPr>
          <w:rStyle w:val="FootnoteReference"/>
          <w:szCs w:val="24"/>
        </w:rPr>
        <w:footnoteReference w:id="11"/>
      </w:r>
      <w:r w:rsidRPr="00DC152D">
        <w:t>, galutinis jos 2022 finansinių metų biudžetas buvo 115 807 269,88 EUR, t. y. 9,48 % didesnis, palyginti su 2021 m.; kadangi Agentūros biudžetą sudaro lėšos iš Sąjungos biudžeto ir veiklos pajamos;</w:t>
      </w:r>
    </w:p>
    <w:p w:rsidR="00C81DEB" w:rsidRPr="00DC152D" w:rsidRDefault="00C81DEB" w:rsidP="00C81DEB">
      <w:pPr>
        <w:spacing w:after="240"/>
        <w:ind w:left="567" w:hanging="567"/>
        <w:rPr>
          <w:szCs w:val="24"/>
        </w:rPr>
      </w:pPr>
      <w:r w:rsidRPr="00DC152D">
        <w:t>B.</w:t>
      </w:r>
      <w:r w:rsidRPr="00DC152D">
        <w:tab/>
        <w:t>kadangi Audito Rūmai savo ataskaitoje dėl Agentūros 2022 finansinių metų metinių finansinių ataskaitų (toliau – Audito Rūmų ataskaita) pažymi, jog gavo pagrįstą patikinimą, kad Agentūros metinės finansinės ataskaitos patikimos, o jose nurodytos operacijos – teisėtos ir tvarkingos;</w:t>
      </w:r>
    </w:p>
    <w:p w:rsidR="00C81DEB" w:rsidRPr="00DC152D" w:rsidRDefault="00C81DEB" w:rsidP="00C81DEB">
      <w:pPr>
        <w:spacing w:after="240"/>
        <w:ind w:left="567" w:hanging="567"/>
        <w:rPr>
          <w:szCs w:val="24"/>
        </w:rPr>
      </w:pPr>
      <w:r w:rsidRPr="00DC152D">
        <w:t>C.</w:t>
      </w:r>
      <w:r w:rsidRPr="00DC152D">
        <w:tab/>
        <w:t>kadangi, kalbant apie Agentūros viešųjų pirkimų sektorių, 2022 m. nebuvo pranešta apie jokias problemas, dėl kurių reikėtų imtis taisomųjų veiksmų, taip pat nebuvo imtasi ar neįgyvendintų taisomųjų veiksmų, susijusių su ankstesnių metų auditais ir vertinimais;</w:t>
      </w:r>
    </w:p>
    <w:p w:rsidR="00C81DEB" w:rsidRPr="00DC152D" w:rsidRDefault="00C81DEB" w:rsidP="00C81DEB">
      <w:pPr>
        <w:widowControl/>
        <w:spacing w:after="240"/>
        <w:ind w:left="567" w:hanging="567"/>
        <w:rPr>
          <w:szCs w:val="24"/>
        </w:rPr>
      </w:pPr>
      <w:r w:rsidRPr="00DC152D">
        <w:t>D.</w:t>
      </w:r>
      <w:r w:rsidRPr="00DC152D">
        <w:tab/>
        <w:t>kadangi, kalbant apie Agentūros vidaus kontrolės sistemas, 2022 m. nebuvo pranešta apie jokias problemas, dėl kurių reikėjo imtis taisomųjų veiksmų, taip pat nebuvo imtasi ar neįgyvendintų taisomųjų veiksmų, susijusių su ankstesnių metų auditais ir vertinimais;</w:t>
      </w:r>
    </w:p>
    <w:p w:rsidR="00C81DEB" w:rsidRPr="00DC152D" w:rsidRDefault="00C81DEB" w:rsidP="00C81DEB">
      <w:pPr>
        <w:spacing w:after="240"/>
        <w:ind w:left="567" w:hanging="567"/>
        <w:rPr>
          <w:b/>
          <w:i/>
          <w:szCs w:val="24"/>
        </w:rPr>
      </w:pPr>
      <w:r w:rsidRPr="00DC152D">
        <w:rPr>
          <w:b/>
          <w:i/>
        </w:rPr>
        <w:t>Biudžeto ir finansų valdymas</w:t>
      </w:r>
    </w:p>
    <w:p w:rsidR="00C81DEB" w:rsidRPr="00DC152D" w:rsidRDefault="00C81DEB" w:rsidP="00C81DEB">
      <w:pPr>
        <w:spacing w:after="240"/>
        <w:ind w:left="567" w:hanging="567"/>
        <w:rPr>
          <w:szCs w:val="24"/>
        </w:rPr>
      </w:pPr>
      <w:r w:rsidRPr="00DC152D">
        <w:t>1.</w:t>
      </w:r>
      <w:r w:rsidRPr="00DC152D">
        <w:tab/>
        <w:t>palankiai vertina tai, kad dėl 2022 finansiniais metais vykdytos biudžeto stebėsenos einamųjų metų įsipareigojimų asignavimų biudžeto įvykdymo lygis buvo 99,80 %, t. y. šiek tiek (0,14 %) didesnis nei 2021 m., o einamųjų metų mokėjimų asignavimų panaudojimo lygis buvo 98,42 %, t. y. taip pat (1,10 %) didesnis;</w:t>
      </w:r>
    </w:p>
    <w:p w:rsidR="00C81DEB" w:rsidRPr="00DC152D" w:rsidRDefault="00C81DEB" w:rsidP="00C81DEB">
      <w:pPr>
        <w:spacing w:after="240"/>
        <w:ind w:left="567" w:hanging="567"/>
        <w:rPr>
          <w:b/>
          <w:i/>
          <w:szCs w:val="24"/>
        </w:rPr>
      </w:pPr>
      <w:r w:rsidRPr="00DC152D">
        <w:rPr>
          <w:b/>
          <w:i/>
        </w:rPr>
        <w:t>Veiksmingumas</w:t>
      </w:r>
    </w:p>
    <w:p w:rsidR="00C81DEB" w:rsidRPr="00DC152D" w:rsidRDefault="00C81DEB" w:rsidP="00C81DEB">
      <w:pPr>
        <w:spacing w:after="240"/>
        <w:ind w:left="567" w:hanging="567"/>
        <w:rPr>
          <w:szCs w:val="24"/>
        </w:rPr>
      </w:pPr>
      <w:r w:rsidRPr="00DC152D">
        <w:t>2.</w:t>
      </w:r>
      <w:r w:rsidRPr="00DC152D">
        <w:tab/>
        <w:t xml:space="preserve">palankiai vertina tai, kad Agentūra naudoja pagrindinius veiklos rezultatų rodiklius (PVRR), kad įvertintų savo metinės darbo programos įgyvendinimą pagrindinėse srityse, kuriose Agentūra prisideda, ir horizontaliąją veiklą (tvarumas, stebėjimas, sauga ir saugumas, supaprastinimas, skaitmeninimas, techninė pagalba, pajėgumo stiprinimas ir strateginė parama); palankiai vertina tai, kad apskritai tikslai buvo pasiekti, o labai </w:t>
      </w:r>
      <w:r w:rsidRPr="00DC152D">
        <w:lastRenderedPageBreak/>
        <w:t>nedaug tikslų įgyvendinimas atsilieka daugiausia dėl pagrįstų priežasčių; taip pat pažymi, kad Agentūra pasiekė savo 2022 m. tikslus pagal metinę darbo programą ir daugiametę strateginę programą;</w:t>
      </w:r>
    </w:p>
    <w:p w:rsidR="00C81DEB" w:rsidRPr="00DC152D" w:rsidRDefault="00C81DEB" w:rsidP="00C81DEB">
      <w:pPr>
        <w:spacing w:after="240"/>
        <w:ind w:left="567" w:hanging="567"/>
        <w:rPr>
          <w:szCs w:val="24"/>
        </w:rPr>
      </w:pPr>
      <w:r w:rsidRPr="00DC152D">
        <w:t>3.</w:t>
      </w:r>
      <w:r w:rsidRPr="00DC152D">
        <w:tab/>
        <w:t>atkreipia dėmesį į tai, kad Agentūra aktyviai dalyvavo keliose iniciatyvose, susijusiose su Europos žaliuoju kursu, ir teikė paramą bei duomenis Komisijai ir valstybėms narėms, ypač daug dėmesio skirdama įvairiems Pasirengimo įgyvendinti 55 % tikslą priemonių rinkinio pasiūlymams, pvz., pasiūlymui dėl iniciatyvos „FuelEU Maritime“ ir pasiūlymui išplėsti apyvartinių taršos leidimų prekybos sistemą įtraukiant jūrų transportą;</w:t>
      </w:r>
    </w:p>
    <w:p w:rsidR="00C81DEB" w:rsidRPr="00DC152D" w:rsidRDefault="00C81DEB" w:rsidP="00C81DEB">
      <w:pPr>
        <w:spacing w:after="240"/>
        <w:ind w:left="567" w:hanging="567"/>
        <w:rPr>
          <w:szCs w:val="24"/>
        </w:rPr>
      </w:pPr>
      <w:r w:rsidRPr="00DC152D">
        <w:t>4.</w:t>
      </w:r>
      <w:r w:rsidRPr="00DC152D">
        <w:tab/>
        <w:t>palankiai vertina tai, kad Agentūra po neteisėtos ir neišprovokuotos Rusijos invazijos į Ukrainą 2022 m. vasario mėn. tapo svarbia veikėja, kalbant apie dominančių laivų stebėseną ir pranešimų teikimą; atsižvelgdamas į tai pažymi, kad pagalbos jūroje tarnyba (MSS) pranešė valstybėms narėms ir Komisijai apie laivus, plaukiojančius su Rusijos vėliava, konkrečioms valstybėms ir Komisijai apie laivų įplaukimą į ES uostus ir apie laivų, kuriems nustatytos sankcijos (pvz., anglių importas), įplaukimą į uostus;</w:t>
      </w:r>
    </w:p>
    <w:p w:rsidR="00C81DEB" w:rsidRPr="00DC152D" w:rsidRDefault="00C81DEB" w:rsidP="00C81DEB">
      <w:pPr>
        <w:spacing w:after="240"/>
        <w:ind w:left="567" w:hanging="567"/>
        <w:rPr>
          <w:szCs w:val="24"/>
        </w:rPr>
      </w:pPr>
      <w:r w:rsidRPr="00DC152D">
        <w:t>5.</w:t>
      </w:r>
      <w:r w:rsidRPr="00DC152D">
        <w:tab/>
        <w:t>pažymi, kad Agentūros Žemės stebėjimo tarnybos toliau plėtojo ir teikė stebėjimo pajėgumus, daugiausia dėmesio skirdamos „CleanSeaNet“, „Copernicus“ jūrų stebėjimui FRONTEX ir paramai jūrų ekstremaliosioms situacijoms jūroje pagal Agentūros nenumatytų atvejų planą;</w:t>
      </w:r>
    </w:p>
    <w:p w:rsidR="00C81DEB" w:rsidRPr="00DC152D" w:rsidRDefault="00C81DEB" w:rsidP="00C81DEB">
      <w:pPr>
        <w:spacing w:after="240"/>
        <w:ind w:left="567" w:hanging="567"/>
        <w:rPr>
          <w:szCs w:val="24"/>
        </w:rPr>
      </w:pPr>
      <w:r w:rsidRPr="00DC152D">
        <w:t>6.</w:t>
      </w:r>
      <w:r w:rsidRPr="00DC152D">
        <w:tab/>
        <w:t>palankiai vertina tai, kad Agentūra teikė techninę paramą Komisijai ir ELPA priežiūros institucijai, dalyvaudama jų surengtuose patikrinimuose, kad įvertintų ir patikrintų, kaip valstybėse narėse įgyvendinami ir vykdomi ES jūrų saugumo teisės aktai;</w:t>
      </w:r>
    </w:p>
    <w:p w:rsidR="00C81DEB" w:rsidRPr="00DC152D" w:rsidRDefault="00C81DEB" w:rsidP="00C81DEB">
      <w:pPr>
        <w:spacing w:after="240"/>
        <w:ind w:left="567" w:hanging="567"/>
        <w:rPr>
          <w:szCs w:val="24"/>
        </w:rPr>
      </w:pPr>
      <w:r w:rsidRPr="00DC152D">
        <w:t>7.</w:t>
      </w:r>
      <w:r w:rsidRPr="00DC152D">
        <w:tab/>
        <w:t>pažymi, kad 2022 m. Agentūra suteikė Europos Sąjungos teisėsaugos bendradarbiavimo agentūrai (Europolui) prieigą prie jūrų ir stebėjimo informacijos paslaugų, kad padėtų vykdyti teisėsaugos ir kovos su organizuotu nusikalstamumu veiklą jūroje;</w:t>
      </w:r>
    </w:p>
    <w:p w:rsidR="00C81DEB" w:rsidRPr="00DC152D" w:rsidRDefault="00C81DEB" w:rsidP="00C81DEB">
      <w:pPr>
        <w:spacing w:after="240"/>
        <w:ind w:left="567" w:hanging="567"/>
        <w:rPr>
          <w:i/>
          <w:szCs w:val="24"/>
        </w:rPr>
      </w:pPr>
      <w:r w:rsidRPr="00DC152D">
        <w:t>8.</w:t>
      </w:r>
      <w:r w:rsidRPr="00DC152D">
        <w:tab/>
        <w:t>pažymi, kad 2022 m. Agentūra išlaikė savo, kaip pajėgumo stiprinimo kompetencijos centro, vaidmenį įgyvendinant PNPP II projektą ir užbaigiant techninės pagalbos projektus Viduržemio jūroje (SAFEMED IV) ir Juodojoje bei Kaspijos jūrose (BCSEA);</w:t>
      </w:r>
    </w:p>
    <w:p w:rsidR="00C81DEB" w:rsidRPr="00DC152D" w:rsidRDefault="00C81DEB" w:rsidP="00C81DEB">
      <w:pPr>
        <w:spacing w:after="240"/>
        <w:ind w:left="567" w:hanging="567"/>
      </w:pPr>
      <w:r w:rsidRPr="00DC152D">
        <w:t>9.</w:t>
      </w:r>
      <w:r w:rsidRPr="00DC152D">
        <w:tab/>
        <w:t>palankiai vertina Agentūros paramą Komisijai IMO, ypač tokiuose forumuose kaip MEPC, PPR ir CCC; tai apima itin svarbias taršos prevencijos ir tvarumo sritis, įskaitant IMO išmetamo ŠESD kiekio mažinimo strategiją, laivybos taršos anglies dioksidu intensyvumą, saugą, vertinimą, tvaraus alternatyvaus kuro ir technologijų diegimą ir naudojimą, jūrų šiukšles ir povandeninį triukšmą; pabrėžia, kad būsimas IMO darbas rengiant atitinkamus naujų rūšių kuro ir technologijų naudojimo reikalavimus ir standartus bus labai svarbus juos diegiant tiek pasauliniu, tiek ES lygmenimis;</w:t>
      </w:r>
    </w:p>
    <w:p w:rsidR="00C81DEB" w:rsidRPr="00DC152D" w:rsidRDefault="00C81DEB" w:rsidP="00C81DEB">
      <w:pPr>
        <w:pStyle w:val="NormalHanging12a"/>
        <w:rPr>
          <w:b/>
          <w:i/>
          <w:color w:val="000000" w:themeColor="text1"/>
          <w:szCs w:val="24"/>
        </w:rPr>
      </w:pPr>
      <w:r w:rsidRPr="00DC152D">
        <w:rPr>
          <w:b/>
          <w:i/>
          <w:color w:val="000000" w:themeColor="text1"/>
        </w:rPr>
        <w:t>Veiksmingumas ir nauda</w:t>
      </w:r>
    </w:p>
    <w:p w:rsidR="00C81DEB" w:rsidRPr="00DC152D" w:rsidRDefault="00C81DEB" w:rsidP="00C81DEB">
      <w:pPr>
        <w:widowControl/>
        <w:spacing w:after="240"/>
        <w:ind w:left="567" w:hanging="567"/>
        <w:rPr>
          <w:szCs w:val="24"/>
        </w:rPr>
      </w:pPr>
      <w:r w:rsidRPr="00DC152D">
        <w:rPr>
          <w:color w:val="000000" w:themeColor="text1"/>
        </w:rPr>
        <w:t>10.</w:t>
      </w:r>
      <w:r w:rsidRPr="00DC152D">
        <w:rPr>
          <w:color w:val="000000" w:themeColor="text1"/>
        </w:rPr>
        <w:tab/>
      </w:r>
      <w:r w:rsidRPr="00DC152D">
        <w:t>pažymi, kad pagal naujus Europos bendradarbiavimo pakrančių apsaugos funkcijų srityje įgaliojimus Agentūra dalijasi informacija, ekspertinėmis žiniomis, procedūromis, mokymo medžiaga ir priemonėmis su Europos žuvininkystės kontrolės agentūra (EŽKA) ir FRONTEX;</w:t>
      </w:r>
      <w:r w:rsidRPr="00DC152D">
        <w:rPr>
          <w:color w:val="000000" w:themeColor="text1"/>
        </w:rPr>
        <w:t xml:space="preserve"> taip pat pažymi, kad Agentūra toliau glaudžiai bendradarbiauja su Europos narkotikų ir narkomanijos stebėsenos centru (EMCCDA), kad padidintų </w:t>
      </w:r>
      <w:r w:rsidRPr="00DC152D">
        <w:rPr>
          <w:color w:val="000000" w:themeColor="text1"/>
        </w:rPr>
        <w:lastRenderedPageBreak/>
        <w:t xml:space="preserve">savo veiksmingumą ir sumažintų išlaidas dėl abiejų agentūrų geografinio artumo; palankiai vertina tai, kad Agentūra rėmė EMCCDA dalydamasi žiniomis apie EMAS registraciją ir kartu su EŽKA toliau užtikrino, kad būtų taikomas abipusės paramos susitarimas dėl apskaitos funkcijos abiejose agentūrose; </w:t>
      </w:r>
      <w:r w:rsidRPr="00DC152D">
        <w:t>atkreipia dėmesį į horizontaliąją bendradarbiavimo ir geriausios praktikos pritaikymo naudą ir tai, kad bendromis iniciatyvomis sutelkiamos įvairios perspektyvos, mažinamas pastangų dubliavimas, gerinamas mokymasis ir stiprinami dalyvių santykiai;</w:t>
      </w:r>
    </w:p>
    <w:p w:rsidR="00C81DEB" w:rsidRPr="00DC152D" w:rsidRDefault="00C81DEB" w:rsidP="00C81DEB">
      <w:pPr>
        <w:pStyle w:val="NormalHanging12a"/>
        <w:rPr>
          <w:color w:val="000000" w:themeColor="text1"/>
          <w:szCs w:val="24"/>
        </w:rPr>
      </w:pPr>
      <w:r w:rsidRPr="00DC152D">
        <w:rPr>
          <w:color w:val="000000" w:themeColor="text1"/>
        </w:rPr>
        <w:t>11.</w:t>
      </w:r>
      <w:r w:rsidRPr="00DC152D">
        <w:rPr>
          <w:color w:val="000000" w:themeColor="text1"/>
        </w:rPr>
        <w:tab/>
        <w:t>pažymi, kad Agentūra stengėsi padidinti savo veiksmingumą ir efektyvumą automatizuodama procedūras, siekdama gerokai sumažinti konkrečių darbuotojų administracinį darbo krūvį, kad jie galėtų sutelkti dėmesį į užduotis susijusiose srityse, turinčiose didesnę pridėtinę vertę; be to, pažymi, kad Agentūra pradėjo bandomuosius projektus, susijusius su kvalifikuotu e. parašu ir organizacijos priemonių integravimu į ARES; ragina Agentūrą rasti daugiau vidaus procedūrų, kurias būtų galima supaprastinti jas automatizuojant;</w:t>
      </w:r>
    </w:p>
    <w:p w:rsidR="00C81DEB" w:rsidRPr="00DC152D" w:rsidRDefault="00C81DEB" w:rsidP="00C81DEB">
      <w:pPr>
        <w:spacing w:after="240"/>
        <w:ind w:left="567" w:hanging="567"/>
        <w:rPr>
          <w:b/>
          <w:i/>
          <w:szCs w:val="24"/>
        </w:rPr>
      </w:pPr>
      <w:r w:rsidRPr="00DC152D">
        <w:rPr>
          <w:b/>
          <w:i/>
        </w:rPr>
        <w:t>Personalo politika</w:t>
      </w:r>
    </w:p>
    <w:p w:rsidR="00C81DEB" w:rsidRPr="00DC152D" w:rsidRDefault="00C81DEB" w:rsidP="00C81DEB">
      <w:pPr>
        <w:pStyle w:val="NormalHanging12a"/>
        <w:rPr>
          <w:szCs w:val="24"/>
        </w:rPr>
      </w:pPr>
      <w:r w:rsidRPr="00DC152D">
        <w:t>12.</w:t>
      </w:r>
      <w:r w:rsidRPr="00DC152D">
        <w:tab/>
        <w:t>pažymi, kad 2022 m. gruodžio 31 d. etatų planas buvo stabilus ir įvykdytas 99,06 %: iš 212 pareigūnų ir laikinųjų darbuotojų, kurių etatai patvirtinti pagal Sąjungos biudžetą (tiek pat, kiek ir 2021 m.), buvo paskirta 210; atkreipia dėmesį į tai, kad 2022 m. Agentūroje taip pat dirbo 28 sutartininkai ir 16 deleguotųjų nacionalinių ekspertų;</w:t>
      </w:r>
    </w:p>
    <w:p w:rsidR="00C81DEB" w:rsidRPr="00DC152D" w:rsidRDefault="00C81DEB" w:rsidP="00C81DEB">
      <w:pPr>
        <w:pStyle w:val="NormalHanging12a"/>
      </w:pPr>
      <w:r w:rsidRPr="00DC152D">
        <w:t>13.</w:t>
      </w:r>
      <w:r w:rsidRPr="00DC152D">
        <w:tab/>
        <w:t>atkreipia dėmesį į tai, kad Agentūros vyresniosios vadovybės nariai pagal lytį pasiskirstę netolygiai: iš 16 narių 5 yra moterys (31 %); atkreipia dėmesį į netolygų pasiskirstymą pagal lytį Agentūros administracinėje valdyboje – 10 iš 57 narių (18 %) yra moterys; be to, pažymi, kad apskritai atsižvelgiant į darbuotojų pasiskirstymą pagal lytį Agentūroje iš 264 darbuotojų 99 yra moterys (38 %); primena, kad svarbu užtikrinti lyčių pusiausvyrą, ir ragina Agentūrą atsižvelgti į šį aspektą ateityje įdarbinant darbuotojus ir skiriant vyresniosios vadovybės ir vidurinės grandies vadovus; palankiai vertina tai, kad Agentūra pradėjo įgyvendinti 2022–2025 m. Lyčių lygybės veiksmų planą, kuriame daugiausia dėmesio skiriama lyčių pusiausvyros ir lygybės gerinimui ilguoju laikotarpiu kokybės pagrindu; prašo Komisijos ir valstybių narių atsižvelgti į tai, kad skiriant administracinės valdybos narius svarbu užtikrinti lyčių pusiausvyrą; ragina Agentūrą taip pat priimti Įvairovės ir įtraukties chartiją ir toliau dalyvauti iniciatyvose, kuriomis visais hierarchijos lygmenimis skatinama įvairovė ir įtrauktis darbo vietoje;</w:t>
      </w:r>
    </w:p>
    <w:p w:rsidR="00C81DEB" w:rsidRPr="00DC152D" w:rsidRDefault="00C81DEB" w:rsidP="00C81DEB">
      <w:pPr>
        <w:spacing w:after="240"/>
        <w:ind w:left="567" w:hanging="567"/>
      </w:pPr>
      <w:r w:rsidRPr="00DC152D">
        <w:t>14.</w:t>
      </w:r>
      <w:r w:rsidRPr="00DC152D">
        <w:tab/>
        <w:t>pabrėžia, kad vis dar sunku įdarbinti deleguotuosius nacionalinius ekspertus, nes sunku pritraukti ekspertų iš valstybių narių; atkreipia dėmesį į tai, kad kai kurie Agentūros kvietimai teikti paraiškas buvo nesėkmingi; siūlo suteikti galimybę vidaus sutartininkams pereiti į kitą pareigų grupę taikant bendrą atrankos procedūrą; kiek tai susiję su didesniu efektyvumu, pastebi, kad Agentūra siekia ir stengiasi tobulinti savo procedūras, kad padidintų savo veiksmingumą ir efektyvumą optimaliai naudojant žmogiškuosius ir finansinius išteklius;</w:t>
      </w:r>
    </w:p>
    <w:p w:rsidR="00C81DEB" w:rsidRPr="00DC152D" w:rsidRDefault="00C81DEB" w:rsidP="00C81DEB">
      <w:pPr>
        <w:pStyle w:val="NormalHanging12a"/>
      </w:pPr>
      <w:r w:rsidRPr="00DC152D">
        <w:t>15.</w:t>
      </w:r>
      <w:r w:rsidRPr="00DC152D">
        <w:tab/>
        <w:t>palankiai vertina tai, kad, siekiant užkirsti kelią priekabiavimui darbo vietoje, buvo paskirti šeši nauji konfidencialūs patarėjai, sėkmingai baigę privalomus mokymus, ir jie dabar aktyviai atlieka šį vaidmenį Agentūroje;</w:t>
      </w:r>
    </w:p>
    <w:p w:rsidR="00C81DEB" w:rsidRPr="00DC152D" w:rsidRDefault="00C81DEB" w:rsidP="00C81DEB">
      <w:pPr>
        <w:pStyle w:val="NormalHanging12a"/>
      </w:pPr>
      <w:r w:rsidRPr="00DC152D">
        <w:t>16.</w:t>
      </w:r>
      <w:r w:rsidRPr="00DC152D">
        <w:tab/>
        <w:t xml:space="preserve">pažymi, kad Agentūra, konsultuodamasi su darbuotojais, vadovybe ir Personalo komitetu, pradėjo žmogiškųjų išteklių strategijos projektą, taip pat projektą, siekdama </w:t>
      </w:r>
      <w:r w:rsidRPr="00DC152D">
        <w:lastRenderedPageBreak/>
        <w:t>sukurti internetinę įvadinę programą naujiems darbuotojams, ir parengiamąjį darbą, susijusį su sprendimu dėl darbo laiko ir hibridinio darbo, kurį tikimasi priimti 2023 m.; ragina Agentūrą informuoti biudžeto įvykdymą tvirtinančią instituciją apie šioje srityje pasiektą pažangą;</w:t>
      </w:r>
    </w:p>
    <w:p w:rsidR="00C81DEB" w:rsidRPr="00DC152D" w:rsidRDefault="00C81DEB" w:rsidP="00C81DEB">
      <w:pPr>
        <w:pStyle w:val="NormalHanging12a"/>
        <w:rPr>
          <w:b/>
          <w:i/>
          <w:szCs w:val="24"/>
        </w:rPr>
      </w:pPr>
      <w:r w:rsidRPr="00DC152D">
        <w:rPr>
          <w:b/>
          <w:i/>
        </w:rPr>
        <w:t>Interesų konfliktų prevencija ir valdymas bei skaidrumas</w:t>
      </w:r>
    </w:p>
    <w:p w:rsidR="00C81DEB" w:rsidRPr="00DC152D" w:rsidRDefault="00C81DEB" w:rsidP="00C81DEB">
      <w:pPr>
        <w:spacing w:after="240"/>
        <w:ind w:left="567" w:hanging="567"/>
        <w:rPr>
          <w:szCs w:val="24"/>
        </w:rPr>
      </w:pPr>
      <w:r w:rsidRPr="00DC152D">
        <w:t>17.</w:t>
      </w:r>
      <w:r w:rsidRPr="00DC152D">
        <w:tab/>
        <w:t>pripažįsta, kad Agentūros administracinės valdybos narių ir pakaitinių narių prašoma, kai jie paskiriami ir kasmet, pasirašyti įsipareigojimo ir konfidencialumo deklaraciją ir kiekvieno Administracinės valdybos posėdžio pradžioje pranešti apie bet kokį (galimą) interesų konfliktą, kuris galėtų būti laikomas trukdančiu nagrinėti bet kurį darbotvarkės klausimą; pažymi, kad visi darbuotojai (įskaitant vyresniąją vadovybę, dalyvaujančią konkrečiose procedūrose) turi pranešti apie (galimą) interesų konfliktą įvairiose procedūrose, pvz., viešųjų pirkimų ir įdarbinimo; atkreipia dėmesį į tai, kad 2022 m. atrankos komiteto narys per įdarbinimo procedūrą paskelbė apie vieną interesų konflikto atvejį ir, išnagrinėjus paskelbtą konfliktą, narys buvo pakeistas;</w:t>
      </w:r>
    </w:p>
    <w:p w:rsidR="00C81DEB" w:rsidRPr="00DC152D" w:rsidRDefault="00C81DEB" w:rsidP="00C81DEB">
      <w:pPr>
        <w:spacing w:after="240"/>
        <w:ind w:left="567" w:hanging="567"/>
        <w:rPr>
          <w:szCs w:val="24"/>
        </w:rPr>
      </w:pPr>
      <w:r w:rsidRPr="00DC152D">
        <w:t>18.</w:t>
      </w:r>
      <w:r w:rsidRPr="00DC152D">
        <w:tab/>
        <w:t>pažymi, kad Agentūra patvirtino „EMSA Administracinės valdybos interesų konfliktų politiką“, kuria nustatomi jos narių ir jų pakaitinių narių nešališkumo ir nepriklausomumo principai ir apibrėžiamos priemonės, kuriomis užtikrinamas praktinis jų taikymas, siekiant užkirsti kelią rizikai, kad ankstesni, dabartiniai ar būsimi interesai gali netinkamai paveikti valdybos narių nešališkumą ir nepriklausomumą jiems einant pareigas, ir tą riziką sumažinti;</w:t>
      </w:r>
    </w:p>
    <w:p w:rsidR="00C81DEB" w:rsidRPr="00DC152D" w:rsidRDefault="00C81DEB" w:rsidP="00C81DEB">
      <w:pPr>
        <w:spacing w:after="240"/>
        <w:ind w:left="567" w:hanging="567"/>
        <w:rPr>
          <w:szCs w:val="24"/>
        </w:rPr>
      </w:pPr>
      <w:r w:rsidRPr="00DC152D">
        <w:t>19.</w:t>
      </w:r>
      <w:r w:rsidRPr="00DC152D">
        <w:tab/>
        <w:t>atkreipia dėmesį į tai, kad administracinės valdybos narių ir vadovaujančiųjų darbuotojų gyvenimo aprašymai skelbiami Agentūros interneto svetainėje;</w:t>
      </w:r>
    </w:p>
    <w:p w:rsidR="00C81DEB" w:rsidRPr="00DC152D" w:rsidRDefault="00C81DEB" w:rsidP="00C81DEB">
      <w:pPr>
        <w:pStyle w:val="Normal12Hanging"/>
        <w:rPr>
          <w:b/>
          <w:i/>
          <w:szCs w:val="24"/>
        </w:rPr>
      </w:pPr>
      <w:r w:rsidRPr="00DC152D">
        <w:rPr>
          <w:b/>
          <w:i/>
        </w:rPr>
        <w:t>Kitos pastabos</w:t>
      </w:r>
    </w:p>
    <w:p w:rsidR="00C81DEB" w:rsidRPr="00DC152D" w:rsidRDefault="00C81DEB" w:rsidP="00C81DEB">
      <w:pPr>
        <w:spacing w:after="240"/>
        <w:ind w:left="567" w:hanging="567"/>
        <w:rPr>
          <w:szCs w:val="24"/>
        </w:rPr>
      </w:pPr>
      <w:r w:rsidRPr="00DC152D">
        <w:t>20.</w:t>
      </w:r>
      <w:r w:rsidRPr="00DC152D">
        <w:tab/>
        <w:t>palankiai vertina tai, kad pagal Agentūros rizikos valdymo sistemą 2022 m. rizikos registras buvo visapusiškai atnaujintas ir patobulintas ir kad per šią veiklą ypatingas dėmesys buvo skiriamas galimos su sukčiavimu susijusios rizikos nustatymui ir bendroms galimybėms; taip pat palankiai vertina tai, kad po Rusijos invazijos į Ukrainą buvo nustatyta ir į atnaujintus rizikos registrus įtraukta tam tikra nauja nustatyta rizika ir galimybės, susijusios su šia didele krize;</w:t>
      </w:r>
    </w:p>
    <w:p w:rsidR="00C81DEB" w:rsidRPr="00DC152D" w:rsidRDefault="00C81DEB" w:rsidP="00C81DEB">
      <w:pPr>
        <w:spacing w:after="240"/>
        <w:ind w:left="567" w:hanging="567"/>
        <w:rPr>
          <w:szCs w:val="24"/>
        </w:rPr>
      </w:pPr>
      <w:r w:rsidRPr="00DC152D">
        <w:t>21.</w:t>
      </w:r>
      <w:r w:rsidRPr="00DC152D">
        <w:tab/>
        <w:t xml:space="preserve">sveikina Agentūrą sukūrus keletą </w:t>
      </w:r>
      <w:r w:rsidRPr="00DC152D">
        <w:rPr>
          <w:i/>
          <w:iCs/>
        </w:rPr>
        <w:t>ad hoc</w:t>
      </w:r>
      <w:r w:rsidRPr="00DC152D">
        <w:t xml:space="preserve"> produktų, kuriais siekiama padėti valstybėms narėms ir Komisijai įgyvendinti ES sankcijas, susijusias su Rusijos Federacijos invazija į Ukrainą, pvz., pranešimus apie įplaukiančius laivus, susijusius su konkrečiais kroviniais ir vėliavomis; taip pat palankiai vertina tai, kad Agentūra parengė ir atitinkamiems suinteresuotiesiems subjektams teikia mėnesinę pokyčių Ukrainoje poveikio jūrų transportui ir prekybai ataskaitą;</w:t>
      </w:r>
    </w:p>
    <w:p w:rsidR="00C81DEB" w:rsidRPr="00DC152D" w:rsidRDefault="00C81DEB" w:rsidP="00C81DEB">
      <w:pPr>
        <w:spacing w:after="240"/>
        <w:ind w:left="567" w:hanging="567"/>
        <w:rPr>
          <w:szCs w:val="24"/>
        </w:rPr>
      </w:pPr>
      <w:r w:rsidRPr="00DC152D">
        <w:t>22.</w:t>
      </w:r>
      <w:r w:rsidRPr="00DC152D">
        <w:tab/>
        <w:t>palankiai vertina tai, kad 2022 m. Agentūra vykdė įvairią ekologinę veiklą, pvz., vykdė plačią ekologijos komunikacijos kampaniją, sukūrė daugkartinio naudojimo kanceliarinių prekių sandėlį, dalyvavo Europos judumo savaitėje ir, be kita ko, sumažino bazinę temperatūrą patalpose žiemos sezonu;</w:t>
      </w:r>
    </w:p>
    <w:p w:rsidR="00C81DEB" w:rsidRPr="00DC152D" w:rsidRDefault="00C81DEB" w:rsidP="00C81DEB">
      <w:pPr>
        <w:spacing w:after="240"/>
        <w:ind w:left="567" w:hanging="567"/>
        <w:rPr>
          <w:szCs w:val="24"/>
        </w:rPr>
      </w:pPr>
      <w:r w:rsidRPr="00DC152D">
        <w:t>23.</w:t>
      </w:r>
      <w:r w:rsidRPr="00DC152D">
        <w:tab/>
        <w:t xml:space="preserve">primena, kad 2019 m. Agentūra pradėjo vykdyti „Greening EMSA“ iniciatyvą, kuria siekiama įdiegti aplinkosaugos vadybos sistemą, ir kad galutinis etapas, per kurį atliktas išorės patikrinimo auditas, įvyko 2022 m. sausio mėn.; pažymi, kad dėl to Agentūra </w:t>
      </w:r>
      <w:r w:rsidRPr="00DC152D">
        <w:lastRenderedPageBreak/>
        <w:t>gavo EMAS ženklą ir paskelbė savo aplinkosaugos pareiškimą;</w:t>
      </w:r>
    </w:p>
    <w:p w:rsidR="00C81DEB" w:rsidRPr="00DC152D" w:rsidRDefault="00C81DEB" w:rsidP="00C81DEB">
      <w:pPr>
        <w:spacing w:after="240"/>
        <w:ind w:left="567" w:hanging="567"/>
        <w:rPr>
          <w:szCs w:val="24"/>
        </w:rPr>
      </w:pPr>
      <w:r w:rsidRPr="00DC152D">
        <w:t>24.</w:t>
      </w:r>
      <w:r w:rsidRPr="00DC152D">
        <w:tab/>
        <w:t>pažymi, kad Agentūra suintensyvino bendradarbiavimą su Europos Sąjungos kibernetinio saugumo agentūra dalyvaudama bandomajame būsimo Kibernetinio saugumo reglamento įgyvendinimo projekte; be to, pažymi, kad Agentūra sustiprino bendradarbiavimą su CERT EU atnaujindama konkretų tarpžinybinį susitarimą, į kurį dabar įtraukta daugiau veiksmų, pvz., daugiau saugumo vertinimų, ir suteikdama prieigą tikruoju laiku stebėti saugumo įvykius EMSA IT infrastruktūroje; taip pat pažymi, kad Agentūra kartu su CERT EU ir Tarybos tarpinstituciniu saugumo paslaugų teikėju reguliariai atlieka saugumo vertinimus;</w:t>
      </w:r>
    </w:p>
    <w:p w:rsidR="00C81DEB" w:rsidRPr="00DC152D" w:rsidRDefault="00C81DEB" w:rsidP="00C81DEB">
      <w:pPr>
        <w:spacing w:after="240"/>
        <w:ind w:left="567" w:hanging="567"/>
        <w:rPr>
          <w:szCs w:val="24"/>
        </w:rPr>
      </w:pPr>
      <w:r w:rsidRPr="00DC152D">
        <w:t>25.</w:t>
      </w:r>
      <w:r w:rsidRPr="00DC152D">
        <w:tab/>
        <w:t>pažymi, kad Agentūra, siekdama padidinti savo matomumą visuomenėje ir dalyvavimą internete, įgyvendino įvairias priemones, pvz., organizavo konferencijas, dalijosi vaizdo įrašais, kuriuose paaiškinama pagrindinė Agentūros veikla ir kompetencija, tiesiogiai transliavo renginius ir pradėjo taikyti „EMSA atvirų durų“ koncepciją;</w:t>
      </w:r>
    </w:p>
    <w:p w:rsidR="00C81DEB" w:rsidRPr="00DC152D" w:rsidRDefault="00C81DEB" w:rsidP="00C81DEB">
      <w:pPr>
        <w:pStyle w:val="NormalHanging12a"/>
      </w:pPr>
      <w:r w:rsidRPr="00DC152D">
        <w:t>26.</w:t>
      </w:r>
      <w:r w:rsidRPr="00DC152D">
        <w:tab/>
        <w:t>palankiai vertina Agentūros įsipareigojimą gerinti savo daugiakalbę komunikaciją, užtikrinant didesnį prieinamumą visiems ES piliečiams; pažymi, kad Agentūros penkerių metų strategija, Europos jūrų aplinkos ir Europos jūrų saugumo ataskaita dabar yra prieinamos visomis 24 ES kalbomis;</w:t>
      </w:r>
    </w:p>
    <w:p w:rsidR="00C81DEB" w:rsidRPr="00DC152D" w:rsidRDefault="00C81DEB" w:rsidP="00C81DEB">
      <w:pPr>
        <w:spacing w:after="240"/>
        <w:ind w:left="567" w:hanging="567"/>
      </w:pPr>
      <w:r w:rsidRPr="00DC152D">
        <w:t>27.</w:t>
      </w:r>
      <w:r w:rsidRPr="00DC152D">
        <w:tab/>
        <w:t>pabrėžia Agentūros veiklos jūrų saugumo srityje svarbą ir prašo Komisijos toliau teikti techninę pagalbą atliekant patikrinimus pagal šią sistemą pagal Europos Parlamento ir Tarybos reglamentą (EB) Nr. 725/2004 dėl laivų ir uostų įrenginių (terminalų) apsaugos stiprinimo; pabrėžia, kad pastaraisiais metais labai padaugėjo kibernetinio saugumo incidentų jūrų sektoriuje;</w:t>
      </w:r>
    </w:p>
    <w:p w:rsidR="00C81DEB" w:rsidRPr="00DC152D" w:rsidRDefault="00C81DEB" w:rsidP="00C81DEB">
      <w:pPr>
        <w:spacing w:after="240"/>
        <w:ind w:left="567" w:hanging="567"/>
      </w:pPr>
      <w:r w:rsidRPr="00DC152D">
        <w:t>28.</w:t>
      </w:r>
      <w:r w:rsidRPr="00DC152D">
        <w:tab/>
        <w:t>ragina skatinti jūrų sektoriaus skaitmenizavimą sudarant palankesnes sąlygas elektroniniu būdu perduoti duomenis ir taip padedant supaprastinti integruotas jūrų stebėjimo ir informuotumo sistemas bei paslaugas ir jas teikti Komisijai ir valstybėms narėms;</w:t>
      </w:r>
    </w:p>
    <w:p w:rsidR="00C81DEB" w:rsidRPr="00DC152D" w:rsidRDefault="00C81DEB" w:rsidP="00C81DEB">
      <w:pPr>
        <w:spacing w:after="240"/>
        <w:ind w:left="567" w:hanging="567"/>
      </w:pPr>
      <w:r w:rsidRPr="00DC152D">
        <w:t>29.</w:t>
      </w:r>
      <w:r w:rsidRPr="00DC152D">
        <w:tab/>
        <w:t>pabrėžia, kad ES laivynas (tiek laivų, tiek talpos atžvilgiu) auga lėčiau, palyginti su pasaulio laivynu; per pastaruosius penkerius metus ES laivyno augimas siekė 3,4 %, palyginti su pasaulio laivynu, kurio augimo tempas buvo didesnis – 7 %;</w:t>
      </w:r>
    </w:p>
    <w:p w:rsidR="00C81DEB" w:rsidRPr="00DC152D" w:rsidRDefault="00C81DEB" w:rsidP="00C81DEB">
      <w:pPr>
        <w:spacing w:after="240"/>
        <w:ind w:left="567" w:hanging="567"/>
        <w:jc w:val="center"/>
        <w:rPr>
          <w:szCs w:val="24"/>
        </w:rPr>
      </w:pPr>
      <w:r w:rsidRPr="00DC152D">
        <w:t>°</w:t>
      </w:r>
    </w:p>
    <w:p w:rsidR="00C81DEB" w:rsidRPr="00DC152D" w:rsidRDefault="00C81DEB" w:rsidP="00C81DEB">
      <w:pPr>
        <w:pStyle w:val="NormalCenter12a"/>
        <w:rPr>
          <w:szCs w:val="24"/>
        </w:rPr>
      </w:pPr>
      <w:r w:rsidRPr="00DC152D">
        <w:t>°</w:t>
      </w:r>
      <w:r w:rsidRPr="00DC152D">
        <w:tab/>
        <w:t>°</w:t>
      </w:r>
    </w:p>
    <w:p w:rsidR="00C81DEB" w:rsidRPr="00DC152D" w:rsidRDefault="00C81DEB" w:rsidP="00C81DEB">
      <w:pPr>
        <w:widowControl/>
        <w:ind w:left="567" w:hanging="567"/>
        <w:rPr>
          <w:szCs w:val="24"/>
        </w:rPr>
      </w:pPr>
      <w:r w:rsidRPr="00DC152D">
        <w:t>30.</w:t>
      </w:r>
      <w:r w:rsidRPr="00DC152D">
        <w:tab/>
        <w:t xml:space="preserve">pažymi, kad kitos su sprendimu dėl biudžeto įvykdymo patvirtinimo susijusios pastabos, kurios yra horizontaliojo pobūdžio, pateikiamos jo </w:t>
      </w:r>
      <w:r w:rsidR="00E91FEB" w:rsidRPr="00DC152D">
        <w:t xml:space="preserve">2024 m. </w:t>
      </w:r>
      <w:r w:rsidR="000E1EB0" w:rsidRPr="00DC152D">
        <w:t>balandžio</w:t>
      </w:r>
      <w:r w:rsidR="00E91FEB" w:rsidRPr="00DC152D">
        <w:t xml:space="preserve"> 11 d.</w:t>
      </w:r>
      <w:r w:rsidRPr="00DC152D">
        <w:t xml:space="preserve"> rezoliucijoje dėl agentūrų veiklos, finansų valdymo ir kontrolės</w:t>
      </w:r>
      <w:r w:rsidRPr="00DC152D">
        <w:rPr>
          <w:rStyle w:val="FootnoteReference"/>
        </w:rPr>
        <w:footnoteReference w:id="12"/>
      </w:r>
      <w:r w:rsidRPr="00DC152D">
        <w:t>.</w:t>
      </w:r>
    </w:p>
    <w:p w:rsidR="00E365E1" w:rsidRPr="00DC152D" w:rsidRDefault="00E365E1" w:rsidP="00E91FEB">
      <w:bookmarkStart w:id="15" w:name="TextBodyEnd"/>
      <w:bookmarkEnd w:id="15"/>
    </w:p>
    <w:sectPr w:rsidR="00E365E1" w:rsidRPr="00DC152D" w:rsidSect="007410B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FEB" w:rsidRPr="007410B8" w:rsidRDefault="00E91FEB">
      <w:r w:rsidRPr="007410B8">
        <w:separator/>
      </w:r>
    </w:p>
  </w:endnote>
  <w:endnote w:type="continuationSeparator" w:id="0">
    <w:p w:rsidR="00E91FEB" w:rsidRPr="007410B8" w:rsidRDefault="00E91FEB">
      <w:r w:rsidRPr="007410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DEB" w:rsidRPr="007410B8" w:rsidRDefault="00C81DEB" w:rsidP="00A04CCC">
    <w:pPr>
      <w:pStyle w:val="EPFooter"/>
    </w:pPr>
    <w:r w:rsidRPr="007410B8">
      <w:t>PE</w:t>
    </w:r>
    <w:r w:rsidRPr="007410B8">
      <w:rPr>
        <w:rStyle w:val="HideTWBExt"/>
      </w:rPr>
      <w:t>&lt;NoPE&gt;</w:t>
    </w:r>
    <w:r w:rsidRPr="007410B8">
      <w:t>753.526</w:t>
    </w:r>
    <w:r w:rsidRPr="007410B8">
      <w:rPr>
        <w:rStyle w:val="HideTWBExt"/>
      </w:rPr>
      <w:t>&lt;/NoPE&gt;&lt;Version&gt;</w:t>
    </w:r>
    <w:r w:rsidRPr="007410B8">
      <w:t>v02-00</w:t>
    </w:r>
    <w:r w:rsidRPr="007410B8">
      <w:rPr>
        <w:rStyle w:val="HideTWBExt"/>
      </w:rPr>
      <w:t>&lt;/Version&gt;</w:t>
    </w:r>
    <w:r w:rsidRPr="007410B8">
      <w:tab/>
    </w:r>
    <w:r w:rsidRPr="007410B8">
      <w:fldChar w:fldCharType="begin"/>
    </w:r>
    <w:r w:rsidRPr="007410B8">
      <w:instrText xml:space="preserve"> PAGE  \* MERGEFORMAT </w:instrText>
    </w:r>
    <w:r w:rsidRPr="007410B8">
      <w:fldChar w:fldCharType="separate"/>
    </w:r>
    <w:r w:rsidR="007410B8" w:rsidRPr="007410B8">
      <w:rPr>
        <w:noProof/>
      </w:rPr>
      <w:t>2</w:t>
    </w:r>
    <w:r w:rsidRPr="007410B8">
      <w:fldChar w:fldCharType="end"/>
    </w:r>
    <w:r w:rsidRPr="007410B8">
      <w:t>/</w:t>
    </w:r>
    <w:r w:rsidR="00604706">
      <w:fldChar w:fldCharType="begin"/>
    </w:r>
    <w:r w:rsidR="00604706">
      <w:instrText xml:space="preserve"> NUMPAGES  \* MERGEFORMAT </w:instrText>
    </w:r>
    <w:r w:rsidR="00604706">
      <w:fldChar w:fldCharType="separate"/>
    </w:r>
    <w:r w:rsidR="007410B8" w:rsidRPr="007410B8">
      <w:rPr>
        <w:noProof/>
      </w:rPr>
      <w:t>3</w:t>
    </w:r>
    <w:r w:rsidR="00604706">
      <w:rPr>
        <w:noProof/>
      </w:rPr>
      <w:fldChar w:fldCharType="end"/>
    </w:r>
    <w:r w:rsidRPr="007410B8">
      <w:tab/>
    </w:r>
    <w:r w:rsidRPr="007410B8">
      <w:rPr>
        <w:rStyle w:val="HideTWBExt"/>
      </w:rPr>
      <w:t>&lt;PathFdR&gt;</w:t>
    </w:r>
    <w:r w:rsidRPr="007410B8">
      <w:t>RR\1298830LT.docx</w:t>
    </w:r>
    <w:r w:rsidRPr="007410B8">
      <w:rPr>
        <w:rStyle w:val="HideTWBExt"/>
      </w:rPr>
      <w:t>&lt;/PathFdR&gt;</w:t>
    </w:r>
  </w:p>
  <w:p w:rsidR="00C81DEB" w:rsidRPr="007410B8" w:rsidRDefault="00C81DEB" w:rsidP="00A04CCC">
    <w:pPr>
      <w:pStyle w:val="EPFooter2"/>
    </w:pPr>
    <w:r w:rsidRPr="007410B8">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DEB" w:rsidRPr="007410B8" w:rsidRDefault="00C81DEB" w:rsidP="00A04CCC">
    <w:pPr>
      <w:pStyle w:val="EPFooter"/>
    </w:pPr>
    <w:r w:rsidRPr="007410B8">
      <w:rPr>
        <w:rStyle w:val="HideTWBExt"/>
      </w:rPr>
      <w:t>&lt;PathFdR&gt;</w:t>
    </w:r>
    <w:r w:rsidRPr="007410B8">
      <w:t>RR\1298830LT.docx</w:t>
    </w:r>
    <w:r w:rsidRPr="007410B8">
      <w:rPr>
        <w:rStyle w:val="HideTWBExt"/>
      </w:rPr>
      <w:t>&lt;/PathFdR&gt;</w:t>
    </w:r>
    <w:r w:rsidRPr="007410B8">
      <w:tab/>
    </w:r>
    <w:r w:rsidRPr="007410B8">
      <w:tab/>
      <w:t>PE</w:t>
    </w:r>
    <w:r w:rsidRPr="007410B8">
      <w:rPr>
        <w:rStyle w:val="HideTWBExt"/>
      </w:rPr>
      <w:t>&lt;NoPE&gt;</w:t>
    </w:r>
    <w:r w:rsidRPr="007410B8">
      <w:t>753.526</w:t>
    </w:r>
    <w:r w:rsidRPr="007410B8">
      <w:rPr>
        <w:rStyle w:val="HideTWBExt"/>
      </w:rPr>
      <w:t>&lt;/NoPE&gt;&lt;Version&gt;</w:t>
    </w:r>
    <w:r w:rsidRPr="007410B8">
      <w:t>v02-00</w:t>
    </w:r>
    <w:r w:rsidRPr="007410B8">
      <w:rPr>
        <w:rStyle w:val="HideTWBExt"/>
      </w:rPr>
      <w:t>&lt;/Version&gt;</w:t>
    </w:r>
  </w:p>
  <w:p w:rsidR="00C81DEB" w:rsidRPr="007410B8" w:rsidRDefault="00C81DEB" w:rsidP="00A04CCC">
    <w:pPr>
      <w:pStyle w:val="EPFooter2"/>
    </w:pPr>
    <w:r w:rsidRPr="007410B8">
      <w:t>LT</w:t>
    </w:r>
    <w:r w:rsidRPr="007410B8">
      <w:tab/>
    </w:r>
    <w:r w:rsidRPr="007410B8">
      <w:rPr>
        <w:b w:val="0"/>
        <w:i/>
        <w:color w:val="C0C0C0"/>
        <w:sz w:val="22"/>
      </w:rPr>
      <w:t>Suvienijusi įvairovę</w:t>
    </w:r>
    <w:r w:rsidRPr="007410B8">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10B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10B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10B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FEB" w:rsidRPr="007410B8" w:rsidRDefault="00E91FEB">
      <w:r w:rsidRPr="007410B8">
        <w:separator/>
      </w:r>
    </w:p>
  </w:footnote>
  <w:footnote w:type="continuationSeparator" w:id="0">
    <w:p w:rsidR="00E91FEB" w:rsidRPr="007410B8" w:rsidRDefault="00E91FEB">
      <w:r w:rsidRPr="007410B8">
        <w:continuationSeparator/>
      </w:r>
    </w:p>
  </w:footnote>
  <w:footnote w:id="1">
    <w:p w:rsidR="00C81DEB" w:rsidRPr="007410B8" w:rsidRDefault="00C81DEB" w:rsidP="007410B8">
      <w:pPr>
        <w:pStyle w:val="FootnoteText"/>
        <w:ind w:left="567" w:hanging="567"/>
        <w:rPr>
          <w:sz w:val="24"/>
          <w:lang w:val="lt-LT"/>
        </w:rPr>
      </w:pPr>
      <w:r w:rsidRPr="007410B8">
        <w:rPr>
          <w:rStyle w:val="FootnoteReference"/>
          <w:sz w:val="24"/>
          <w:lang w:val="lt-LT"/>
        </w:rPr>
        <w:footnoteRef/>
      </w:r>
      <w:r w:rsidR="007410B8" w:rsidRPr="007410B8">
        <w:rPr>
          <w:sz w:val="24"/>
          <w:lang w:val="lt-LT"/>
        </w:rPr>
        <w:t xml:space="preserve"> </w:t>
      </w:r>
      <w:r w:rsidR="007410B8" w:rsidRPr="007410B8">
        <w:rPr>
          <w:sz w:val="24"/>
          <w:lang w:val="lt-LT"/>
        </w:rPr>
        <w:tab/>
      </w:r>
      <w:r w:rsidRPr="007410B8">
        <w:rPr>
          <w:sz w:val="24"/>
          <w:lang w:val="lt-LT"/>
        </w:rPr>
        <w:t>OL C, C/2023/594, 2023 10 27.</w:t>
      </w:r>
    </w:p>
  </w:footnote>
  <w:footnote w:id="2">
    <w:p w:rsidR="00C81DEB" w:rsidRPr="007410B8" w:rsidRDefault="00C81DEB" w:rsidP="007410B8">
      <w:pPr>
        <w:pStyle w:val="FootnoteText"/>
        <w:ind w:left="567" w:hanging="567"/>
        <w:rPr>
          <w:sz w:val="24"/>
          <w:lang w:val="lt-LT"/>
        </w:rPr>
      </w:pPr>
      <w:r w:rsidRPr="007410B8">
        <w:rPr>
          <w:rStyle w:val="FootnoteReference"/>
          <w:sz w:val="24"/>
          <w:lang w:val="lt-LT"/>
        </w:rPr>
        <w:footnoteRef/>
      </w:r>
      <w:r w:rsidR="007410B8" w:rsidRPr="007410B8">
        <w:rPr>
          <w:sz w:val="24"/>
          <w:lang w:val="lt-LT"/>
        </w:rPr>
        <w:t xml:space="preserve"> </w:t>
      </w:r>
      <w:r w:rsidR="007410B8" w:rsidRPr="007410B8">
        <w:rPr>
          <w:sz w:val="24"/>
          <w:lang w:val="lt-LT"/>
        </w:rPr>
        <w:tab/>
      </w:r>
      <w:r w:rsidRPr="007410B8">
        <w:rPr>
          <w:sz w:val="24"/>
          <w:lang w:val="lt-LT"/>
        </w:rPr>
        <w:t>OL C, C/2023/112, 2023 10 12.</w:t>
      </w:r>
    </w:p>
  </w:footnote>
  <w:footnote w:id="3">
    <w:p w:rsidR="00C81DEB" w:rsidRPr="007410B8" w:rsidRDefault="00C81DEB" w:rsidP="007410B8">
      <w:pPr>
        <w:pStyle w:val="FootnoteText"/>
        <w:ind w:left="567" w:hanging="567"/>
        <w:rPr>
          <w:sz w:val="24"/>
          <w:lang w:val="lt-LT"/>
        </w:rPr>
      </w:pPr>
      <w:r w:rsidRPr="007410B8">
        <w:rPr>
          <w:rStyle w:val="FootnoteReference"/>
          <w:sz w:val="24"/>
          <w:lang w:val="lt-LT"/>
        </w:rPr>
        <w:footnoteRef/>
      </w:r>
      <w:r w:rsidR="007410B8" w:rsidRPr="007410B8">
        <w:rPr>
          <w:sz w:val="24"/>
          <w:lang w:val="lt-LT"/>
        </w:rPr>
        <w:t xml:space="preserve"> </w:t>
      </w:r>
      <w:r w:rsidR="007410B8" w:rsidRPr="007410B8">
        <w:rPr>
          <w:sz w:val="24"/>
          <w:lang w:val="lt-LT"/>
        </w:rPr>
        <w:tab/>
      </w:r>
      <w:r w:rsidRPr="007410B8">
        <w:rPr>
          <w:sz w:val="24"/>
          <w:lang w:val="lt-LT"/>
        </w:rPr>
        <w:t>OL L 193, 2018 7 30, p. 1.</w:t>
      </w:r>
    </w:p>
  </w:footnote>
  <w:footnote w:id="4">
    <w:p w:rsidR="00C81DEB" w:rsidRPr="007410B8" w:rsidRDefault="00C81DEB" w:rsidP="007410B8">
      <w:pPr>
        <w:pStyle w:val="FootnoteText"/>
        <w:ind w:left="567" w:hanging="567"/>
        <w:rPr>
          <w:sz w:val="24"/>
          <w:lang w:val="lt-LT"/>
        </w:rPr>
      </w:pPr>
      <w:r w:rsidRPr="007410B8">
        <w:rPr>
          <w:rStyle w:val="FootnoteReference"/>
          <w:sz w:val="24"/>
          <w:lang w:val="lt-LT"/>
        </w:rPr>
        <w:footnoteRef/>
      </w:r>
      <w:r w:rsidR="007410B8" w:rsidRPr="007410B8">
        <w:rPr>
          <w:sz w:val="24"/>
          <w:lang w:val="lt-LT"/>
        </w:rPr>
        <w:t xml:space="preserve"> </w:t>
      </w:r>
      <w:r w:rsidR="007410B8" w:rsidRPr="007410B8">
        <w:rPr>
          <w:sz w:val="24"/>
          <w:lang w:val="lt-LT"/>
        </w:rPr>
        <w:tab/>
      </w:r>
      <w:r w:rsidRPr="007410B8">
        <w:rPr>
          <w:sz w:val="24"/>
          <w:lang w:val="lt-LT"/>
        </w:rPr>
        <w:t>OL L 208, 2002 8 5, p. 1.</w:t>
      </w:r>
    </w:p>
  </w:footnote>
  <w:footnote w:id="5">
    <w:p w:rsidR="00C81DEB" w:rsidRPr="007410B8" w:rsidRDefault="00C81DEB" w:rsidP="007410B8">
      <w:pPr>
        <w:pStyle w:val="FootnoteText"/>
        <w:ind w:left="567" w:hanging="567"/>
        <w:rPr>
          <w:sz w:val="24"/>
          <w:lang w:val="lt-LT"/>
        </w:rPr>
      </w:pPr>
      <w:r w:rsidRPr="007410B8">
        <w:rPr>
          <w:rStyle w:val="FootnoteReference"/>
          <w:sz w:val="24"/>
          <w:lang w:val="lt-LT"/>
        </w:rPr>
        <w:footnoteRef/>
      </w:r>
      <w:r w:rsidR="007410B8" w:rsidRPr="007410B8">
        <w:rPr>
          <w:sz w:val="24"/>
          <w:lang w:val="lt-LT"/>
        </w:rPr>
        <w:t xml:space="preserve"> </w:t>
      </w:r>
      <w:r w:rsidR="007410B8" w:rsidRPr="007410B8">
        <w:rPr>
          <w:sz w:val="24"/>
          <w:lang w:val="lt-LT"/>
        </w:rPr>
        <w:tab/>
      </w:r>
      <w:r w:rsidRPr="007410B8">
        <w:rPr>
          <w:sz w:val="24"/>
          <w:lang w:val="lt-LT"/>
        </w:rPr>
        <w:t>OL L 122, 2019 5 10, p. 1.</w:t>
      </w:r>
    </w:p>
  </w:footnote>
  <w:footnote w:id="6">
    <w:p w:rsidR="00C81DEB" w:rsidRPr="007410B8" w:rsidRDefault="00C81DEB" w:rsidP="007410B8">
      <w:pPr>
        <w:pStyle w:val="FootnoteText"/>
        <w:ind w:left="567" w:hanging="567"/>
        <w:rPr>
          <w:sz w:val="24"/>
          <w:lang w:val="lt-LT"/>
        </w:rPr>
      </w:pPr>
      <w:r w:rsidRPr="007410B8">
        <w:rPr>
          <w:rStyle w:val="FootnoteReference"/>
          <w:sz w:val="24"/>
          <w:lang w:val="lt-LT"/>
        </w:rPr>
        <w:footnoteRef/>
      </w:r>
      <w:r w:rsidR="007410B8" w:rsidRPr="007410B8">
        <w:rPr>
          <w:sz w:val="24"/>
          <w:lang w:val="lt-LT"/>
        </w:rPr>
        <w:t xml:space="preserve"> </w:t>
      </w:r>
      <w:r w:rsidR="007410B8" w:rsidRPr="007410B8">
        <w:rPr>
          <w:sz w:val="24"/>
          <w:lang w:val="lt-LT"/>
        </w:rPr>
        <w:tab/>
      </w:r>
      <w:r w:rsidRPr="007410B8">
        <w:rPr>
          <w:sz w:val="24"/>
          <w:lang w:val="lt-LT"/>
        </w:rPr>
        <w:t>OL C, C/2023/594, 2023 10 27.</w:t>
      </w:r>
    </w:p>
  </w:footnote>
  <w:footnote w:id="7">
    <w:p w:rsidR="00C81DEB" w:rsidRPr="007410B8" w:rsidRDefault="00C81DEB" w:rsidP="007410B8">
      <w:pPr>
        <w:pStyle w:val="FootnoteText"/>
        <w:ind w:left="567" w:hanging="567"/>
        <w:rPr>
          <w:sz w:val="24"/>
          <w:lang w:val="lt-LT"/>
        </w:rPr>
      </w:pPr>
      <w:r w:rsidRPr="007410B8">
        <w:rPr>
          <w:rStyle w:val="FootnoteReference"/>
          <w:sz w:val="24"/>
          <w:lang w:val="lt-LT"/>
        </w:rPr>
        <w:footnoteRef/>
      </w:r>
      <w:r w:rsidR="007410B8" w:rsidRPr="007410B8">
        <w:rPr>
          <w:sz w:val="24"/>
          <w:lang w:val="lt-LT"/>
        </w:rPr>
        <w:t xml:space="preserve"> </w:t>
      </w:r>
      <w:r w:rsidR="007410B8" w:rsidRPr="007410B8">
        <w:rPr>
          <w:sz w:val="24"/>
          <w:lang w:val="lt-LT"/>
        </w:rPr>
        <w:tab/>
      </w:r>
      <w:r w:rsidRPr="007410B8">
        <w:rPr>
          <w:sz w:val="24"/>
          <w:lang w:val="lt-LT"/>
        </w:rPr>
        <w:t>OL C, C/2023/112, 2023 10 12.</w:t>
      </w:r>
    </w:p>
  </w:footnote>
  <w:footnote w:id="8">
    <w:p w:rsidR="00C81DEB" w:rsidRPr="007410B8" w:rsidRDefault="00C81DEB" w:rsidP="007410B8">
      <w:pPr>
        <w:pStyle w:val="FootnoteText"/>
        <w:ind w:left="567" w:hanging="567"/>
        <w:rPr>
          <w:sz w:val="24"/>
          <w:lang w:val="lt-LT"/>
        </w:rPr>
      </w:pPr>
      <w:r w:rsidRPr="007410B8">
        <w:rPr>
          <w:rStyle w:val="FootnoteReference"/>
          <w:sz w:val="24"/>
          <w:lang w:val="lt-LT"/>
        </w:rPr>
        <w:footnoteRef/>
      </w:r>
      <w:r w:rsidR="007410B8" w:rsidRPr="007410B8">
        <w:rPr>
          <w:sz w:val="24"/>
          <w:lang w:val="lt-LT"/>
        </w:rPr>
        <w:t xml:space="preserve"> </w:t>
      </w:r>
      <w:r w:rsidR="007410B8" w:rsidRPr="007410B8">
        <w:rPr>
          <w:sz w:val="24"/>
          <w:lang w:val="lt-LT"/>
        </w:rPr>
        <w:tab/>
      </w:r>
      <w:r w:rsidRPr="007410B8">
        <w:rPr>
          <w:sz w:val="24"/>
          <w:lang w:val="lt-LT"/>
        </w:rPr>
        <w:t>OL L 193, 2018 7 30, p. 1.</w:t>
      </w:r>
    </w:p>
  </w:footnote>
  <w:footnote w:id="9">
    <w:p w:rsidR="00C81DEB" w:rsidRPr="007410B8" w:rsidRDefault="00C81DEB" w:rsidP="007410B8">
      <w:pPr>
        <w:pStyle w:val="FootnoteText"/>
        <w:ind w:left="567" w:hanging="567"/>
        <w:rPr>
          <w:sz w:val="24"/>
          <w:lang w:val="lt-LT"/>
        </w:rPr>
      </w:pPr>
      <w:r w:rsidRPr="007410B8">
        <w:rPr>
          <w:rStyle w:val="FootnoteReference"/>
          <w:sz w:val="24"/>
          <w:lang w:val="lt-LT"/>
        </w:rPr>
        <w:footnoteRef/>
      </w:r>
      <w:r w:rsidR="007410B8" w:rsidRPr="007410B8">
        <w:rPr>
          <w:sz w:val="24"/>
          <w:lang w:val="lt-LT"/>
        </w:rPr>
        <w:t xml:space="preserve"> </w:t>
      </w:r>
      <w:r w:rsidR="007410B8" w:rsidRPr="007410B8">
        <w:rPr>
          <w:sz w:val="24"/>
          <w:lang w:val="lt-LT"/>
        </w:rPr>
        <w:tab/>
      </w:r>
      <w:r w:rsidRPr="007410B8">
        <w:rPr>
          <w:sz w:val="24"/>
          <w:lang w:val="lt-LT"/>
        </w:rPr>
        <w:t>OL L 208, 2002 8 5, p. 1.</w:t>
      </w:r>
    </w:p>
  </w:footnote>
  <w:footnote w:id="10">
    <w:p w:rsidR="00C81DEB" w:rsidRPr="007410B8" w:rsidRDefault="00C81DEB" w:rsidP="007410B8">
      <w:pPr>
        <w:pStyle w:val="FootnoteText"/>
        <w:ind w:left="567" w:hanging="567"/>
        <w:rPr>
          <w:sz w:val="24"/>
          <w:lang w:val="lt-LT"/>
        </w:rPr>
      </w:pPr>
      <w:r w:rsidRPr="007410B8">
        <w:rPr>
          <w:rStyle w:val="FootnoteReference"/>
          <w:sz w:val="24"/>
          <w:lang w:val="lt-LT"/>
        </w:rPr>
        <w:footnoteRef/>
      </w:r>
      <w:r w:rsidR="007410B8" w:rsidRPr="007410B8">
        <w:rPr>
          <w:sz w:val="24"/>
          <w:lang w:val="lt-LT"/>
        </w:rPr>
        <w:t xml:space="preserve"> </w:t>
      </w:r>
      <w:r w:rsidR="007410B8" w:rsidRPr="007410B8">
        <w:rPr>
          <w:sz w:val="24"/>
          <w:lang w:val="lt-LT"/>
        </w:rPr>
        <w:tab/>
      </w:r>
      <w:r w:rsidRPr="007410B8">
        <w:rPr>
          <w:sz w:val="24"/>
          <w:lang w:val="lt-LT"/>
        </w:rPr>
        <w:t>OL L 122, 2019 5 10, p. 1.</w:t>
      </w:r>
    </w:p>
  </w:footnote>
  <w:footnote w:id="11">
    <w:p w:rsidR="00C81DEB" w:rsidRPr="007410B8" w:rsidRDefault="00C81DEB" w:rsidP="007410B8">
      <w:pPr>
        <w:pStyle w:val="FootnoteText"/>
        <w:ind w:left="567" w:hanging="567"/>
        <w:rPr>
          <w:sz w:val="24"/>
          <w:lang w:val="lt-LT"/>
        </w:rPr>
      </w:pPr>
      <w:r w:rsidRPr="007410B8">
        <w:rPr>
          <w:rStyle w:val="FootnoteReference"/>
          <w:sz w:val="24"/>
          <w:lang w:val="lt-LT"/>
        </w:rPr>
        <w:footnoteRef/>
      </w:r>
      <w:r w:rsidR="007410B8" w:rsidRPr="007410B8">
        <w:rPr>
          <w:sz w:val="24"/>
          <w:lang w:val="lt-LT"/>
        </w:rPr>
        <w:t xml:space="preserve"> </w:t>
      </w:r>
      <w:r w:rsidR="007410B8" w:rsidRPr="007410B8">
        <w:rPr>
          <w:sz w:val="24"/>
          <w:lang w:val="lt-LT"/>
        </w:rPr>
        <w:tab/>
      </w:r>
      <w:r w:rsidRPr="007410B8">
        <w:rPr>
          <w:sz w:val="24"/>
          <w:lang w:val="lt-LT"/>
        </w:rPr>
        <w:t xml:space="preserve">OL C </w:t>
      </w:r>
      <w:r w:rsidRPr="007410B8">
        <w:rPr>
          <w:sz w:val="24"/>
          <w:lang w:val="lt-LT"/>
        </w:rPr>
        <w:t>73</w:t>
      </w:r>
      <w:bookmarkStart w:id="14" w:name="_GoBack"/>
      <w:bookmarkEnd w:id="14"/>
      <w:r w:rsidRPr="007410B8">
        <w:rPr>
          <w:sz w:val="24"/>
          <w:lang w:val="lt-LT"/>
        </w:rPr>
        <w:t>, 2023 2 28, p. 9</w:t>
      </w:r>
      <w:r w:rsidR="00604706">
        <w:rPr>
          <w:sz w:val="24"/>
          <w:lang w:val="lt-LT"/>
        </w:rPr>
        <w:t>1</w:t>
      </w:r>
      <w:r w:rsidRPr="007410B8">
        <w:rPr>
          <w:sz w:val="24"/>
          <w:lang w:val="lt-LT"/>
        </w:rPr>
        <w:t>.</w:t>
      </w:r>
    </w:p>
  </w:footnote>
  <w:footnote w:id="12">
    <w:p w:rsidR="00C81DEB" w:rsidRPr="007410B8" w:rsidRDefault="00C81DEB" w:rsidP="007410B8">
      <w:pPr>
        <w:pStyle w:val="FootnoteText"/>
        <w:ind w:left="567" w:hanging="567"/>
        <w:rPr>
          <w:sz w:val="24"/>
          <w:lang w:val="lt-LT"/>
        </w:rPr>
      </w:pPr>
      <w:r w:rsidRPr="007410B8">
        <w:rPr>
          <w:rStyle w:val="FootnoteReference"/>
          <w:sz w:val="24"/>
          <w:lang w:val="lt-LT"/>
        </w:rPr>
        <w:footnoteRef/>
      </w:r>
      <w:r w:rsidR="007410B8" w:rsidRPr="007410B8">
        <w:rPr>
          <w:sz w:val="24"/>
          <w:lang w:val="lt-LT"/>
        </w:rPr>
        <w:t xml:space="preserve"> </w:t>
      </w:r>
      <w:r w:rsidR="007410B8" w:rsidRPr="007410B8">
        <w:rPr>
          <w:sz w:val="24"/>
          <w:lang w:val="lt-LT"/>
        </w:rPr>
        <w:tab/>
      </w:r>
      <w:r w:rsidRPr="007410B8">
        <w:rPr>
          <w:sz w:val="24"/>
          <w:lang w:val="lt-LT"/>
        </w:rPr>
        <w:t xml:space="preserve">Tą </w:t>
      </w:r>
      <w:r w:rsidRPr="0004548F">
        <w:rPr>
          <w:sz w:val="24"/>
          <w:lang w:val="lt-LT"/>
        </w:rPr>
        <w:t>dieną priimti tekstai, P9_</w:t>
      </w:r>
      <w:r w:rsidRPr="00600AF1">
        <w:rPr>
          <w:sz w:val="24"/>
          <w:lang w:val="lt-LT"/>
        </w:rPr>
        <w:t>TA(2024)0</w:t>
      </w:r>
      <w:r w:rsidR="00C601FB" w:rsidRPr="00600AF1">
        <w:rPr>
          <w:sz w:val="24"/>
          <w:lang w:val="lt-LT"/>
        </w:rPr>
        <w:t>28</w:t>
      </w:r>
      <w:r w:rsidRPr="00600AF1">
        <w:rPr>
          <w:sz w:val="24"/>
          <w:lang w:val="lt-L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10B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10B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10B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7/2024"/>
    <w:docVar w:name="dvlangue" w:val="LT"/>
    <w:docVar w:name="dvnumam" w:val="0"/>
    <w:docVar w:name="dvpe" w:val="753.526"/>
    <w:docVar w:name="dvrapporteur" w:val="Pranešėjas: "/>
    <w:docVar w:name="dvtitre" w:val="1. 2024 m. balandzio 11 d. Europos Parlamento sprendimas dėl Europos jūrų saugumo agentūros 2022 finansinių metų biudžeto įvykdymo patvirtinimo(2023/2158(DEC))"/>
  </w:docVars>
  <w:rsids>
    <w:rsidRoot w:val="00E91FEB"/>
    <w:rsid w:val="00002272"/>
    <w:rsid w:val="0004548F"/>
    <w:rsid w:val="00064002"/>
    <w:rsid w:val="000677B9"/>
    <w:rsid w:val="000831BA"/>
    <w:rsid w:val="000A42CC"/>
    <w:rsid w:val="000E1EB0"/>
    <w:rsid w:val="000E7DD9"/>
    <w:rsid w:val="0010095E"/>
    <w:rsid w:val="00125B37"/>
    <w:rsid w:val="00187494"/>
    <w:rsid w:val="001F32AE"/>
    <w:rsid w:val="00233A60"/>
    <w:rsid w:val="002767FF"/>
    <w:rsid w:val="002872A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0AF1"/>
    <w:rsid w:val="006037C0"/>
    <w:rsid w:val="00604706"/>
    <w:rsid w:val="006631B6"/>
    <w:rsid w:val="00680577"/>
    <w:rsid w:val="006B2E5E"/>
    <w:rsid w:val="006F74FA"/>
    <w:rsid w:val="00731ADD"/>
    <w:rsid w:val="00734777"/>
    <w:rsid w:val="007410B8"/>
    <w:rsid w:val="00747932"/>
    <w:rsid w:val="00751A4A"/>
    <w:rsid w:val="00756632"/>
    <w:rsid w:val="00762C74"/>
    <w:rsid w:val="00786EC0"/>
    <w:rsid w:val="007D1690"/>
    <w:rsid w:val="007E22AD"/>
    <w:rsid w:val="00817416"/>
    <w:rsid w:val="00842779"/>
    <w:rsid w:val="00865F67"/>
    <w:rsid w:val="00881A7B"/>
    <w:rsid w:val="008840E5"/>
    <w:rsid w:val="00887B3E"/>
    <w:rsid w:val="008C226C"/>
    <w:rsid w:val="008C2AC6"/>
    <w:rsid w:val="00930C23"/>
    <w:rsid w:val="0093193B"/>
    <w:rsid w:val="009509D8"/>
    <w:rsid w:val="00950B64"/>
    <w:rsid w:val="00981893"/>
    <w:rsid w:val="009E30DC"/>
    <w:rsid w:val="009E71A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01FB"/>
    <w:rsid w:val="00C61C0C"/>
    <w:rsid w:val="00C81DEB"/>
    <w:rsid w:val="00C941CB"/>
    <w:rsid w:val="00CC20E9"/>
    <w:rsid w:val="00CC2357"/>
    <w:rsid w:val="00CD3BB9"/>
    <w:rsid w:val="00CF071A"/>
    <w:rsid w:val="00D058B8"/>
    <w:rsid w:val="00D56C11"/>
    <w:rsid w:val="00D834A0"/>
    <w:rsid w:val="00D872DF"/>
    <w:rsid w:val="00D91E21"/>
    <w:rsid w:val="00DA7FCD"/>
    <w:rsid w:val="00DC152D"/>
    <w:rsid w:val="00E365E1"/>
    <w:rsid w:val="00E820A4"/>
    <w:rsid w:val="00E91FE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81651"/>
  <w15:chartTrackingRefBased/>
  <w15:docId w15:val="{6A09279E-814F-4EEA-8317-2FFFF5C04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81DE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81DEB"/>
    <w:pPr>
      <w:spacing w:before="480" w:after="240"/>
    </w:pPr>
  </w:style>
  <w:style w:type="paragraph" w:customStyle="1" w:styleId="PageHeading">
    <w:name w:val="PageHeading"/>
    <w:basedOn w:val="Normal"/>
    <w:rsid w:val="00C81DEB"/>
    <w:pPr>
      <w:keepNext/>
      <w:spacing w:after="480"/>
      <w:jc w:val="center"/>
    </w:pPr>
    <w:rPr>
      <w:rFonts w:ascii="Arial" w:hAnsi="Arial" w:cs="Arial"/>
      <w:b/>
    </w:rPr>
  </w:style>
  <w:style w:type="paragraph" w:customStyle="1" w:styleId="NormalBold">
    <w:name w:val="NormalBold"/>
    <w:basedOn w:val="Normal"/>
    <w:rsid w:val="00C81DEB"/>
    <w:rPr>
      <w:b/>
    </w:rPr>
  </w:style>
  <w:style w:type="paragraph" w:customStyle="1" w:styleId="NormalHanging12a">
    <w:name w:val="NormalHanging12a"/>
    <w:basedOn w:val="Normal"/>
    <w:link w:val="NormalHanging12aChar"/>
    <w:rsid w:val="00C81DEB"/>
    <w:pPr>
      <w:spacing w:after="240"/>
      <w:ind w:left="567" w:hanging="567"/>
    </w:pPr>
  </w:style>
  <w:style w:type="paragraph" w:customStyle="1" w:styleId="NormalCenter12a">
    <w:name w:val="NormalCenter12a"/>
    <w:basedOn w:val="Normal"/>
    <w:rsid w:val="00C81DEB"/>
    <w:pPr>
      <w:spacing w:after="240"/>
      <w:jc w:val="center"/>
    </w:pPr>
  </w:style>
  <w:style w:type="paragraph" w:styleId="Header">
    <w:name w:val="header"/>
    <w:basedOn w:val="Normal"/>
    <w:link w:val="HeaderChar"/>
    <w:rsid w:val="00C81DEB"/>
    <w:pPr>
      <w:tabs>
        <w:tab w:val="center" w:pos="4513"/>
        <w:tab w:val="right" w:pos="9026"/>
      </w:tabs>
    </w:pPr>
  </w:style>
  <w:style w:type="character" w:customStyle="1" w:styleId="HeaderChar">
    <w:name w:val="Header Char"/>
    <w:basedOn w:val="DefaultParagraphFont"/>
    <w:link w:val="Header"/>
    <w:rsid w:val="00C81DEB"/>
    <w:rPr>
      <w:sz w:val="24"/>
      <w:lang w:val="lt-LT"/>
    </w:rPr>
  </w:style>
  <w:style w:type="paragraph" w:customStyle="1" w:styleId="EPFooter">
    <w:name w:val="EPFooter"/>
    <w:basedOn w:val="Normal"/>
    <w:rsid w:val="00C81DEB"/>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81DEB"/>
    <w:rPr>
      <w:sz w:val="24"/>
      <w:lang w:val="lt-LT"/>
    </w:rPr>
  </w:style>
  <w:style w:type="paragraph" w:customStyle="1" w:styleId="Normal12Hanging">
    <w:name w:val="Normal12Hanging"/>
    <w:basedOn w:val="Normal"/>
    <w:rsid w:val="00C81DEB"/>
    <w:pPr>
      <w:spacing w:after="240"/>
      <w:ind w:left="567" w:hanging="567"/>
    </w:pPr>
  </w:style>
  <w:style w:type="paragraph" w:styleId="BalloonText">
    <w:name w:val="Balloon Text"/>
    <w:basedOn w:val="Normal"/>
    <w:link w:val="BalloonTextChar"/>
    <w:rsid w:val="000E1EB0"/>
    <w:rPr>
      <w:rFonts w:ascii="Segoe UI" w:hAnsi="Segoe UI" w:cs="Segoe UI"/>
      <w:sz w:val="18"/>
      <w:szCs w:val="18"/>
    </w:rPr>
  </w:style>
  <w:style w:type="character" w:customStyle="1" w:styleId="BalloonTextChar">
    <w:name w:val="Balloon Text Char"/>
    <w:basedOn w:val="DefaultParagraphFont"/>
    <w:link w:val="BalloonText"/>
    <w:rsid w:val="000E1EB0"/>
    <w:rPr>
      <w:rFonts w:ascii="Segoe UI" w:hAnsi="Segoe UI" w:cs="Segoe UI"/>
      <w:sz w:val="18"/>
      <w:szCs w:val="18"/>
      <w:lang w:val="lt-LT"/>
    </w:rPr>
  </w:style>
  <w:style w:type="paragraph" w:styleId="Footer">
    <w:name w:val="footer"/>
    <w:basedOn w:val="Normal"/>
    <w:link w:val="FooterChar"/>
    <w:rsid w:val="00DC152D"/>
    <w:pPr>
      <w:tabs>
        <w:tab w:val="center" w:pos="4513"/>
        <w:tab w:val="right" w:pos="9026"/>
      </w:tabs>
    </w:pPr>
  </w:style>
  <w:style w:type="character" w:customStyle="1" w:styleId="FooterChar">
    <w:name w:val="Footer Char"/>
    <w:basedOn w:val="DefaultParagraphFont"/>
    <w:link w:val="Footer"/>
    <w:rsid w:val="00DC152D"/>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64E6F-7382-486B-80BB-EE29AE6DA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2573</Words>
  <Characters>17217</Characters>
  <Application>Microsoft Office Word</Application>
  <DocSecurity>0</DocSecurity>
  <Lines>143</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3</cp:revision>
  <cp:lastPrinted>2004-11-19T15:42:00Z</cp:lastPrinted>
  <dcterms:created xsi:type="dcterms:W3CDTF">2024-04-11T16:12:00Z</dcterms:created>
  <dcterms:modified xsi:type="dcterms:W3CDTF">2024-05-22T14:20:00Z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A9-0107/2024</vt:lpwstr>
  </property>
  <property fmtid="{D5CDD505-2E9C-101B-9397-08002B2CF9AE}" pid="4" name="&lt;Type&gt;">
    <vt:lpwstr>RR</vt:lpwstr>
  </property>
</Properties>
</file>