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608B" w:rsidTr="0010095E">
        <w:trPr>
          <w:trHeight w:hRule="exact" w:val="1418"/>
        </w:trPr>
        <w:tc>
          <w:tcPr>
            <w:tcW w:w="6804" w:type="dxa"/>
            <w:shd w:val="clear" w:color="auto" w:fill="auto"/>
            <w:vAlign w:val="center"/>
          </w:tcPr>
          <w:p w:rsidR="00751A4A" w:rsidRPr="009A608B" w:rsidRDefault="00E94CE5" w:rsidP="0010095E">
            <w:pPr>
              <w:pStyle w:val="EPName"/>
            </w:pPr>
            <w:r w:rsidRPr="009A608B">
              <w:t>Eiropas Parlaments</w:t>
            </w:r>
          </w:p>
          <w:p w:rsidR="00751A4A" w:rsidRPr="009A608B" w:rsidRDefault="00817416" w:rsidP="00756632">
            <w:pPr>
              <w:pStyle w:val="EPTerm"/>
              <w:rPr>
                <w:rStyle w:val="HideTWBExt"/>
                <w:noProof w:val="0"/>
                <w:vanish w:val="0"/>
                <w:color w:val="auto"/>
              </w:rPr>
            </w:pPr>
            <w:r w:rsidRPr="009A608B">
              <w:t>2019-2024</w:t>
            </w:r>
          </w:p>
        </w:tc>
        <w:tc>
          <w:tcPr>
            <w:tcW w:w="2268" w:type="dxa"/>
            <w:shd w:val="clear" w:color="auto" w:fill="auto"/>
          </w:tcPr>
          <w:p w:rsidR="00751A4A" w:rsidRPr="009A608B" w:rsidRDefault="00187494" w:rsidP="0010095E">
            <w:pPr>
              <w:pStyle w:val="EPLogo"/>
            </w:pPr>
            <w:r w:rsidRPr="009A60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608B" w:rsidRDefault="00D058B8" w:rsidP="004C5D52">
      <w:pPr>
        <w:pStyle w:val="LineTop"/>
      </w:pPr>
    </w:p>
    <w:p w:rsidR="00680577" w:rsidRPr="009A608B" w:rsidRDefault="00E94CE5" w:rsidP="00680577">
      <w:pPr>
        <w:pStyle w:val="EPBodyTA1"/>
      </w:pPr>
      <w:r w:rsidRPr="009A608B">
        <w:t>PIEŅEMTIE TEKSTI</w:t>
      </w:r>
    </w:p>
    <w:p w:rsidR="00D058B8" w:rsidRPr="009A608B" w:rsidRDefault="00D058B8" w:rsidP="00D058B8">
      <w:pPr>
        <w:pStyle w:val="LineBottom"/>
      </w:pPr>
    </w:p>
    <w:p w:rsidR="00E94CE5" w:rsidRPr="009A608B" w:rsidRDefault="00E94CE5" w:rsidP="00E94CE5">
      <w:pPr>
        <w:pStyle w:val="ATHeading1"/>
      </w:pPr>
      <w:bookmarkStart w:id="0" w:name="TANumber"/>
      <w:r w:rsidRPr="009A608B">
        <w:t>P9_TA(2024)0</w:t>
      </w:r>
      <w:bookmarkEnd w:id="0"/>
      <w:r w:rsidR="009A608B" w:rsidRPr="009A608B">
        <w:t>248</w:t>
      </w:r>
    </w:p>
    <w:p w:rsidR="00E94CE5" w:rsidRPr="009A608B" w:rsidRDefault="00E94CE5" w:rsidP="00E94CE5">
      <w:pPr>
        <w:pStyle w:val="ATHeading2"/>
      </w:pPr>
      <w:bookmarkStart w:id="1" w:name="title"/>
      <w:r w:rsidRPr="009A608B">
        <w:t>2022. finanšu gada budžeta izpildes apstiprināšana: Eiropas Jūras drošības aģentūra</w:t>
      </w:r>
      <w:bookmarkEnd w:id="1"/>
    </w:p>
    <w:p w:rsidR="00E94CE5" w:rsidRPr="009A608B" w:rsidRDefault="00E94CE5" w:rsidP="00E94CE5">
      <w:pPr>
        <w:rPr>
          <w:i/>
          <w:vanish/>
        </w:rPr>
      </w:pPr>
      <w:r w:rsidRPr="009A608B">
        <w:rPr>
          <w:i/>
        </w:rPr>
        <w:fldChar w:fldCharType="begin"/>
      </w:r>
      <w:r w:rsidRPr="009A608B">
        <w:rPr>
          <w:i/>
        </w:rPr>
        <w:instrText xml:space="preserve"> TC"(</w:instrText>
      </w:r>
      <w:bookmarkStart w:id="2" w:name="DocNumber"/>
      <w:r w:rsidRPr="009A608B">
        <w:rPr>
          <w:i/>
        </w:rPr>
        <w:instrText>A9-0107/2024</w:instrText>
      </w:r>
      <w:bookmarkEnd w:id="2"/>
      <w:r w:rsidRPr="009A608B">
        <w:rPr>
          <w:i/>
        </w:rPr>
        <w:instrText xml:space="preserve"> - Referents: Petri Sarvamaa)"\l3 \n&gt; \* MERGEFORMAT </w:instrText>
      </w:r>
      <w:r w:rsidRPr="009A608B">
        <w:rPr>
          <w:i/>
        </w:rPr>
        <w:fldChar w:fldCharType="end"/>
      </w:r>
    </w:p>
    <w:p w:rsidR="00E94CE5" w:rsidRPr="009A608B" w:rsidRDefault="00E94CE5" w:rsidP="00E94CE5">
      <w:pPr>
        <w:rPr>
          <w:vanish/>
        </w:rPr>
      </w:pPr>
      <w:bookmarkStart w:id="3" w:name="Commission"/>
      <w:r w:rsidRPr="009A608B">
        <w:rPr>
          <w:vanish/>
        </w:rPr>
        <w:t>Budžeta kontroles komiteja</w:t>
      </w:r>
      <w:bookmarkEnd w:id="3"/>
    </w:p>
    <w:p w:rsidR="00E94CE5" w:rsidRPr="009A608B" w:rsidRDefault="00E94CE5" w:rsidP="00E94CE5">
      <w:pPr>
        <w:rPr>
          <w:vanish/>
        </w:rPr>
      </w:pPr>
      <w:bookmarkStart w:id="4" w:name="PE"/>
      <w:r w:rsidRPr="009A608B">
        <w:rPr>
          <w:vanish/>
        </w:rPr>
        <w:t>PE753.526</w:t>
      </w:r>
      <w:bookmarkEnd w:id="4"/>
    </w:p>
    <w:p w:rsidR="00771542" w:rsidRPr="009A608B" w:rsidRDefault="00051A60" w:rsidP="00051A60">
      <w:pPr>
        <w:pStyle w:val="ATHeading3"/>
      </w:pPr>
      <w:bookmarkStart w:id="5" w:name="Sujet"/>
      <w:r w:rsidRPr="009A608B">
        <w:t xml:space="preserve">1. </w:t>
      </w:r>
      <w:r w:rsidR="00E94CE5" w:rsidRPr="009A608B">
        <w:t xml:space="preserve">Eiropas Parlamenta 2024. gada </w:t>
      </w:r>
      <w:r w:rsidRPr="009A608B">
        <w:t>11</w:t>
      </w:r>
      <w:r w:rsidR="00E94CE5" w:rsidRPr="009A608B">
        <w:t xml:space="preserve">. </w:t>
      </w:r>
      <w:r w:rsidRPr="009A608B">
        <w:t>aprīļa</w:t>
      </w:r>
      <w:r w:rsidR="00E94CE5" w:rsidRPr="009A608B">
        <w:t xml:space="preserve"> lēmums par Eiropas Jūras drošības aģentūras 2022. finanšu gada budžeta izpildes apstiprināšanu</w:t>
      </w:r>
      <w:bookmarkEnd w:id="5"/>
      <w:r w:rsidR="00E94CE5" w:rsidRPr="009A608B">
        <w:t xml:space="preserve"> </w:t>
      </w:r>
      <w:bookmarkStart w:id="6" w:name="References"/>
      <w:r w:rsidR="00E94CE5" w:rsidRPr="009A608B">
        <w:t>(2023/2158(DEC))</w:t>
      </w:r>
      <w:bookmarkStart w:id="7" w:name="TextBodyBegin"/>
      <w:bookmarkEnd w:id="6"/>
      <w:bookmarkEnd w:id="7"/>
    </w:p>
    <w:p w:rsidR="00771542" w:rsidRPr="009A608B" w:rsidRDefault="00771542" w:rsidP="00771542">
      <w:pPr>
        <w:pStyle w:val="EPComma"/>
      </w:pPr>
      <w:r w:rsidRPr="009A608B">
        <w:rPr>
          <w:i/>
        </w:rPr>
        <w:t>Eiropas Parlaments</w:t>
      </w:r>
      <w:r w:rsidRPr="009A608B">
        <w:t>,</w:t>
      </w:r>
    </w:p>
    <w:p w:rsidR="00771542" w:rsidRPr="009A608B" w:rsidRDefault="00771542" w:rsidP="00771542">
      <w:pPr>
        <w:pStyle w:val="NormalHanging12a"/>
      </w:pPr>
      <w:r w:rsidRPr="009A608B">
        <w:t>–</w:t>
      </w:r>
      <w:r w:rsidRPr="009A608B">
        <w:tab/>
        <w:t>ņemot vērā Eiropas Jūras drošības aģentūras 2022. finanšu gada galīgos pārskatus,</w:t>
      </w:r>
    </w:p>
    <w:p w:rsidR="00771542" w:rsidRPr="009A608B" w:rsidRDefault="00771542" w:rsidP="00771542">
      <w:pPr>
        <w:pStyle w:val="NormalHanging12a"/>
      </w:pPr>
      <w:r w:rsidRPr="009A608B">
        <w:t>–</w:t>
      </w:r>
      <w:r w:rsidRPr="009A608B">
        <w:tab/>
        <w:t>ņemot vērā Revīzijas palātas gada ziņojumu par ES aģentūrām attiecībā uz 2022. finanšu gadu ar aģentūru atbildēm</w:t>
      </w:r>
      <w:r w:rsidRPr="009A608B">
        <w:rPr>
          <w:rStyle w:val="FootnoteReference"/>
        </w:rPr>
        <w:footnoteReference w:id="1"/>
      </w:r>
      <w:r w:rsidRPr="009A608B">
        <w:t>,</w:t>
      </w:r>
    </w:p>
    <w:p w:rsidR="00771542" w:rsidRPr="009A608B" w:rsidRDefault="00771542" w:rsidP="00771542">
      <w:pPr>
        <w:pStyle w:val="NormalHanging12a"/>
      </w:pPr>
      <w:r w:rsidRPr="009A608B">
        <w:t>–</w:t>
      </w:r>
      <w:r w:rsidRPr="009A608B">
        <w:tab/>
        <w:t>ņemot vērā deklarāciju</w:t>
      </w:r>
      <w:r w:rsidRPr="009A608B">
        <w:rPr>
          <w:rStyle w:val="FootnoteReference"/>
        </w:rPr>
        <w:footnoteReference w:id="2"/>
      </w:r>
      <w:r w:rsidRPr="009A608B">
        <w:t xml:space="preserve"> par pārskatu ticamību, kā arī par pakārtoto darījumu likumību un pareizību, kuru Revīzijas palāta sniegusi par 2022. finanšu gadu saskaņā ar Līguma par Eiropas Savienības darbību 287. pantu,</w:t>
      </w:r>
    </w:p>
    <w:p w:rsidR="00771542" w:rsidRPr="009A608B" w:rsidRDefault="00771542" w:rsidP="00771542">
      <w:pPr>
        <w:pStyle w:val="NormalHanging12a"/>
      </w:pPr>
      <w:r w:rsidRPr="009A608B">
        <w:t>–</w:t>
      </w:r>
      <w:r w:rsidRPr="009A608B">
        <w:tab/>
        <w:t>ņemot vērā Padomes 2024. gada 22. februāra ieteikumu par apstiprinājumu, ko sniedz Aģentūrai par 2022. finanšu gada budžeta izpildi (</w:t>
      </w:r>
      <w:r w:rsidR="00051A60" w:rsidRPr="009A608B">
        <w:t>06180</w:t>
      </w:r>
      <w:r w:rsidRPr="009A608B">
        <w:t>/2024 – C9</w:t>
      </w:r>
      <w:r w:rsidRPr="009A608B">
        <w:noBreakHyphen/>
      </w:r>
      <w:r w:rsidR="00051A60" w:rsidRPr="009A608B">
        <w:t>0096</w:t>
      </w:r>
      <w:r w:rsidRPr="009A608B">
        <w:t>/2024),</w:t>
      </w:r>
    </w:p>
    <w:p w:rsidR="00771542" w:rsidRPr="009A608B" w:rsidRDefault="00771542" w:rsidP="00771542">
      <w:pPr>
        <w:pStyle w:val="NormalHanging12a"/>
      </w:pPr>
      <w:r w:rsidRPr="009A608B">
        <w:t>–</w:t>
      </w:r>
      <w:r w:rsidRPr="009A608B">
        <w:tab/>
        <w:t>ņemot vērā Līguma par Eiropas Savienības darbību 319. pantu,</w:t>
      </w:r>
    </w:p>
    <w:p w:rsidR="00771542" w:rsidRPr="009A608B" w:rsidRDefault="00771542" w:rsidP="00771542">
      <w:pPr>
        <w:pStyle w:val="NormalHanging12a"/>
      </w:pPr>
      <w:r w:rsidRPr="009A608B">
        <w:t>–</w:t>
      </w:r>
      <w:r w:rsidRPr="009A608B">
        <w:tab/>
        <w:t xml:space="preserve">ņemot vērā Eiropas Parlamenta un Padomes 2018. gada 18. jūlija Regulu (ES, </w:t>
      </w:r>
      <w:r w:rsidRPr="009A608B">
        <w:rPr>
          <w:i/>
        </w:rPr>
        <w:t>Euratom</w:t>
      </w:r>
      <w:r w:rsidRPr="009A608B">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A608B">
        <w:rPr>
          <w:i/>
        </w:rPr>
        <w:t>Euratom</w:t>
      </w:r>
      <w:r w:rsidRPr="009A608B">
        <w:t>) Nr. 966/2012</w:t>
      </w:r>
      <w:r w:rsidRPr="009A608B">
        <w:rPr>
          <w:rStyle w:val="FootnoteReference"/>
        </w:rPr>
        <w:footnoteReference w:id="3"/>
      </w:r>
      <w:r w:rsidRPr="009A608B">
        <w:t>, un jo īpaši tās 70. pantu,</w:t>
      </w:r>
    </w:p>
    <w:p w:rsidR="00771542" w:rsidRPr="009A608B" w:rsidRDefault="00771542" w:rsidP="00771542">
      <w:pPr>
        <w:pStyle w:val="NormalHanging12a"/>
      </w:pPr>
      <w:r w:rsidRPr="009A608B">
        <w:t>–</w:t>
      </w:r>
      <w:r w:rsidRPr="009A608B">
        <w:tab/>
        <w:t>ņemot vērā Eiropas Parlamenta un Padomes 2002. gada 27. jūnija Regulu (EK) Nr. 1406/2002 par Eiropas Jūras drošības aģentūras izveidošanu</w:t>
      </w:r>
      <w:r w:rsidRPr="009A608B">
        <w:rPr>
          <w:rStyle w:val="FootnoteReference"/>
        </w:rPr>
        <w:footnoteReference w:id="4"/>
      </w:r>
      <w:r w:rsidRPr="009A608B">
        <w:t xml:space="preserve"> un jo īpaši tās 19. pantu,</w:t>
      </w:r>
    </w:p>
    <w:p w:rsidR="00771542" w:rsidRPr="009A608B" w:rsidRDefault="00771542" w:rsidP="00771542">
      <w:pPr>
        <w:pStyle w:val="NormalHanging12a"/>
      </w:pPr>
      <w:r w:rsidRPr="009A608B">
        <w:t>–</w:t>
      </w:r>
      <w:r w:rsidRPr="009A608B">
        <w:tab/>
        <w:t xml:space="preserve">ņemot vērā Komisijas 2018. gada 18. decembra Deleģēto regulu (ES) 2019/715 par finanšu </w:t>
      </w:r>
      <w:proofErr w:type="spellStart"/>
      <w:r w:rsidRPr="009A608B">
        <w:t>pamatregulu</w:t>
      </w:r>
      <w:proofErr w:type="spellEnd"/>
      <w:r w:rsidRPr="009A608B">
        <w:t xml:space="preserve"> struktūrām, kas izveidotas saskaņā ar LESD un </w:t>
      </w:r>
      <w:r w:rsidRPr="009A608B">
        <w:rPr>
          <w:i/>
        </w:rPr>
        <w:t>Euratom</w:t>
      </w:r>
      <w:r w:rsidRPr="009A608B">
        <w:t xml:space="preserve"> līgumu un </w:t>
      </w:r>
      <w:r w:rsidRPr="009A608B">
        <w:lastRenderedPageBreak/>
        <w:t xml:space="preserve">minētas Eiropas Parlamenta un Padomes Regulas (ES, </w:t>
      </w:r>
      <w:r w:rsidRPr="009A608B">
        <w:rPr>
          <w:i/>
        </w:rPr>
        <w:t>Euratom</w:t>
      </w:r>
      <w:r w:rsidRPr="009A608B">
        <w:t>) 2018/1046 70. pantā</w:t>
      </w:r>
      <w:r w:rsidRPr="009A608B">
        <w:rPr>
          <w:rStyle w:val="FootnoteReference"/>
        </w:rPr>
        <w:footnoteReference w:id="5"/>
      </w:r>
      <w:r w:rsidRPr="009A608B">
        <w:t>, un jo īpaši tās 105. pantu,</w:t>
      </w:r>
    </w:p>
    <w:p w:rsidR="00771542" w:rsidRPr="009A608B" w:rsidRDefault="00771542" w:rsidP="00771542">
      <w:pPr>
        <w:pStyle w:val="NormalHanging12a"/>
      </w:pPr>
      <w:r w:rsidRPr="009A608B">
        <w:t>–</w:t>
      </w:r>
      <w:r w:rsidRPr="009A608B">
        <w:tab/>
        <w:t>ņemot vērā Reglamenta 100. pantu un V pielikumu,</w:t>
      </w:r>
    </w:p>
    <w:p w:rsidR="00771542" w:rsidRPr="009A608B" w:rsidRDefault="00771542" w:rsidP="00771542">
      <w:pPr>
        <w:pStyle w:val="NormalHanging12a"/>
      </w:pPr>
      <w:r w:rsidRPr="009A608B">
        <w:t>–</w:t>
      </w:r>
      <w:r w:rsidRPr="009A608B">
        <w:tab/>
        <w:t>ņemot vērā Transporta un tūrisma komitejas atzinumu,</w:t>
      </w:r>
    </w:p>
    <w:p w:rsidR="00771542" w:rsidRPr="009A608B" w:rsidRDefault="00771542" w:rsidP="00771542">
      <w:pPr>
        <w:pStyle w:val="NormalHanging12a"/>
      </w:pPr>
      <w:r w:rsidRPr="009A608B">
        <w:t>–</w:t>
      </w:r>
      <w:r w:rsidRPr="009A608B">
        <w:tab/>
        <w:t>ņemot vērā Budžeta kontroles komitejas ziņojumu (A9</w:t>
      </w:r>
      <w:r w:rsidRPr="009A608B">
        <w:noBreakHyphen/>
        <w:t>0107/2024),</w:t>
      </w:r>
    </w:p>
    <w:p w:rsidR="00771542" w:rsidRPr="009A608B" w:rsidRDefault="00771542" w:rsidP="00771542">
      <w:pPr>
        <w:pStyle w:val="NormalHanging12a"/>
      </w:pPr>
      <w:r w:rsidRPr="009A608B">
        <w:t>1.</w:t>
      </w:r>
      <w:r w:rsidRPr="009A608B">
        <w:tab/>
        <w:t>sniedz Eiropas Jūras drošības aģentūras izpilddirektorei apstiprinājumu par Aģentūras 2022. finanšu gada budžeta izpildi;</w:t>
      </w:r>
    </w:p>
    <w:p w:rsidR="00771542" w:rsidRPr="009A608B" w:rsidRDefault="00771542" w:rsidP="00771542">
      <w:pPr>
        <w:pStyle w:val="NormalHanging12a"/>
      </w:pPr>
      <w:r w:rsidRPr="009A608B">
        <w:t>2.</w:t>
      </w:r>
      <w:r w:rsidRPr="009A608B">
        <w:tab/>
        <w:t>izklāsta savus konstatējumus turpmāk tekstā iekļautajā rezolūcijā;</w:t>
      </w:r>
    </w:p>
    <w:p w:rsidR="00771542" w:rsidRPr="009A608B" w:rsidRDefault="00771542" w:rsidP="00771542">
      <w:pPr>
        <w:pStyle w:val="NormalHanging12a"/>
      </w:pPr>
      <w:r w:rsidRPr="009A608B">
        <w:t>3.</w:t>
      </w:r>
      <w:r w:rsidRPr="009A608B">
        <w:tab/>
        <w:t xml:space="preserve">uzdod priekšsēdētājai šo lēmumu un rezolūciju, kas ir tā neatņemama daļa, nosūtīt Eiropas Jūras drošības aģentūras izpilddirektorei, Padomei, Komisijai un Revīzijas palātai un nodrošināt to publicēšanu </w:t>
      </w:r>
      <w:r w:rsidRPr="009A608B">
        <w:rPr>
          <w:i/>
        </w:rPr>
        <w:t>Eiropas Savienības Oficiālajā Vēstnesī</w:t>
      </w:r>
      <w:r w:rsidRPr="009A608B">
        <w:t xml:space="preserve"> (L sērijā).</w:t>
      </w:r>
    </w:p>
    <w:p w:rsidR="00771542" w:rsidRPr="009A608B" w:rsidRDefault="00771542" w:rsidP="00771542"/>
    <w:p w:rsidR="00771542" w:rsidRPr="009A608B" w:rsidRDefault="00771542" w:rsidP="00771542">
      <w:pPr>
        <w:pStyle w:val="PageHeading"/>
        <w:sectPr w:rsidR="00771542" w:rsidRPr="009A608B" w:rsidSect="00A571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71542" w:rsidRPr="009A608B" w:rsidRDefault="00771542" w:rsidP="00051A60">
      <w:pPr>
        <w:pStyle w:val="ATHeading3"/>
      </w:pPr>
      <w:bookmarkStart w:id="8" w:name="_Toc161401489"/>
      <w:r w:rsidRPr="009A608B">
        <w:lastRenderedPageBreak/>
        <w:t xml:space="preserve">2. </w:t>
      </w:r>
      <w:bookmarkEnd w:id="8"/>
      <w:r w:rsidR="00051A60" w:rsidRPr="009A608B">
        <w:t xml:space="preserve">Eiropas Parlamenta 2024. gada 11. aprīļa lēmums </w:t>
      </w:r>
      <w:r w:rsidRPr="009A608B">
        <w:t>par Eiropas Jūras drošības aģentūras 2022. finanšu gada pārskatu apstiprināšanu</w:t>
      </w:r>
      <w:r w:rsidR="00051A60" w:rsidRPr="009A608B">
        <w:t xml:space="preserve"> </w:t>
      </w:r>
      <w:r w:rsidRPr="009A608B">
        <w:t>(2023/2158(DEC))</w:t>
      </w:r>
    </w:p>
    <w:p w:rsidR="00771542" w:rsidRPr="009A608B" w:rsidRDefault="00771542" w:rsidP="00771542">
      <w:pPr>
        <w:pStyle w:val="EPComma"/>
      </w:pPr>
      <w:r w:rsidRPr="009A608B">
        <w:rPr>
          <w:i/>
        </w:rPr>
        <w:t>Eiropas Parlaments</w:t>
      </w:r>
      <w:r w:rsidRPr="009A608B">
        <w:t>,</w:t>
      </w:r>
    </w:p>
    <w:p w:rsidR="00771542" w:rsidRPr="009A608B" w:rsidRDefault="00771542" w:rsidP="00771542">
      <w:pPr>
        <w:pStyle w:val="NormalHanging12a"/>
      </w:pPr>
      <w:r w:rsidRPr="009A608B">
        <w:t>–</w:t>
      </w:r>
      <w:r w:rsidRPr="009A608B">
        <w:tab/>
        <w:t>ņemot vērā Eiropas Jūras drošības aģentūras 2022. finanšu gada galīgos pārskatus,</w:t>
      </w:r>
    </w:p>
    <w:p w:rsidR="00771542" w:rsidRPr="009A608B" w:rsidRDefault="00771542" w:rsidP="00771542">
      <w:pPr>
        <w:pStyle w:val="NormalHanging12a"/>
      </w:pPr>
      <w:r w:rsidRPr="009A608B">
        <w:t>–</w:t>
      </w:r>
      <w:r w:rsidRPr="009A608B">
        <w:tab/>
        <w:t>ņemot vērā Revīzijas palātas gada ziņojumu par ES aģentūrām attiecībā uz 2022. finanšu gadu ar aģentūru atbildēm</w:t>
      </w:r>
      <w:r w:rsidRPr="009A608B">
        <w:rPr>
          <w:rStyle w:val="FootnoteReference"/>
        </w:rPr>
        <w:footnoteReference w:id="6"/>
      </w:r>
      <w:r w:rsidRPr="009A608B">
        <w:t>,</w:t>
      </w:r>
    </w:p>
    <w:p w:rsidR="00771542" w:rsidRPr="009A608B" w:rsidRDefault="00771542" w:rsidP="00771542">
      <w:pPr>
        <w:pStyle w:val="NormalHanging12a"/>
      </w:pPr>
      <w:r w:rsidRPr="009A608B">
        <w:t>–</w:t>
      </w:r>
      <w:r w:rsidRPr="009A608B">
        <w:tab/>
        <w:t>ņemot vērā deklarāciju</w:t>
      </w:r>
      <w:r w:rsidRPr="009A608B">
        <w:rPr>
          <w:rStyle w:val="FootnoteReference"/>
        </w:rPr>
        <w:footnoteReference w:id="7"/>
      </w:r>
      <w:r w:rsidRPr="009A608B">
        <w:t xml:space="preserve"> par pārskatu ticamību, kā arī par pakārtoto darījumu likumību un pareizību, kuru Revīzijas palāta sniegusi par 2022. finanšu gadu saskaņā ar Līguma par Eiropas Savienības darbību 287. pantu,</w:t>
      </w:r>
    </w:p>
    <w:p w:rsidR="00771542" w:rsidRPr="009A608B" w:rsidRDefault="00771542" w:rsidP="00771542">
      <w:pPr>
        <w:pStyle w:val="NormalHanging12a"/>
      </w:pPr>
      <w:r w:rsidRPr="009A608B">
        <w:t>–</w:t>
      </w:r>
      <w:r w:rsidRPr="009A608B">
        <w:tab/>
        <w:t>ņemot vērā Padomes 2024. gada 22. februāra ieteikumu par apstiprinājumu, ko sniedz Aģentūrai par 2022. finanšu gada budžeta izpildi (</w:t>
      </w:r>
      <w:r w:rsidR="00051A60" w:rsidRPr="009A608B">
        <w:t>06180/2024 – C9</w:t>
      </w:r>
      <w:r w:rsidR="00051A60" w:rsidRPr="009A608B">
        <w:noBreakHyphen/>
        <w:t>0096/2024</w:t>
      </w:r>
      <w:r w:rsidRPr="009A608B">
        <w:t>),</w:t>
      </w:r>
    </w:p>
    <w:p w:rsidR="00771542" w:rsidRPr="009A608B" w:rsidRDefault="00771542" w:rsidP="00771542">
      <w:pPr>
        <w:pStyle w:val="NormalHanging12a"/>
      </w:pPr>
      <w:r w:rsidRPr="009A608B">
        <w:t>–</w:t>
      </w:r>
      <w:r w:rsidRPr="009A608B">
        <w:tab/>
        <w:t>ņemot vērā Līguma par Eiropas Savienības darbību 319. pantu,</w:t>
      </w:r>
    </w:p>
    <w:p w:rsidR="00771542" w:rsidRPr="009A608B" w:rsidRDefault="00771542" w:rsidP="00771542">
      <w:pPr>
        <w:pStyle w:val="NormalHanging12a"/>
      </w:pPr>
      <w:r w:rsidRPr="009A608B">
        <w:t>–</w:t>
      </w:r>
      <w:r w:rsidRPr="009A608B">
        <w:tab/>
        <w:t xml:space="preserve">ņemot vērā Eiropas Parlamenta un Padomes 2018. gada 18. jūlija Regulu (ES, </w:t>
      </w:r>
      <w:r w:rsidRPr="009A608B">
        <w:rPr>
          <w:i/>
        </w:rPr>
        <w:t>Euratom</w:t>
      </w:r>
      <w:r w:rsidRPr="009A608B">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A608B">
        <w:rPr>
          <w:i/>
        </w:rPr>
        <w:t>Euratom</w:t>
      </w:r>
      <w:r w:rsidRPr="009A608B">
        <w:t>) Nr. 966/2012</w:t>
      </w:r>
      <w:r w:rsidRPr="009A608B">
        <w:rPr>
          <w:rStyle w:val="FootnoteReference"/>
        </w:rPr>
        <w:footnoteReference w:id="8"/>
      </w:r>
      <w:r w:rsidRPr="009A608B">
        <w:t>, un jo īpaši tās 70. pantu,</w:t>
      </w:r>
    </w:p>
    <w:p w:rsidR="00771542" w:rsidRPr="009A608B" w:rsidRDefault="00771542" w:rsidP="00771542">
      <w:pPr>
        <w:pStyle w:val="NormalHanging12a"/>
      </w:pPr>
      <w:r w:rsidRPr="009A608B">
        <w:t>–</w:t>
      </w:r>
      <w:r w:rsidRPr="009A608B">
        <w:tab/>
        <w:t>ņemot vērā Eiropas Parlamenta un Padomes 2002. gada 27. jūnija Regulu (EK) Nr. 1406/2002 par Eiropas Jūras drošības aģentūras izveidošanu</w:t>
      </w:r>
      <w:r w:rsidRPr="009A608B">
        <w:rPr>
          <w:rStyle w:val="FootnoteReference"/>
        </w:rPr>
        <w:footnoteReference w:id="9"/>
      </w:r>
      <w:r w:rsidRPr="009A608B">
        <w:t xml:space="preserve"> un jo īpaši tās 19. pantu,</w:t>
      </w:r>
    </w:p>
    <w:p w:rsidR="00771542" w:rsidRPr="009A608B" w:rsidRDefault="00771542" w:rsidP="00771542">
      <w:pPr>
        <w:pStyle w:val="NormalHanging12a"/>
      </w:pPr>
      <w:r w:rsidRPr="009A608B">
        <w:t>–</w:t>
      </w:r>
      <w:r w:rsidRPr="009A608B">
        <w:tab/>
        <w:t xml:space="preserve">ņemot vērā Komisijas 2018. gada 18. decembra Deleģēto regulu (ES) 2019/715 par finanšu </w:t>
      </w:r>
      <w:proofErr w:type="spellStart"/>
      <w:r w:rsidRPr="009A608B">
        <w:t>pamatregulu</w:t>
      </w:r>
      <w:proofErr w:type="spellEnd"/>
      <w:r w:rsidRPr="009A608B">
        <w:t xml:space="preserve"> struktūrām, kas izveidotas saskaņā ar LESD un </w:t>
      </w:r>
      <w:r w:rsidRPr="009A608B">
        <w:rPr>
          <w:i/>
        </w:rPr>
        <w:t>Euratom</w:t>
      </w:r>
      <w:r w:rsidRPr="009A608B">
        <w:t xml:space="preserve"> līgumu un minētas Eiropas Parlamenta un Padomes Regulas (ES, </w:t>
      </w:r>
      <w:r w:rsidRPr="009A608B">
        <w:rPr>
          <w:i/>
        </w:rPr>
        <w:t>Euratom</w:t>
      </w:r>
      <w:r w:rsidRPr="009A608B">
        <w:t>) 2018/1046 70. pantā</w:t>
      </w:r>
      <w:r w:rsidRPr="009A608B">
        <w:rPr>
          <w:rStyle w:val="FootnoteReference"/>
        </w:rPr>
        <w:footnoteReference w:id="10"/>
      </w:r>
      <w:r w:rsidRPr="009A608B">
        <w:t>, un jo īpaši tās 105. pantu,</w:t>
      </w:r>
    </w:p>
    <w:p w:rsidR="00771542" w:rsidRPr="009A608B" w:rsidRDefault="00771542" w:rsidP="00771542">
      <w:pPr>
        <w:pStyle w:val="NormalHanging12a"/>
      </w:pPr>
      <w:r w:rsidRPr="009A608B">
        <w:t>–</w:t>
      </w:r>
      <w:r w:rsidRPr="009A608B">
        <w:tab/>
        <w:t>ņemot vērā Reglamenta 100. pantu un V pielikumu,</w:t>
      </w:r>
    </w:p>
    <w:p w:rsidR="00771542" w:rsidRPr="009A608B" w:rsidRDefault="00771542" w:rsidP="00771542">
      <w:pPr>
        <w:pStyle w:val="NormalHanging12a"/>
      </w:pPr>
      <w:r w:rsidRPr="009A608B">
        <w:t>–</w:t>
      </w:r>
      <w:r w:rsidRPr="009A608B">
        <w:tab/>
        <w:t>ņemot vērā Transporta un tūrisma komitejas atzinumu,</w:t>
      </w:r>
    </w:p>
    <w:p w:rsidR="00771542" w:rsidRPr="009A608B" w:rsidRDefault="00771542" w:rsidP="00771542">
      <w:pPr>
        <w:pStyle w:val="NormalHanging12a"/>
      </w:pPr>
      <w:r w:rsidRPr="009A608B">
        <w:t>–</w:t>
      </w:r>
      <w:r w:rsidRPr="009A608B">
        <w:tab/>
        <w:t>ņemot vērā Budžeta kontroles komitejas ziņojumu (A9</w:t>
      </w:r>
      <w:r w:rsidRPr="009A608B">
        <w:noBreakHyphen/>
        <w:t>0107/2024),</w:t>
      </w:r>
    </w:p>
    <w:p w:rsidR="00771542" w:rsidRPr="009A608B" w:rsidRDefault="00771542" w:rsidP="00771542">
      <w:pPr>
        <w:pStyle w:val="NormalHanging12a"/>
      </w:pPr>
      <w:r w:rsidRPr="009A608B">
        <w:t>1.</w:t>
      </w:r>
      <w:r w:rsidRPr="009A608B">
        <w:tab/>
        <w:t>apstiprina Eiropas Jūras drošības aģentūras 2022. finanšu gada pārskatus;</w:t>
      </w:r>
    </w:p>
    <w:p w:rsidR="00771542" w:rsidRPr="009A608B" w:rsidRDefault="00771542" w:rsidP="00771542">
      <w:pPr>
        <w:pStyle w:val="NormalHanging12a"/>
      </w:pPr>
      <w:r w:rsidRPr="009A608B">
        <w:t>2.</w:t>
      </w:r>
      <w:r w:rsidRPr="009A608B">
        <w:tab/>
        <w:t xml:space="preserve">uzdod priekšsēdētājai šo lēmumu nosūtīt Eiropas Jūras drošības aģentūras izpilddirektorei, Padomei, Komisijai un Revīzijas palātai un nodrošināt tā publicēšanu </w:t>
      </w:r>
      <w:r w:rsidRPr="009A608B">
        <w:rPr>
          <w:i/>
        </w:rPr>
        <w:t>Eiropas Savienības Oficiālajā Vēstnesī</w:t>
      </w:r>
      <w:r w:rsidRPr="009A608B">
        <w:t xml:space="preserve"> (L sērijā).</w:t>
      </w:r>
    </w:p>
    <w:p w:rsidR="00771542" w:rsidRPr="009A608B" w:rsidRDefault="00771542" w:rsidP="00771542"/>
    <w:p w:rsidR="00771542" w:rsidRPr="009A608B" w:rsidRDefault="00771542" w:rsidP="00771542">
      <w:pPr>
        <w:pStyle w:val="PageHeading"/>
        <w:sectPr w:rsidR="00771542" w:rsidRPr="009A608B" w:rsidSect="00A5710A">
          <w:footnotePr>
            <w:numRestart w:val="eachPage"/>
          </w:footnotePr>
          <w:endnotePr>
            <w:numFmt w:val="decimal"/>
          </w:endnotePr>
          <w:pgSz w:w="11906" w:h="16838" w:code="9"/>
          <w:pgMar w:top="1134" w:right="1418" w:bottom="1418" w:left="1418" w:header="567" w:footer="567" w:gutter="0"/>
          <w:cols w:space="720"/>
          <w:noEndnote/>
          <w:docGrid w:linePitch="326"/>
        </w:sectPr>
      </w:pPr>
    </w:p>
    <w:p w:rsidR="00771542" w:rsidRPr="009A608B" w:rsidRDefault="00771542" w:rsidP="00051A60">
      <w:pPr>
        <w:pStyle w:val="ATHeading3"/>
      </w:pPr>
      <w:bookmarkStart w:id="9" w:name="_Toc161401490"/>
      <w:r w:rsidRPr="009A608B">
        <w:lastRenderedPageBreak/>
        <w:t xml:space="preserve">3. </w:t>
      </w:r>
      <w:bookmarkEnd w:id="9"/>
      <w:r w:rsidR="00051A60" w:rsidRPr="009A608B">
        <w:t xml:space="preserve">Eiropas Parlamenta 2024. gada 11. aprīļa rezolūcija </w:t>
      </w:r>
      <w:r w:rsidRPr="009A608B">
        <w:t>ar konstatējumiem, kas ir neatņemama daļa no lēmuma par Eiropas Jūras drošības aģentūras 2022. finanšu gada budžeta izpildes apstiprināšanu</w:t>
      </w:r>
      <w:r w:rsidR="00051A60" w:rsidRPr="009A608B">
        <w:t xml:space="preserve"> </w:t>
      </w:r>
      <w:r w:rsidRPr="009A608B">
        <w:t>(2023/2158(DEC))</w:t>
      </w:r>
    </w:p>
    <w:p w:rsidR="00771542" w:rsidRPr="009A608B" w:rsidRDefault="00771542" w:rsidP="00771542">
      <w:pPr>
        <w:pStyle w:val="EPComma"/>
      </w:pPr>
      <w:r w:rsidRPr="009A608B">
        <w:rPr>
          <w:i/>
        </w:rPr>
        <w:t>Eiropas Parlaments</w:t>
      </w:r>
      <w:r w:rsidRPr="009A608B">
        <w:t>,</w:t>
      </w:r>
    </w:p>
    <w:p w:rsidR="00771542" w:rsidRPr="009A608B" w:rsidRDefault="00771542" w:rsidP="00771542">
      <w:pPr>
        <w:pStyle w:val="NormalHanging12a"/>
      </w:pPr>
      <w:r w:rsidRPr="009A608B">
        <w:t>–</w:t>
      </w:r>
      <w:r w:rsidRPr="009A608B">
        <w:tab/>
        <w:t>ņemot vērā lēmumu par Eiropas Jūras drošības aģentūras 2022. finanšu gada budžeta izpildes apstiprināšanu,</w:t>
      </w:r>
    </w:p>
    <w:p w:rsidR="00771542" w:rsidRPr="009A608B" w:rsidRDefault="00771542" w:rsidP="00771542">
      <w:pPr>
        <w:pStyle w:val="NormalHanging12a"/>
      </w:pPr>
      <w:r w:rsidRPr="009A608B">
        <w:t>–</w:t>
      </w:r>
      <w:r w:rsidRPr="009A608B">
        <w:tab/>
        <w:t>ņemot vērā Reglamenta 100. pantu un V pielikumu,</w:t>
      </w:r>
    </w:p>
    <w:p w:rsidR="00771542" w:rsidRPr="009A608B" w:rsidRDefault="00771542" w:rsidP="00771542">
      <w:pPr>
        <w:pStyle w:val="NormalHanging12a"/>
      </w:pPr>
      <w:r w:rsidRPr="009A608B">
        <w:t>–</w:t>
      </w:r>
      <w:r w:rsidRPr="009A608B">
        <w:tab/>
        <w:t>ņemot vērā Transporta un tūrisma komitejas atzinumu,</w:t>
      </w:r>
    </w:p>
    <w:p w:rsidR="00771542" w:rsidRPr="009A608B" w:rsidRDefault="00771542" w:rsidP="00771542">
      <w:pPr>
        <w:pStyle w:val="NormalHanging12a"/>
      </w:pPr>
      <w:r w:rsidRPr="009A608B">
        <w:t>–</w:t>
      </w:r>
      <w:r w:rsidRPr="009A608B">
        <w:tab/>
        <w:t>ņemot vērā Budžeta kontroles komitejas ziņojumu (A9</w:t>
      </w:r>
      <w:r w:rsidRPr="009A608B">
        <w:noBreakHyphen/>
        <w:t>0107/2024),</w:t>
      </w:r>
    </w:p>
    <w:p w:rsidR="00771542" w:rsidRPr="009A608B" w:rsidRDefault="00771542" w:rsidP="00771542">
      <w:pPr>
        <w:spacing w:after="240"/>
        <w:ind w:left="567" w:hanging="567"/>
        <w:rPr>
          <w:szCs w:val="24"/>
        </w:rPr>
      </w:pPr>
      <w:r w:rsidRPr="009A608B">
        <w:t>A.</w:t>
      </w:r>
      <w:r w:rsidRPr="009A608B">
        <w:tab/>
        <w:t>tā kā saskaņā ar Eiropas Jūras drošības aģentūras (“Aģentūra”) ieņēmumu un izdevumu pārskatu</w:t>
      </w:r>
      <w:r w:rsidRPr="009A608B">
        <w:rPr>
          <w:rStyle w:val="FootnoteReference"/>
          <w:szCs w:val="24"/>
        </w:rPr>
        <w:footnoteReference w:id="11"/>
      </w:r>
      <w:r w:rsidRPr="009A608B">
        <w:t xml:space="preserve"> tās 2022. finanšu gada galīgais budžets bija 115 807 269,88 EUR, t. i., par 9,48 % lielāks nekā 2021. gadā; tā kā Aģentūras budžetu finansē no Savienības budžeta un pamatdarbības ienākumiem;</w:t>
      </w:r>
    </w:p>
    <w:p w:rsidR="00771542" w:rsidRPr="009A608B" w:rsidRDefault="00771542" w:rsidP="00771542">
      <w:pPr>
        <w:spacing w:after="240"/>
        <w:ind w:left="567" w:hanging="567"/>
        <w:rPr>
          <w:szCs w:val="24"/>
        </w:rPr>
      </w:pPr>
      <w:r w:rsidRPr="009A608B">
        <w:t>B.</w:t>
      </w:r>
      <w:r w:rsidRPr="009A608B">
        <w:tab/>
        <w:t>tā kā Revīzijas palāta ziņojumā par Aģentūras 2022. finanšu gada pārskatiem (“Revīzijas palātas ziņojums”) norāda, ka tā ir guvusi pamatotu pārliecību par to, ka Aģentūras gada pārskati ir ticami un pakārtotie darījumi ir likumīgi un pareizi;</w:t>
      </w:r>
    </w:p>
    <w:p w:rsidR="00771542" w:rsidRPr="009A608B" w:rsidRDefault="00771542" w:rsidP="00771542">
      <w:pPr>
        <w:spacing w:after="240"/>
        <w:ind w:left="567" w:hanging="567"/>
        <w:rPr>
          <w:szCs w:val="24"/>
        </w:rPr>
      </w:pPr>
      <w:r w:rsidRPr="009A608B">
        <w:t>C.</w:t>
      </w:r>
      <w:r w:rsidRPr="009A608B">
        <w:tab/>
        <w:t>tā kā attiecībā uz Aģentūras iepirkuma jomu nav ziņots par tādām problēmām 2022. gadā, kuru dēļ būtu jāveic korektīvi pasākumi, un tā kā šobrīd netiek veikti korektīvi pasākumi saistībā ar iepriekšējo gadu revīzijām un novērtējumiem un tādi nav arī iekavēti,</w:t>
      </w:r>
    </w:p>
    <w:p w:rsidR="00771542" w:rsidRPr="009A608B" w:rsidRDefault="00771542" w:rsidP="00771542">
      <w:pPr>
        <w:widowControl/>
        <w:spacing w:after="240"/>
        <w:ind w:left="567" w:hanging="567"/>
        <w:rPr>
          <w:szCs w:val="24"/>
        </w:rPr>
      </w:pPr>
      <w:r w:rsidRPr="009A608B">
        <w:t>D.</w:t>
      </w:r>
      <w:r w:rsidRPr="009A608B">
        <w:tab/>
        <w:t>tā kā attiecībā uz Aģentūras iekšējās kontroles sistēmām nav ziņots par tādām problēmām 2022. gadā, kuru dēļ būtu jāveic korektīvi pasākumi, un tā kā šobrīd netiek veikti korektīvi pasākumi saistībā ar iepriekšējo gadu revīzijām un novērtējumiem un tādi nav arī iekavēti,</w:t>
      </w:r>
    </w:p>
    <w:p w:rsidR="00771542" w:rsidRPr="009A608B" w:rsidRDefault="00771542" w:rsidP="00771542">
      <w:pPr>
        <w:spacing w:after="240"/>
        <w:ind w:left="567" w:hanging="567"/>
        <w:rPr>
          <w:b/>
          <w:i/>
          <w:szCs w:val="24"/>
        </w:rPr>
      </w:pPr>
      <w:r w:rsidRPr="009A608B">
        <w:rPr>
          <w:b/>
          <w:i/>
        </w:rPr>
        <w:t>Budžeta un finanšu pārvaldība</w:t>
      </w:r>
    </w:p>
    <w:p w:rsidR="00771542" w:rsidRPr="009A608B" w:rsidRDefault="00771542" w:rsidP="00771542">
      <w:pPr>
        <w:spacing w:after="240"/>
        <w:ind w:left="567" w:hanging="567"/>
        <w:rPr>
          <w:szCs w:val="24"/>
        </w:rPr>
      </w:pPr>
      <w:r w:rsidRPr="009A608B">
        <w:t>1.</w:t>
      </w:r>
      <w:r w:rsidRPr="009A608B">
        <w:tab/>
        <w:t>ar gandarījumu ņem vērā to, ka 2022. finanšu gadā veiktās budžeta uzraudzības rezultātā attiecīgā gada saistību apropriāciju līmenis bija 99,80 %, t. i., nedaudz — par 0,14 % — augstāks nekā 2021. gadā, un ka attiecīgā gada maksājumu apropriāciju izpildes līmenis bija 98,42 %, t. i., arī nedaudz — par 1,10 % — augstāks;</w:t>
      </w:r>
    </w:p>
    <w:p w:rsidR="00771542" w:rsidRPr="009A608B" w:rsidRDefault="00771542" w:rsidP="00771542">
      <w:pPr>
        <w:spacing w:after="240"/>
        <w:ind w:left="567" w:hanging="567"/>
        <w:rPr>
          <w:b/>
          <w:i/>
          <w:szCs w:val="24"/>
        </w:rPr>
      </w:pPr>
      <w:r w:rsidRPr="009A608B">
        <w:rPr>
          <w:b/>
          <w:i/>
        </w:rPr>
        <w:t>Sniegums</w:t>
      </w:r>
    </w:p>
    <w:p w:rsidR="00771542" w:rsidRPr="009A608B" w:rsidRDefault="00771542" w:rsidP="00771542">
      <w:pPr>
        <w:spacing w:after="240"/>
        <w:ind w:left="567" w:hanging="567"/>
        <w:rPr>
          <w:szCs w:val="24"/>
        </w:rPr>
      </w:pPr>
      <w:r w:rsidRPr="009A608B">
        <w:t>2.</w:t>
      </w:r>
      <w:r w:rsidRPr="009A608B">
        <w:tab/>
        <w:t xml:space="preserve">atzinīgi vērtē to, ka Aģentūra izmanto galvenos snieguma rādītājus, lai novērtētu savas gada darba programmas īstenošanu galvenajās jomās, kurās Aģentūra sniedz ieguldījumu, un tās horizontālās darbības (ilgtspēja, uzraudzība, drošums un drošība, vienkāršošana, </w:t>
      </w:r>
      <w:proofErr w:type="spellStart"/>
      <w:r w:rsidRPr="009A608B">
        <w:t>digitalizācija</w:t>
      </w:r>
      <w:proofErr w:type="spellEnd"/>
      <w:r w:rsidRPr="009A608B">
        <w:t xml:space="preserve">, tehniskā palīdzība, spēju veidošana un stratēģiskais atbalsts); atzinīgi vērtē to, ka kopumā mērķi ir sasniegti, jo tikai daži mērķi vēl nav pilnībā sasniegti galvenokārt pamatotu iemeslu dēļ; turklāt norāda, ka Aģentūra ir </w:t>
      </w:r>
      <w:r w:rsidRPr="009A608B">
        <w:lastRenderedPageBreak/>
        <w:t>sasniegusi savus 2022. gada mērķus, kas noteikti gada darba programmā un daudzgadu stratēģiskajā satvarā;</w:t>
      </w:r>
    </w:p>
    <w:p w:rsidR="00771542" w:rsidRPr="009A608B" w:rsidRDefault="00771542" w:rsidP="00771542">
      <w:pPr>
        <w:spacing w:after="240"/>
        <w:ind w:left="567" w:hanging="567"/>
        <w:rPr>
          <w:szCs w:val="24"/>
        </w:rPr>
      </w:pPr>
      <w:r w:rsidRPr="009A608B">
        <w:t>3.</w:t>
      </w:r>
      <w:r w:rsidRPr="009A608B">
        <w:tab/>
        <w:t xml:space="preserve">pieņem zināšanai to, ka Aģentūra ir aktīvi iesaistījusies vairākās iniciatīvās, kas saistītas ar Eiropas zaļo kursu, un sniegusi atbalstu un datus Komisijai un dalībvalstīm, īpašu uzsvaru liekot uz dažādiem priekšlikumiem paketē “Gatavi </w:t>
      </w:r>
      <w:proofErr w:type="spellStart"/>
      <w:r w:rsidRPr="009A608B">
        <w:t>mērķrādītājam</w:t>
      </w:r>
      <w:proofErr w:type="spellEnd"/>
      <w:r w:rsidRPr="009A608B">
        <w:t xml:space="preserve"> 55 %”, piemēram, priekšlikumu “</w:t>
      </w:r>
      <w:proofErr w:type="spellStart"/>
      <w:r w:rsidRPr="009A608B">
        <w:t>FuelEU</w:t>
      </w:r>
      <w:proofErr w:type="spellEnd"/>
      <w:r w:rsidRPr="009A608B">
        <w:t xml:space="preserve"> </w:t>
      </w:r>
      <w:proofErr w:type="spellStart"/>
      <w:r w:rsidRPr="009A608B">
        <w:t>Maritime</w:t>
      </w:r>
      <w:proofErr w:type="spellEnd"/>
      <w:r w:rsidRPr="009A608B">
        <w:t>” un priekšlikumu, kura mērķis ir paplašināt emisijas kvotu tirdzniecības sistēmu, attiecinot to arī uz jūras transportu;</w:t>
      </w:r>
    </w:p>
    <w:p w:rsidR="00771542" w:rsidRPr="009A608B" w:rsidRDefault="00771542" w:rsidP="00771542">
      <w:pPr>
        <w:spacing w:after="240"/>
        <w:ind w:left="567" w:hanging="567"/>
        <w:rPr>
          <w:szCs w:val="24"/>
        </w:rPr>
      </w:pPr>
      <w:r w:rsidRPr="009A608B">
        <w:t>4.</w:t>
      </w:r>
      <w:r w:rsidRPr="009A608B">
        <w:tab/>
        <w:t>atzinīgi vērtē to, ka Aģentūra ir kļuvusi par svarīgu dalībnieku interesējošo kuģu uzraudzībā un ziņošanā par tiem pēc nelikumīgā un neprovocētā Krievijas iebrukuma Ukrainā 2022. gada februārī; šajā sakarībā norāda, ka jūras atbalsta dienests (JDS) ziņoja dalībvalstīm un Komisijai par kuģiem, kas kuģo ar Krievijas karogu, par kuģu piestāšanu ES ostās konkrētām dalībvalstīm un Komisijai un par kuģu piestāšanu saistībā ar sankcijām (piemēram, ogļu importu);</w:t>
      </w:r>
    </w:p>
    <w:p w:rsidR="00771542" w:rsidRPr="009A608B" w:rsidRDefault="00771542" w:rsidP="00771542">
      <w:pPr>
        <w:spacing w:after="240"/>
        <w:ind w:left="567" w:hanging="567"/>
        <w:rPr>
          <w:szCs w:val="24"/>
        </w:rPr>
      </w:pPr>
      <w:r w:rsidRPr="009A608B">
        <w:t>5.</w:t>
      </w:r>
      <w:r w:rsidRPr="009A608B">
        <w:tab/>
        <w:t xml:space="preserve">norāda, ka Aģentūras Zemes novērošanas dienesti turpināja attīstīt un nodrošināt uzraudzības spējas, īpašu uzmanību pievēršot </w:t>
      </w:r>
      <w:proofErr w:type="spellStart"/>
      <w:r w:rsidRPr="009A608B">
        <w:rPr>
          <w:i/>
        </w:rPr>
        <w:t>CleanSeaNet</w:t>
      </w:r>
      <w:proofErr w:type="spellEnd"/>
      <w:r w:rsidRPr="009A608B">
        <w:t xml:space="preserve">, </w:t>
      </w:r>
      <w:proofErr w:type="spellStart"/>
      <w:r w:rsidRPr="009A608B">
        <w:rPr>
          <w:i/>
        </w:rPr>
        <w:t>Copernicus</w:t>
      </w:r>
      <w:proofErr w:type="spellEnd"/>
      <w:r w:rsidRPr="009A608B">
        <w:t xml:space="preserve"> jūras uzraudzībai, ko izmanto </w:t>
      </w:r>
      <w:proofErr w:type="spellStart"/>
      <w:r w:rsidRPr="009A608B">
        <w:rPr>
          <w:i/>
        </w:rPr>
        <w:t>Frontex</w:t>
      </w:r>
      <w:proofErr w:type="spellEnd"/>
      <w:r w:rsidRPr="009A608B">
        <w:t>, un atbalstam ārkārtas situācijās jūrā saskaņā ar Aģentūras ārkārtas rīcības plānu;</w:t>
      </w:r>
    </w:p>
    <w:p w:rsidR="00771542" w:rsidRPr="009A608B" w:rsidRDefault="00771542" w:rsidP="00771542">
      <w:pPr>
        <w:spacing w:after="240"/>
        <w:ind w:left="567" w:hanging="567"/>
        <w:rPr>
          <w:szCs w:val="24"/>
        </w:rPr>
      </w:pPr>
      <w:r w:rsidRPr="009A608B">
        <w:t>6.</w:t>
      </w:r>
      <w:r w:rsidRPr="009A608B">
        <w:tab/>
        <w:t>atzinīgi vērtē to, ka Aģentūra sniedza tehnisko atbalstu Komisijai un EBTA Uzraudzības iestādei, piedaloties pārbaudēs, ko tās organizēja, lai novērtētu un pārbaudītu ES jūras drošības tiesību aktu īstenošanu un izpildi dalībvalstīs;</w:t>
      </w:r>
    </w:p>
    <w:p w:rsidR="00771542" w:rsidRPr="009A608B" w:rsidRDefault="00771542" w:rsidP="00771542">
      <w:pPr>
        <w:spacing w:after="240"/>
        <w:ind w:left="567" w:hanging="567"/>
        <w:rPr>
          <w:szCs w:val="24"/>
        </w:rPr>
      </w:pPr>
      <w:r w:rsidRPr="009A608B">
        <w:t>7.</w:t>
      </w:r>
      <w:r w:rsidRPr="009A608B">
        <w:tab/>
        <w:t>konstatē, ka 2022. gadā Aģentūra nodrošināja Eiropas Savienības Aģentūrai tiesībaizsardzības sadarbībai (Eiropolam) piekļuvi jūrniecības un uzraudzības informācijas pakalpojumiem, lai atbalstītu to tiesībaizsardzības un organizētās noziedzības apkarošanas jomā jūrā;</w:t>
      </w:r>
    </w:p>
    <w:p w:rsidR="00771542" w:rsidRPr="009A608B" w:rsidRDefault="00771542" w:rsidP="00771542">
      <w:pPr>
        <w:spacing w:after="240"/>
        <w:ind w:left="567" w:hanging="567"/>
        <w:rPr>
          <w:i/>
          <w:szCs w:val="24"/>
        </w:rPr>
      </w:pPr>
      <w:r w:rsidRPr="009A608B">
        <w:t>8.</w:t>
      </w:r>
      <w:r w:rsidRPr="009A608B">
        <w:tab/>
        <w:t xml:space="preserve">norāda, ka Aģentūra 2022. gadā saglabāja savu izcilības centra lomu spēju veidošanā, </w:t>
      </w:r>
      <w:r w:rsidRPr="009A608B">
        <w:rPr>
          <w:i/>
        </w:rPr>
        <w:t>IPA II</w:t>
      </w:r>
      <w:r w:rsidRPr="009A608B">
        <w:t xml:space="preserve"> projekta īstenošanā un tehniskās palīdzības projektu noslēgšanā Vidusjūrā (</w:t>
      </w:r>
      <w:r w:rsidRPr="009A608B">
        <w:rPr>
          <w:i/>
        </w:rPr>
        <w:t>SAFEMED IV</w:t>
      </w:r>
      <w:r w:rsidRPr="009A608B">
        <w:t>) un Melnajā jūrā un Kaspijas jūrā (</w:t>
      </w:r>
      <w:r w:rsidRPr="009A608B">
        <w:rPr>
          <w:i/>
        </w:rPr>
        <w:t>BCSEA</w:t>
      </w:r>
      <w:r w:rsidRPr="009A608B">
        <w:t>);</w:t>
      </w:r>
    </w:p>
    <w:p w:rsidR="00771542" w:rsidRPr="009A608B" w:rsidRDefault="00771542" w:rsidP="00771542">
      <w:pPr>
        <w:spacing w:after="240"/>
        <w:ind w:left="567" w:hanging="567"/>
      </w:pPr>
      <w:r w:rsidRPr="009A608B">
        <w:t>9.</w:t>
      </w:r>
      <w:r w:rsidRPr="009A608B">
        <w:tab/>
        <w:t xml:space="preserve">atzinīgi vērtē Aģentūras atbalstu Komisijai Starptautiskajā Jūrniecības organizācijā, jo īpaši tādos forumos kā </w:t>
      </w:r>
      <w:r w:rsidRPr="009A608B">
        <w:rPr>
          <w:i/>
          <w:iCs/>
        </w:rPr>
        <w:t>MEPC</w:t>
      </w:r>
      <w:r w:rsidRPr="009A608B">
        <w:t xml:space="preserve">, </w:t>
      </w:r>
      <w:r w:rsidRPr="009A608B">
        <w:rPr>
          <w:i/>
          <w:iCs/>
        </w:rPr>
        <w:t>PPR</w:t>
      </w:r>
      <w:r w:rsidRPr="009A608B">
        <w:t xml:space="preserve"> un </w:t>
      </w:r>
      <w:r w:rsidRPr="009A608B">
        <w:rPr>
          <w:i/>
          <w:iCs/>
        </w:rPr>
        <w:t>CCC</w:t>
      </w:r>
      <w:r w:rsidRPr="009A608B">
        <w:t xml:space="preserve">; šis atbalsts aptver svarīgas jomas — piesārņojuma novēršanu un ilgtspēju, cita starpā saistībā ar SJO stratēģiju SEG emisiju samazināšanai, kuģniecības oglekļa dioksīda emisiju intensitāti, drošību, ilgtspējīgu alternatīvo degvielu un tehnoloģiju novērtēšanu, ieviešanu un izmantošanu, jūras </w:t>
      </w:r>
      <w:proofErr w:type="spellStart"/>
      <w:r w:rsidRPr="009A608B">
        <w:t>piedrazojumu</w:t>
      </w:r>
      <w:proofErr w:type="spellEnd"/>
      <w:r w:rsidRPr="009A608B">
        <w:t xml:space="preserve"> un zemūdens troksni; uzsver, ka gaidāmajam SJO darbam pie tā, lai izstrādātu attiecīgas prasības un standartus jaunu degvielu un tehnoloģiju izmantošanai, būs izšķiroša nozīme, lai tās ieviestu pasaules un ES mērogā;</w:t>
      </w:r>
    </w:p>
    <w:p w:rsidR="00771542" w:rsidRPr="009A608B" w:rsidRDefault="00771542" w:rsidP="00771542">
      <w:pPr>
        <w:pStyle w:val="NormalHanging12a"/>
        <w:rPr>
          <w:b/>
          <w:i/>
          <w:color w:val="000000" w:themeColor="text1"/>
          <w:szCs w:val="24"/>
        </w:rPr>
      </w:pPr>
      <w:r w:rsidRPr="009A608B">
        <w:rPr>
          <w:b/>
          <w:i/>
          <w:color w:val="000000" w:themeColor="text1"/>
        </w:rPr>
        <w:t>Efektivitāte un ieguvumi</w:t>
      </w:r>
    </w:p>
    <w:p w:rsidR="00771542" w:rsidRPr="009A608B" w:rsidRDefault="00771542" w:rsidP="00771542">
      <w:pPr>
        <w:widowControl/>
        <w:spacing w:after="240"/>
        <w:ind w:left="567" w:hanging="567"/>
        <w:rPr>
          <w:szCs w:val="24"/>
        </w:rPr>
      </w:pPr>
      <w:r w:rsidRPr="009A608B">
        <w:rPr>
          <w:color w:val="000000" w:themeColor="text1"/>
        </w:rPr>
        <w:t>10.</w:t>
      </w:r>
      <w:r w:rsidRPr="009A608B">
        <w:rPr>
          <w:color w:val="000000" w:themeColor="text1"/>
        </w:rPr>
        <w:tab/>
      </w:r>
      <w:r w:rsidRPr="009A608B">
        <w:t>norāda, ka saistībā ar jaunajām pilnvarām Eiropas sadarbībai krasta apsardzes funkciju jomā Aģentūra ir kopīgojusi informāciju, speciālās zināšanas, procedūras, mācību materiālus un rīkus ar Eiropas Zivsaimniecības kontroles aģentūru (</w:t>
      </w:r>
      <w:r w:rsidRPr="009A608B">
        <w:rPr>
          <w:i/>
        </w:rPr>
        <w:t>EFCA</w:t>
      </w:r>
      <w:r w:rsidRPr="009A608B">
        <w:t xml:space="preserve">) un </w:t>
      </w:r>
      <w:proofErr w:type="spellStart"/>
      <w:r w:rsidRPr="009A608B">
        <w:rPr>
          <w:i/>
        </w:rPr>
        <w:t>Frontex</w:t>
      </w:r>
      <w:proofErr w:type="spellEnd"/>
      <w:r w:rsidRPr="009A608B">
        <w:t>;</w:t>
      </w:r>
      <w:r w:rsidRPr="009A608B">
        <w:rPr>
          <w:color w:val="000000" w:themeColor="text1"/>
        </w:rPr>
        <w:t xml:space="preserve"> turklāt norāda, ka Aģentūra turpina cieši sadarboties ar Eiropas Narkotiku un narkomānijas uzraudzības centru (</w:t>
      </w:r>
      <w:r w:rsidRPr="009A608B">
        <w:rPr>
          <w:i/>
          <w:color w:val="000000" w:themeColor="text1"/>
        </w:rPr>
        <w:t>EMCCDA</w:t>
      </w:r>
      <w:r w:rsidRPr="009A608B">
        <w:rPr>
          <w:color w:val="000000" w:themeColor="text1"/>
        </w:rPr>
        <w:t xml:space="preserve">), lai palielinātu efektivitāti un ietaupītu izmaksas abu aģentūru ģeogrāfiskā tuvuma dēļ; atzinīgi vērtē to, ka Aģentūra atbalstīja </w:t>
      </w:r>
      <w:r w:rsidRPr="009A608B">
        <w:rPr>
          <w:i/>
          <w:iCs/>
          <w:color w:val="000000" w:themeColor="text1"/>
        </w:rPr>
        <w:lastRenderedPageBreak/>
        <w:t>EMCCDA</w:t>
      </w:r>
      <w:r w:rsidRPr="009A608B">
        <w:rPr>
          <w:color w:val="000000" w:themeColor="text1"/>
        </w:rPr>
        <w:t xml:space="preserve">, daloties zināšanās par </w:t>
      </w:r>
      <w:r w:rsidRPr="009A608B">
        <w:rPr>
          <w:i/>
          <w:iCs/>
          <w:color w:val="000000" w:themeColor="text1"/>
        </w:rPr>
        <w:t>EMAS</w:t>
      </w:r>
      <w:r w:rsidRPr="009A608B">
        <w:rPr>
          <w:color w:val="000000" w:themeColor="text1"/>
        </w:rPr>
        <w:t xml:space="preserve"> reģistrāciju, un sadarbībā ar </w:t>
      </w:r>
      <w:r w:rsidRPr="009A608B">
        <w:rPr>
          <w:i/>
          <w:iCs/>
          <w:color w:val="000000" w:themeColor="text1"/>
        </w:rPr>
        <w:t>EFCA</w:t>
      </w:r>
      <w:r w:rsidRPr="009A608B">
        <w:rPr>
          <w:color w:val="000000" w:themeColor="text1"/>
        </w:rPr>
        <w:t xml:space="preserve"> turpināja nodrošināt abu aģentūru grāmatvedības funkcijas savstarpēju dublēšanu; </w:t>
      </w:r>
      <w:r w:rsidRPr="009A608B">
        <w:t xml:space="preserve">norāda uz horizontālajiem ieguvumiem, ko sniedz sadarbība un </w:t>
      </w:r>
      <w:proofErr w:type="spellStart"/>
      <w:r w:rsidRPr="009A608B">
        <w:t>paraugprakses</w:t>
      </w:r>
      <w:proofErr w:type="spellEnd"/>
      <w:r w:rsidRPr="009A608B">
        <w:t xml:space="preserve"> pielāgošana, un to, ka kopīgās iniciatīvas apvieno dažādas perspektīvas, samazina centienu dublēšanos, uzlabo mācīšanos un stiprina attiecības starp dalībniekiem;</w:t>
      </w:r>
    </w:p>
    <w:p w:rsidR="00771542" w:rsidRPr="009A608B" w:rsidRDefault="00771542" w:rsidP="00771542">
      <w:pPr>
        <w:pStyle w:val="NormalHanging12a"/>
        <w:rPr>
          <w:color w:val="000000" w:themeColor="text1"/>
          <w:szCs w:val="24"/>
        </w:rPr>
      </w:pPr>
      <w:r w:rsidRPr="009A608B">
        <w:rPr>
          <w:color w:val="000000" w:themeColor="text1"/>
        </w:rPr>
        <w:t>11.</w:t>
      </w:r>
      <w:r w:rsidRPr="009A608B">
        <w:rPr>
          <w:color w:val="000000" w:themeColor="text1"/>
        </w:rPr>
        <w:tab/>
        <w:t xml:space="preserve">norāda, ka Aģentūra ir strādājusi pie tā, lai uzlabotu savu efektivitāti un lietderību, automatizējot procedūras ar mērķi ievērojami samazināt konkrētu darbinieku administratīvo darba slodzi, ļaujot viņiem koncentrēties uz uzdevumiem saistītās jomās ar lielāku pievienoto vērtību; turklāt konstatē, ka Aģentūra ir uzsākusi izmēģinājuma projektus saistībā ar kvalificētu e-parakstu un korporatīvo instrumentu integrācijai ar </w:t>
      </w:r>
      <w:r w:rsidRPr="009A608B">
        <w:rPr>
          <w:i/>
          <w:color w:val="000000" w:themeColor="text1"/>
        </w:rPr>
        <w:t>ARES</w:t>
      </w:r>
      <w:r w:rsidRPr="009A608B">
        <w:rPr>
          <w:color w:val="000000" w:themeColor="text1"/>
        </w:rPr>
        <w:t>; aicina Aģentūru noteikt vēl citas iekšējās procedūras, kuras varētu racionalizēt, automatizējot darbības;</w:t>
      </w:r>
    </w:p>
    <w:p w:rsidR="00771542" w:rsidRPr="009A608B" w:rsidRDefault="00771542" w:rsidP="00771542">
      <w:pPr>
        <w:spacing w:after="240"/>
        <w:ind w:left="567" w:hanging="567"/>
        <w:rPr>
          <w:b/>
          <w:i/>
          <w:szCs w:val="24"/>
        </w:rPr>
      </w:pPr>
      <w:r w:rsidRPr="009A608B">
        <w:rPr>
          <w:b/>
          <w:i/>
        </w:rPr>
        <w:t>Personāla politika</w:t>
      </w:r>
    </w:p>
    <w:p w:rsidR="00771542" w:rsidRPr="009A608B" w:rsidRDefault="00771542" w:rsidP="00771542">
      <w:pPr>
        <w:pStyle w:val="NormalHanging12a"/>
        <w:rPr>
          <w:szCs w:val="24"/>
        </w:rPr>
      </w:pPr>
      <w:r w:rsidRPr="009A608B">
        <w:t>12.</w:t>
      </w:r>
      <w:r w:rsidRPr="009A608B">
        <w:tab/>
        <w:t>ņem vērā to, ka 2022. gada 31. decembrī štatu saraksts bija nostabilizējies un bija aizpildīti 99,06 % no štatu sarakstā paredzētajām amata vietām, un darbā bija pieņemti 210 ierēdņi un pagaidu darbinieki no Savienības budžetā apstiprinātajām 212 vietām (tāpat kā 2021. gadā); ņem vērā, ka 2022. gadā Aģentūrā strādāja arī 28 līgumdarbinieki un 16 norīkotie valstu eksperti;</w:t>
      </w:r>
    </w:p>
    <w:p w:rsidR="00771542" w:rsidRPr="009A608B" w:rsidRDefault="00771542" w:rsidP="00771542">
      <w:pPr>
        <w:pStyle w:val="NormalHanging12a"/>
      </w:pPr>
      <w:r w:rsidRPr="009A608B">
        <w:t>13.</w:t>
      </w:r>
      <w:r w:rsidRPr="009A608B">
        <w:tab/>
        <w:t>norāda, ka Aģentūras augstākās un vidējā līmeņa vadības darbinieku vidū trūkst dzimumu līdzsvara, proti, 5 no 16 darbiniekiem (31 %) ir sievietes; norāda, ka dzimumu līdzsvara trūkst arī Aģentūras Administratīvajā padomē, proti, 10 no 57 tās locekļiem (18 %) ir sievietes; tāpat pieņem zināšanai dzimumu līdzsvara trūkumu Aģentūras kopējā darbinieku skaitā, proti, to, ka 99 no 264 darbiniekiem (38 %) ir sievietes; atgādina, ka ir svarīgi nodrošināt dzimumu līdzsvaru, un aicina Aģentūru ņemt vērā šo aspektu, nākotnē pieņemot darbā darbiniekus un ieceļot amatā augstākā un vidējā līmeņa vadītājus; šajā sakarībā atzinīgi vērtē to, ka Aģentūra ir sākusi īstenot Dzimumu līdztiesības rīcības plānu 2022.–2025. gadam, galveno uzmanību pievēršot dzimumu līdzsvara un līdztiesības uzlabošanai ilgtermiņā, pamatojoties uz kvalitāti; aicina Komisiju un dalībvalstis ņemt vērā to, cik svarīgi ir nodrošināt dzimumu līdzsvaru, kad tās izvirza savus kandidātus Aģentūras Administratīvās padomes locekļu amatam; mudina Aģentūru arī pieņemt daudzveidības un iekļaušanas hartu un turpināt piedalīties iniciatīvās, kas veicina daudzveidību un iekļaušanu darbavietā visos hierarhijas līmeņos;</w:t>
      </w:r>
    </w:p>
    <w:p w:rsidR="00771542" w:rsidRPr="009A608B" w:rsidRDefault="00771542" w:rsidP="00771542">
      <w:pPr>
        <w:spacing w:after="240"/>
        <w:ind w:left="567" w:hanging="567"/>
      </w:pPr>
      <w:r w:rsidRPr="009A608B">
        <w:t>14.</w:t>
      </w:r>
      <w:r w:rsidRPr="009A608B">
        <w:tab/>
        <w:t>uzsver, ka norīkoto valsts ekspertu pieņemšana darbā joprojām ir problemātiska, ņemot vērā grūtības piesaistīt ekspertus no dalībvalstīm, norāda, ka Aģentūrai ir bijuši daži neveiksmīgi konkursa uzaicinājumi; ierosina dot iespēju iekšējiem līgumdarbiniekiem pāriet uz nākamo funkciju grupu, piedaloties vispārējā atlases procedūrā; attiecībā uz efektivitātes pieaugumu ņem vērā, ka Aģentūra tiecas uzlabot savas procedūras, lai palielinātu efektivitāti un lietderību un pēc iespējas labāk izmantotu savus cilvēkresursus un finanšu resursus, un strādā, lai to panāktu;</w:t>
      </w:r>
    </w:p>
    <w:p w:rsidR="00771542" w:rsidRPr="009A608B" w:rsidRDefault="00771542" w:rsidP="00771542">
      <w:pPr>
        <w:pStyle w:val="NormalHanging12a"/>
      </w:pPr>
      <w:r w:rsidRPr="009A608B">
        <w:t>15.</w:t>
      </w:r>
      <w:r w:rsidRPr="009A608B">
        <w:tab/>
        <w:t>atzinīgi vērtē to, ka saistībā ar aizskarošas izturēšanās novēršanu darbavietā tika iecelti seši jauni konfidenciālie padomnieki pēc tam, kad viņi bija sekmīgi pabeiguši obligāto apmācību, un tagad šie padomnieki aktīvi darbojas Aģentūrā;</w:t>
      </w:r>
    </w:p>
    <w:p w:rsidR="00771542" w:rsidRPr="009A608B" w:rsidRDefault="00771542" w:rsidP="00771542">
      <w:pPr>
        <w:pStyle w:val="NormalHanging12a"/>
      </w:pPr>
      <w:r w:rsidRPr="009A608B">
        <w:t>16.</w:t>
      </w:r>
      <w:r w:rsidRPr="009A608B">
        <w:tab/>
        <w:t xml:space="preserve">norāda, ka Aģentūra sāka cilvēkresursu stratēģijas projektu, apspriežoties ar darbiniekiem, vadību un Personāla komiteju, projektu, kura mērķis ir izveidot tiešsaistes </w:t>
      </w:r>
      <w:proofErr w:type="spellStart"/>
      <w:r w:rsidRPr="009A608B">
        <w:lastRenderedPageBreak/>
        <w:t>ievadprogrammu</w:t>
      </w:r>
      <w:proofErr w:type="spellEnd"/>
      <w:r w:rsidRPr="009A608B">
        <w:t xml:space="preserve"> jaunajiem darbiniekiem, un sagatavošanas darbu saistībā ar lēmumu par darba laiku un </w:t>
      </w:r>
      <w:proofErr w:type="spellStart"/>
      <w:r w:rsidRPr="009A608B">
        <w:t>hibrīddarbu</w:t>
      </w:r>
      <w:proofErr w:type="spellEnd"/>
      <w:r w:rsidRPr="009A608B">
        <w:t xml:space="preserve">, ko bija paredzēts pieņemt 2023. gadā; prasa Aģentūrai turpināt informēt budžeta izpildes </w:t>
      </w:r>
      <w:proofErr w:type="spellStart"/>
      <w:r w:rsidRPr="009A608B">
        <w:t>apstiprinātājiestādi</w:t>
      </w:r>
      <w:proofErr w:type="spellEnd"/>
      <w:r w:rsidRPr="009A608B">
        <w:t xml:space="preserve"> par šajā jomā panākto progresu;</w:t>
      </w:r>
    </w:p>
    <w:p w:rsidR="00771542" w:rsidRPr="009A608B" w:rsidRDefault="00771542" w:rsidP="00771542">
      <w:pPr>
        <w:pStyle w:val="NormalHanging12a"/>
        <w:rPr>
          <w:b/>
          <w:i/>
          <w:szCs w:val="24"/>
        </w:rPr>
      </w:pPr>
      <w:proofErr w:type="spellStart"/>
      <w:r w:rsidRPr="009A608B">
        <w:rPr>
          <w:b/>
          <w:i/>
        </w:rPr>
        <w:t>Pārredzamība</w:t>
      </w:r>
      <w:proofErr w:type="spellEnd"/>
      <w:r w:rsidRPr="009A608B">
        <w:rPr>
          <w:b/>
          <w:i/>
        </w:rPr>
        <w:t xml:space="preserve"> un interešu konfliktu novēršana un pārvaldība</w:t>
      </w:r>
    </w:p>
    <w:p w:rsidR="00771542" w:rsidRPr="009A608B" w:rsidRDefault="00771542" w:rsidP="00771542">
      <w:pPr>
        <w:spacing w:after="240"/>
        <w:ind w:left="567" w:hanging="567"/>
        <w:rPr>
          <w:szCs w:val="24"/>
        </w:rPr>
      </w:pPr>
      <w:r w:rsidRPr="009A608B">
        <w:t>17.</w:t>
      </w:r>
      <w:r w:rsidRPr="009A608B">
        <w:tab/>
        <w:t>pieņem zināšanai to, ka Aģentūras Administratīvās padomes locekļi un aizstājēji tiek lūgti viņu iecelšanas brīdī un katru gadu parakstīt saistību un konfidencialitātes deklarāciju, lai katras Administratīvās padomes sanāksmes sākumā deklarētu jebkādu (potenciālu) interešu konfliktu, ko varētu uzskatīt par kaitējošu jebkura darba kārtības punkta izskatīšanai; norāda, ka visiem darbiniekiem (tostarp augstākajai vadībai, kas iesaistīta konkrētās procedūrās) ir jādeklarē (</w:t>
      </w:r>
      <w:r w:rsidR="00051A60" w:rsidRPr="009A608B">
        <w:t>iespējamie</w:t>
      </w:r>
      <w:r w:rsidRPr="009A608B">
        <w:t xml:space="preserve">) interešu </w:t>
      </w:r>
      <w:r w:rsidR="00051A60" w:rsidRPr="009A608B">
        <w:t xml:space="preserve">konflikti </w:t>
      </w:r>
      <w:r w:rsidRPr="009A608B">
        <w:t>dažādās procedūrās, piemēram, iepirkuma un darbā pieņemšanas procedūrās; pieņem zināšanai, ka 2022. gadā atlases komitejas loceklis darbā pieņemšanas procedūrā paziņoja par vienu interešu konflikta gadījumu un pēc deklarētā konflikta analīzes šis loceklis tika aizstāts;</w:t>
      </w:r>
    </w:p>
    <w:p w:rsidR="00771542" w:rsidRPr="009A608B" w:rsidRDefault="00771542" w:rsidP="00771542">
      <w:pPr>
        <w:spacing w:after="240"/>
        <w:ind w:left="567" w:hanging="567"/>
        <w:rPr>
          <w:szCs w:val="24"/>
        </w:rPr>
      </w:pPr>
      <w:r w:rsidRPr="009A608B">
        <w:t>18.</w:t>
      </w:r>
      <w:r w:rsidRPr="009A608B">
        <w:tab/>
        <w:t xml:space="preserve">norāda, ka Aģentūra ir pieņēmusi </w:t>
      </w:r>
      <w:r w:rsidRPr="009A608B">
        <w:rPr>
          <w:i/>
          <w:iCs/>
        </w:rPr>
        <w:t>EMSA</w:t>
      </w:r>
      <w:r w:rsidRPr="009A608B">
        <w:t xml:space="preserve"> Administratīvās padomes interešu konfliktu politiku, nosakot principus, kas reglamentē tās locekļu un viņu aizstājēju objektivitāti un neatkarību, un definē pasākumus, ar kuriem nodrošina to praktisko piemērošanu, lai novērstu un mazinātu riskus, ka iepriekšējās, pašreizējās vai turpmākās intereses varētu neatbilstīgi ietekmēt Administratīvās padomes locekļu objektivitāti un neatkarību viņu pienākumu izpildes laikā;</w:t>
      </w:r>
    </w:p>
    <w:p w:rsidR="00771542" w:rsidRPr="009A608B" w:rsidRDefault="00771542" w:rsidP="00771542">
      <w:pPr>
        <w:spacing w:after="240"/>
        <w:ind w:left="567" w:hanging="567"/>
        <w:rPr>
          <w:szCs w:val="24"/>
        </w:rPr>
      </w:pPr>
      <w:r w:rsidRPr="009A608B">
        <w:t>19.</w:t>
      </w:r>
      <w:r w:rsidRPr="009A608B">
        <w:tab/>
        <w:t>pieņem zināšanai, ka Administratīvās padomes locekļu un vadības darbinieku CV ir publicēti Aģentūras tīmekļa vietnē;</w:t>
      </w:r>
    </w:p>
    <w:p w:rsidR="00771542" w:rsidRPr="009A608B" w:rsidRDefault="00771542" w:rsidP="00771542">
      <w:pPr>
        <w:pStyle w:val="Normal12Hanging"/>
        <w:rPr>
          <w:b/>
          <w:i/>
          <w:szCs w:val="24"/>
        </w:rPr>
      </w:pPr>
      <w:r w:rsidRPr="009A608B">
        <w:rPr>
          <w:b/>
          <w:i/>
        </w:rPr>
        <w:t>Citi komentāri</w:t>
      </w:r>
    </w:p>
    <w:p w:rsidR="00771542" w:rsidRPr="009A608B" w:rsidRDefault="00771542" w:rsidP="00771542">
      <w:pPr>
        <w:spacing w:after="240"/>
        <w:ind w:left="567" w:hanging="567"/>
        <w:rPr>
          <w:szCs w:val="24"/>
        </w:rPr>
      </w:pPr>
      <w:r w:rsidRPr="009A608B">
        <w:t>20.</w:t>
      </w:r>
      <w:r w:rsidRPr="009A608B">
        <w:tab/>
        <w:t>atzinīgi vērtē to, ka saskaņā ar Aģentūras riska pārvaldības sistēmu 2022. gadā riska reģistrs tika pilnībā atjaunināts un precizēts un ka šā uzdevuma laikā īpaša uzmanība tika pievērsta iespējamo ar krāpšanu saistīto risku un vispārējo iespēju apzināšanai; turklāt atzinīgi vērtē to, ka pēc Krievijas iebrukuma Ukrainā saistībā ar šo nopietno krīzi tika konstatēti vairāki jauni riski un iespējas un tie tika iekļauti atjauninātajos riska reģistros;</w:t>
      </w:r>
    </w:p>
    <w:p w:rsidR="00771542" w:rsidRPr="009A608B" w:rsidRDefault="00771542" w:rsidP="00771542">
      <w:pPr>
        <w:spacing w:after="240"/>
        <w:ind w:left="567" w:hanging="567"/>
        <w:rPr>
          <w:szCs w:val="24"/>
        </w:rPr>
      </w:pPr>
      <w:r w:rsidRPr="009A608B">
        <w:t>21.</w:t>
      </w:r>
      <w:r w:rsidRPr="009A608B">
        <w:tab/>
        <w:t xml:space="preserve">izsaka Aģentūrai atzinību par to, ka tā ir izstrādājusi vairākus </w:t>
      </w:r>
      <w:proofErr w:type="spellStart"/>
      <w:r w:rsidRPr="009A608B">
        <w:rPr>
          <w:i/>
          <w:iCs/>
        </w:rPr>
        <w:t>ad</w:t>
      </w:r>
      <w:proofErr w:type="spellEnd"/>
      <w:r w:rsidRPr="009A608B">
        <w:rPr>
          <w:i/>
          <w:iCs/>
        </w:rPr>
        <w:t> </w:t>
      </w:r>
      <w:proofErr w:type="spellStart"/>
      <w:r w:rsidRPr="009A608B">
        <w:rPr>
          <w:i/>
          <w:iCs/>
        </w:rPr>
        <w:t>hoc</w:t>
      </w:r>
      <w:proofErr w:type="spellEnd"/>
      <w:r w:rsidRPr="009A608B">
        <w:t xml:space="preserve"> produktus, lai palīdzētu dalībvalstīm un Komisijai īstenot ES sankcijas saistībā ar Krievijas Federācijas iebrukumu Ukrainā, piemēram, ziņošanu par kuģu piestāšanu ostā attiecībā uz īpašām kravām un karogiem; turklāt atzinīgi vērtē to, ka Aģentūra sagatavo un sniedz attiecīgajām ieinteresētajām personām ikmēneša ziņojumu par notikumu Ukrainā ietekmi uz jūras satiksmi un tirdzniecību;</w:t>
      </w:r>
    </w:p>
    <w:p w:rsidR="00771542" w:rsidRPr="009A608B" w:rsidRDefault="00771542" w:rsidP="00771542">
      <w:pPr>
        <w:spacing w:after="240"/>
        <w:ind w:left="567" w:hanging="567"/>
        <w:rPr>
          <w:szCs w:val="24"/>
        </w:rPr>
      </w:pPr>
      <w:r w:rsidRPr="009A608B">
        <w:t>22.</w:t>
      </w:r>
      <w:r w:rsidRPr="009A608B">
        <w:tab/>
        <w:t xml:space="preserve">atzinīgi vērtē to, ka Aģentūra 2022. gadā ir veikusi dažādus </w:t>
      </w:r>
      <w:proofErr w:type="spellStart"/>
      <w:r w:rsidRPr="009A608B">
        <w:t>zaļināšanas</w:t>
      </w:r>
      <w:proofErr w:type="spellEnd"/>
      <w:r w:rsidRPr="009A608B">
        <w:t xml:space="preserve"> pasākumus, piemēram, plašu </w:t>
      </w:r>
      <w:proofErr w:type="spellStart"/>
      <w:r w:rsidRPr="009A608B">
        <w:t>zaļināšanas</w:t>
      </w:r>
      <w:proofErr w:type="spellEnd"/>
      <w:r w:rsidRPr="009A608B">
        <w:t xml:space="preserve"> komunikācijas kampaņu, atkārtoti lietojamas stacionāras telpas izveidi, dalību Eiropas mobilitātes nedēļā un </w:t>
      </w:r>
      <w:proofErr w:type="spellStart"/>
      <w:r w:rsidRPr="009A608B">
        <w:t>pamattemperatūras</w:t>
      </w:r>
      <w:proofErr w:type="spellEnd"/>
      <w:r w:rsidRPr="009A608B">
        <w:t xml:space="preserve"> pazemināšanu telpās ziemas sezonā;</w:t>
      </w:r>
    </w:p>
    <w:p w:rsidR="00771542" w:rsidRPr="009A608B" w:rsidRDefault="00771542" w:rsidP="00771542">
      <w:pPr>
        <w:spacing w:after="240"/>
        <w:ind w:left="567" w:hanging="567"/>
        <w:rPr>
          <w:szCs w:val="24"/>
        </w:rPr>
      </w:pPr>
      <w:r w:rsidRPr="009A608B">
        <w:t>23.</w:t>
      </w:r>
      <w:r w:rsidRPr="009A608B">
        <w:tab/>
        <w:t xml:space="preserve">atgādina, ka Aģentūra 2019. gadā sāka </w:t>
      </w:r>
      <w:r w:rsidRPr="009A608B">
        <w:rPr>
          <w:i/>
          <w:iCs/>
        </w:rPr>
        <w:t>EMSA</w:t>
      </w:r>
      <w:r w:rsidRPr="009A608B">
        <w:t xml:space="preserve"> </w:t>
      </w:r>
      <w:proofErr w:type="spellStart"/>
      <w:r w:rsidRPr="009A608B">
        <w:t>zaļināšanas</w:t>
      </w:r>
      <w:proofErr w:type="spellEnd"/>
      <w:r w:rsidRPr="009A608B">
        <w:t xml:space="preserve"> projektu, lai ieviestu vides pārvaldību, un ka pēdējais posms ar ārējo verifikācijas revīziju notika 2022. gada janvārī; norāda, ka līdz ar to Aģentūra ir saņēmusi </w:t>
      </w:r>
      <w:r w:rsidRPr="009A608B">
        <w:rPr>
          <w:i/>
          <w:iCs/>
        </w:rPr>
        <w:t>EMAS</w:t>
      </w:r>
      <w:r w:rsidRPr="009A608B">
        <w:t xml:space="preserve"> marķējumu un ir publicēta tās </w:t>
      </w:r>
      <w:r w:rsidRPr="009A608B">
        <w:lastRenderedPageBreak/>
        <w:t>vides deklarācija;</w:t>
      </w:r>
    </w:p>
    <w:p w:rsidR="00771542" w:rsidRPr="009A608B" w:rsidRDefault="00771542" w:rsidP="00771542">
      <w:pPr>
        <w:spacing w:after="240"/>
        <w:ind w:left="567" w:hanging="567"/>
        <w:rPr>
          <w:szCs w:val="24"/>
        </w:rPr>
      </w:pPr>
      <w:r w:rsidRPr="009A608B">
        <w:t>24.</w:t>
      </w:r>
      <w:r w:rsidRPr="009A608B">
        <w:tab/>
        <w:t xml:space="preserve">norāda, ka Aģentūra ir pastiprinājusi sadarbību ar Eiropas Savienības </w:t>
      </w:r>
      <w:proofErr w:type="spellStart"/>
      <w:r w:rsidRPr="009A608B">
        <w:t>Kiberdrošības</w:t>
      </w:r>
      <w:proofErr w:type="spellEnd"/>
      <w:r w:rsidRPr="009A608B">
        <w:t xml:space="preserve"> aģentūru, piedaloties izmēģinājuma projektā par gaidāmās </w:t>
      </w:r>
      <w:proofErr w:type="spellStart"/>
      <w:r w:rsidRPr="009A608B">
        <w:t>Kiberdrošības</w:t>
      </w:r>
      <w:proofErr w:type="spellEnd"/>
      <w:r w:rsidRPr="009A608B">
        <w:t xml:space="preserve"> regulas turpmāku īstenošanu; turklāt ņem vērā, ka Aģentūra ir stiprinājusi sadarbību ar </w:t>
      </w:r>
      <w:r w:rsidRPr="009A608B">
        <w:rPr>
          <w:i/>
          <w:iCs/>
        </w:rPr>
        <w:t>CERT EU</w:t>
      </w:r>
      <w:r w:rsidRPr="009A608B">
        <w:t xml:space="preserve">, atjaunojot īpašu pakalpojumu līmeņa vienošanos, kurā tagad ir iekļauts vairāk darbību, piemēram, lielāks skaits drošības novērtējumu, un nodrošinot piekļuvi drošības notikumu uzraudzībai reāllaikā </w:t>
      </w:r>
      <w:r w:rsidRPr="009A608B">
        <w:rPr>
          <w:i/>
          <w:iCs/>
        </w:rPr>
        <w:t>EMSA</w:t>
      </w:r>
      <w:r w:rsidRPr="009A608B">
        <w:t xml:space="preserve"> IT infrastruktūrā; turklāt norāda, ka Aģentūra veic regulārus drošības novērtējumus kopā ar </w:t>
      </w:r>
      <w:r w:rsidRPr="009A608B">
        <w:rPr>
          <w:i/>
          <w:iCs/>
        </w:rPr>
        <w:t>CERT EU</w:t>
      </w:r>
      <w:r w:rsidRPr="009A608B">
        <w:t xml:space="preserve"> un Padomes Iestāžu drošības pakalpojumu sniedzēju;</w:t>
      </w:r>
    </w:p>
    <w:p w:rsidR="00771542" w:rsidRPr="009A608B" w:rsidRDefault="00771542" w:rsidP="00771542">
      <w:pPr>
        <w:spacing w:after="240"/>
        <w:ind w:left="567" w:hanging="567"/>
        <w:rPr>
          <w:szCs w:val="24"/>
        </w:rPr>
      </w:pPr>
      <w:r w:rsidRPr="009A608B">
        <w:t>25.</w:t>
      </w:r>
      <w:r w:rsidRPr="009A608B">
        <w:tab/>
        <w:t>ņem vērā, ka Aģentūra ir īstenojusi dažādus pasākumus, lai palielinātu savu publisko atpazīstamību un klātbūtni tiešsaistē, piemēram, rīkojot konferences, apmainoties ar videomateriāliem, kuros izskaidrotas Aģentūras galvenās darbības un kompetences, straumēšanu tiešraidē un “</w:t>
      </w:r>
      <w:r w:rsidRPr="009A608B">
        <w:rPr>
          <w:i/>
          <w:iCs/>
        </w:rPr>
        <w:t>EMSA</w:t>
      </w:r>
      <w:r w:rsidRPr="009A608B">
        <w:t xml:space="preserve"> atvērto durvju dienas” koncepcijas uzsākšanu;</w:t>
      </w:r>
    </w:p>
    <w:p w:rsidR="00771542" w:rsidRPr="009A608B" w:rsidRDefault="00771542" w:rsidP="00771542">
      <w:pPr>
        <w:pStyle w:val="NormalHanging12a"/>
      </w:pPr>
      <w:r w:rsidRPr="009A608B">
        <w:t>26.</w:t>
      </w:r>
      <w:r w:rsidRPr="009A608B">
        <w:tab/>
        <w:t xml:space="preserve">pauž atzinību par Aģentūras apņemšanos uzlabot savu </w:t>
      </w:r>
      <w:proofErr w:type="spellStart"/>
      <w:r w:rsidRPr="009A608B">
        <w:t>daudzvalodu</w:t>
      </w:r>
      <w:proofErr w:type="spellEnd"/>
      <w:r w:rsidRPr="009A608B">
        <w:t xml:space="preserve"> saziņu, lai nodrošinātu labāku pieejamību visiem Eiropas iedzīvotājiem; atzīmē, ka Aģentūras piecu gadu stratēģija, Eiropas jūras vides ziņojums un Eiropas jūras drošības ziņojums tagad ir pieejami visās 24 ES valodās;</w:t>
      </w:r>
    </w:p>
    <w:p w:rsidR="00771542" w:rsidRPr="009A608B" w:rsidRDefault="00771542" w:rsidP="00771542">
      <w:pPr>
        <w:spacing w:after="240"/>
        <w:ind w:left="567" w:hanging="567"/>
      </w:pPr>
      <w:r w:rsidRPr="009A608B">
        <w:t>27.</w:t>
      </w:r>
      <w:r w:rsidRPr="009A608B">
        <w:tab/>
        <w:t xml:space="preserve">uzsver Aģentūras darbību nozīmi jūras drošības jomā un prasa, lai tā turpinātu sniegt tehnisku palīdzību Komisijai inspekcijās, ko veic saskaņā ar Eiropas Parlamenta un Padomes Regulu (EK) Nr. 725/2004 par kuģu un ostas iekārtu drošības pastiprināšanu; uzsver, ka pēdējos gados ir būtiski palielinājies </w:t>
      </w:r>
      <w:proofErr w:type="spellStart"/>
      <w:r w:rsidRPr="009A608B">
        <w:t>kiberdrošības</w:t>
      </w:r>
      <w:proofErr w:type="spellEnd"/>
      <w:r w:rsidRPr="009A608B">
        <w:t xml:space="preserve"> incidentu skaits jūrniecības nozarē;</w:t>
      </w:r>
    </w:p>
    <w:p w:rsidR="00771542" w:rsidRPr="009A608B" w:rsidRDefault="00771542" w:rsidP="00771542">
      <w:pPr>
        <w:spacing w:after="240"/>
        <w:ind w:left="567" w:hanging="567"/>
      </w:pPr>
      <w:r w:rsidRPr="009A608B">
        <w:t>28.</w:t>
      </w:r>
      <w:r w:rsidRPr="009A608B">
        <w:tab/>
        <w:t xml:space="preserve">prasa veicināt jūrniecības nozares </w:t>
      </w:r>
      <w:proofErr w:type="spellStart"/>
      <w:r w:rsidRPr="009A608B">
        <w:t>digitalizāciju</w:t>
      </w:r>
      <w:proofErr w:type="spellEnd"/>
      <w:r w:rsidRPr="009A608B">
        <w:t>, atvieglojot datu elektronisku pārsūtīšanu, atbalstot vienkāršošanu un nodrošinot integrētas jūras uzraudzības un situācijas apzināšanās sistēmas un pakalpojumus Komisijai un dalībvalstīm;</w:t>
      </w:r>
    </w:p>
    <w:p w:rsidR="00771542" w:rsidRPr="009A608B" w:rsidRDefault="00771542" w:rsidP="00771542">
      <w:pPr>
        <w:pStyle w:val="NormalHanging12a"/>
      </w:pPr>
      <w:r w:rsidRPr="009A608B">
        <w:t>29.</w:t>
      </w:r>
      <w:r w:rsidRPr="009A608B">
        <w:tab/>
        <w:t>uzsver, ka salīdzinājumā ar pasaules flotes palielināšanos ES flote palielinās lēnāk (gan kuģu, gan tonnāžas ziņā); pēdējo piecu gadu laikā ES flotes apmērs palielinājās par 3,4 % pretstatā pasaules flotei, kuras pieaugums bija nozīmīgāks, proti, 7 %;</w:t>
      </w:r>
    </w:p>
    <w:p w:rsidR="00771542" w:rsidRPr="009A608B" w:rsidRDefault="00771542" w:rsidP="00771542">
      <w:pPr>
        <w:pStyle w:val="NormalCenter12a"/>
      </w:pPr>
      <w:r w:rsidRPr="009A608B">
        <w:t>°</w:t>
      </w:r>
    </w:p>
    <w:p w:rsidR="00771542" w:rsidRPr="009A608B" w:rsidRDefault="00771542" w:rsidP="00771542">
      <w:pPr>
        <w:pStyle w:val="NormalCenter12a"/>
      </w:pPr>
      <w:r w:rsidRPr="009A608B">
        <w:t>°</w:t>
      </w:r>
      <w:r w:rsidRPr="009A608B">
        <w:tab/>
        <w:t>°</w:t>
      </w:r>
    </w:p>
    <w:p w:rsidR="00771542" w:rsidRPr="009A608B" w:rsidRDefault="00771542" w:rsidP="009A608B">
      <w:pPr>
        <w:pStyle w:val="NormalHanging12a"/>
      </w:pPr>
      <w:r w:rsidRPr="009A608B">
        <w:t>30.</w:t>
      </w:r>
      <w:r w:rsidRPr="009A608B">
        <w:tab/>
        <w:t xml:space="preserve">attiecībā uz pārējiem horizontāla rakstura konstatējumiem, kas pievienoti lēmumam par budžeta izpildes apstiprināšanu, atsaucas uz </w:t>
      </w:r>
      <w:r w:rsidR="00051A60" w:rsidRPr="009A608B">
        <w:t xml:space="preserve">2024. gada 11. aprīļa </w:t>
      </w:r>
      <w:r w:rsidRPr="009A608B">
        <w:t>rezolūciju par aģentūru sniegumu, finanšu pārvaldību un kontroli</w:t>
      </w:r>
      <w:r w:rsidRPr="009A608B">
        <w:rPr>
          <w:rStyle w:val="FootnoteReference"/>
        </w:rPr>
        <w:footnoteReference w:id="12"/>
      </w:r>
      <w:r w:rsidRPr="009A608B">
        <w:t>.</w:t>
      </w:r>
    </w:p>
    <w:p w:rsidR="00E365E1" w:rsidRPr="009A608B" w:rsidRDefault="00E365E1" w:rsidP="00E94CE5">
      <w:bookmarkStart w:id="11" w:name="TextBodyEnd"/>
      <w:bookmarkEnd w:id="11"/>
    </w:p>
    <w:sectPr w:rsidR="00E365E1" w:rsidRPr="009A608B" w:rsidSect="00A5710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CE5" w:rsidRPr="00A5710A" w:rsidRDefault="00E94CE5">
      <w:r w:rsidRPr="00A5710A">
        <w:separator/>
      </w:r>
    </w:p>
  </w:endnote>
  <w:endnote w:type="continuationSeparator" w:id="0">
    <w:p w:rsidR="00E94CE5" w:rsidRPr="00A5710A" w:rsidRDefault="00E94CE5">
      <w:r w:rsidRPr="00A571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542" w:rsidRPr="00A5710A" w:rsidRDefault="00771542" w:rsidP="009315FA">
    <w:pPr>
      <w:pStyle w:val="EPFooter"/>
    </w:pPr>
    <w:r w:rsidRPr="00A5710A">
      <w:t>PE</w:t>
    </w:r>
    <w:r w:rsidRPr="00A5710A">
      <w:rPr>
        <w:rStyle w:val="HideTWBExt"/>
      </w:rPr>
      <w:t>&lt;NoPE&gt;</w:t>
    </w:r>
    <w:r w:rsidRPr="00A5710A">
      <w:t>753.526</w:t>
    </w:r>
    <w:r w:rsidRPr="00A5710A">
      <w:rPr>
        <w:rStyle w:val="HideTWBExt"/>
      </w:rPr>
      <w:t>&lt;/NoPE&gt;&lt;Version&gt;</w:t>
    </w:r>
    <w:r w:rsidRPr="00A5710A">
      <w:t>v02-00</w:t>
    </w:r>
    <w:r w:rsidRPr="00A5710A">
      <w:rPr>
        <w:rStyle w:val="HideTWBExt"/>
      </w:rPr>
      <w:t>&lt;/Version&gt;</w:t>
    </w:r>
    <w:r w:rsidRPr="00A5710A">
      <w:tab/>
    </w:r>
    <w:r w:rsidRPr="00A5710A">
      <w:fldChar w:fldCharType="begin"/>
    </w:r>
    <w:r w:rsidRPr="00A5710A">
      <w:instrText xml:space="preserve"> PAGE  \* MERGEFORMAT </w:instrText>
    </w:r>
    <w:r w:rsidRPr="00A5710A">
      <w:fldChar w:fldCharType="separate"/>
    </w:r>
    <w:r w:rsidR="00A5710A" w:rsidRPr="00A5710A">
      <w:rPr>
        <w:noProof/>
      </w:rPr>
      <w:t>2</w:t>
    </w:r>
    <w:r w:rsidRPr="00A5710A">
      <w:fldChar w:fldCharType="end"/>
    </w:r>
    <w:r w:rsidRPr="00A5710A">
      <w:t>/</w:t>
    </w:r>
    <w:r w:rsidR="00557105">
      <w:fldChar w:fldCharType="begin"/>
    </w:r>
    <w:r w:rsidR="00557105">
      <w:instrText xml:space="preserve"> NUMPAGES  \* MERGEFORMAT </w:instrText>
    </w:r>
    <w:r w:rsidR="00557105">
      <w:fldChar w:fldCharType="separate"/>
    </w:r>
    <w:r w:rsidR="00A5710A" w:rsidRPr="00A5710A">
      <w:rPr>
        <w:noProof/>
      </w:rPr>
      <w:t>3</w:t>
    </w:r>
    <w:r w:rsidR="00557105">
      <w:rPr>
        <w:noProof/>
      </w:rPr>
      <w:fldChar w:fldCharType="end"/>
    </w:r>
    <w:r w:rsidRPr="00A5710A">
      <w:tab/>
    </w:r>
    <w:r w:rsidRPr="00A5710A">
      <w:rPr>
        <w:rStyle w:val="HideTWBExt"/>
      </w:rPr>
      <w:t>&lt;PathFdR&gt;</w:t>
    </w:r>
    <w:r w:rsidRPr="00A5710A">
      <w:t>RR\1298830LV.docx</w:t>
    </w:r>
    <w:r w:rsidRPr="00A5710A">
      <w:rPr>
        <w:rStyle w:val="HideTWBExt"/>
      </w:rPr>
      <w:t>&lt;/PathFdR&gt;</w:t>
    </w:r>
  </w:p>
  <w:p w:rsidR="00771542" w:rsidRPr="00A5710A" w:rsidRDefault="00771542" w:rsidP="009315FA">
    <w:pPr>
      <w:pStyle w:val="EPFooter2"/>
    </w:pPr>
    <w:r w:rsidRPr="00A5710A">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542" w:rsidRPr="00A5710A" w:rsidRDefault="00771542" w:rsidP="009315F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542" w:rsidRPr="00A5710A" w:rsidRDefault="00771542" w:rsidP="009315FA">
    <w:pPr>
      <w:pStyle w:val="EPFooter"/>
    </w:pPr>
    <w:r w:rsidRPr="00A5710A">
      <w:rPr>
        <w:rStyle w:val="HideTWBExt"/>
      </w:rPr>
      <w:t>&lt;PathFdR&gt;</w:t>
    </w:r>
    <w:r w:rsidRPr="00A5710A">
      <w:t>RR\1298830LV.docx</w:t>
    </w:r>
    <w:r w:rsidRPr="00A5710A">
      <w:rPr>
        <w:rStyle w:val="HideTWBExt"/>
      </w:rPr>
      <w:t>&lt;/PathFdR&gt;</w:t>
    </w:r>
    <w:r w:rsidRPr="00A5710A">
      <w:tab/>
    </w:r>
    <w:r w:rsidRPr="00A5710A">
      <w:tab/>
      <w:t>PE</w:t>
    </w:r>
    <w:r w:rsidRPr="00A5710A">
      <w:rPr>
        <w:rStyle w:val="HideTWBExt"/>
      </w:rPr>
      <w:t>&lt;NoPE&gt;</w:t>
    </w:r>
    <w:r w:rsidRPr="00A5710A">
      <w:t>753.526</w:t>
    </w:r>
    <w:r w:rsidRPr="00A5710A">
      <w:rPr>
        <w:rStyle w:val="HideTWBExt"/>
      </w:rPr>
      <w:t>&lt;/NoPE&gt;&lt;Version&gt;</w:t>
    </w:r>
    <w:r w:rsidRPr="00A5710A">
      <w:t>v02-00</w:t>
    </w:r>
    <w:r w:rsidRPr="00A5710A">
      <w:rPr>
        <w:rStyle w:val="HideTWBExt"/>
      </w:rPr>
      <w:t>&lt;/Version&gt;</w:t>
    </w:r>
  </w:p>
  <w:p w:rsidR="00771542" w:rsidRPr="00A5710A" w:rsidRDefault="00771542" w:rsidP="009315FA">
    <w:pPr>
      <w:pStyle w:val="EPFooter2"/>
    </w:pPr>
    <w:r w:rsidRPr="00A5710A">
      <w:t>LV</w:t>
    </w:r>
    <w:r w:rsidRPr="00A5710A">
      <w:tab/>
    </w:r>
    <w:r w:rsidRPr="00A5710A">
      <w:rPr>
        <w:b w:val="0"/>
        <w:i/>
        <w:color w:val="C0C0C0"/>
        <w:sz w:val="22"/>
      </w:rPr>
      <w:t>Vienoti daudzveidībā</w:t>
    </w:r>
    <w:r w:rsidRPr="00A5710A">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10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10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1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CE5" w:rsidRPr="00A5710A" w:rsidRDefault="00E94CE5">
      <w:r w:rsidRPr="00A5710A">
        <w:separator/>
      </w:r>
    </w:p>
  </w:footnote>
  <w:footnote w:type="continuationSeparator" w:id="0">
    <w:p w:rsidR="00E94CE5" w:rsidRPr="00A5710A" w:rsidRDefault="00E94CE5">
      <w:r w:rsidRPr="00A5710A">
        <w:continuationSeparator/>
      </w:r>
    </w:p>
  </w:footnote>
  <w:footnote w:id="1">
    <w:p w:rsidR="00771542" w:rsidRPr="00A5710A" w:rsidRDefault="00771542" w:rsidP="00A5710A">
      <w:pPr>
        <w:pStyle w:val="FootnoteText"/>
        <w:ind w:left="567" w:hanging="567"/>
        <w:rPr>
          <w:sz w:val="24"/>
          <w:lang w:val="lv-LV"/>
        </w:rPr>
      </w:pPr>
      <w:r w:rsidRPr="00A5710A">
        <w:rPr>
          <w:rStyle w:val="FootnoteReference"/>
          <w:sz w:val="24"/>
          <w:lang w:val="lv-LV"/>
        </w:rPr>
        <w:footnoteRef/>
      </w:r>
      <w:r w:rsidR="00A5710A" w:rsidRPr="00A5710A">
        <w:rPr>
          <w:sz w:val="24"/>
          <w:lang w:val="lv-LV"/>
        </w:rPr>
        <w:t xml:space="preserve"> </w:t>
      </w:r>
      <w:r w:rsidR="00A5710A" w:rsidRPr="00A5710A">
        <w:rPr>
          <w:sz w:val="24"/>
          <w:lang w:val="lv-LV"/>
        </w:rPr>
        <w:tab/>
      </w:r>
      <w:r w:rsidRPr="00A5710A">
        <w:rPr>
          <w:sz w:val="24"/>
          <w:lang w:val="lv-LV"/>
        </w:rPr>
        <w:t>OV C, C/2023/594, 27.10.2023.</w:t>
      </w:r>
    </w:p>
  </w:footnote>
  <w:footnote w:id="2">
    <w:p w:rsidR="00771542" w:rsidRPr="00A5710A" w:rsidRDefault="00771542" w:rsidP="00A5710A">
      <w:pPr>
        <w:pStyle w:val="FootnoteText"/>
        <w:ind w:left="567" w:hanging="567"/>
        <w:rPr>
          <w:sz w:val="24"/>
          <w:lang w:val="lv-LV"/>
        </w:rPr>
      </w:pPr>
      <w:r w:rsidRPr="00A5710A">
        <w:rPr>
          <w:rStyle w:val="FootnoteReference"/>
          <w:sz w:val="24"/>
          <w:lang w:val="lv-LV"/>
        </w:rPr>
        <w:footnoteRef/>
      </w:r>
      <w:r w:rsidR="00A5710A" w:rsidRPr="00A5710A">
        <w:rPr>
          <w:sz w:val="24"/>
          <w:lang w:val="lv-LV"/>
        </w:rPr>
        <w:t xml:space="preserve"> </w:t>
      </w:r>
      <w:r w:rsidR="00A5710A" w:rsidRPr="00A5710A">
        <w:rPr>
          <w:sz w:val="24"/>
          <w:lang w:val="lv-LV"/>
        </w:rPr>
        <w:tab/>
      </w:r>
      <w:r w:rsidRPr="00A5710A">
        <w:rPr>
          <w:sz w:val="24"/>
          <w:lang w:val="lv-LV"/>
        </w:rPr>
        <w:t>OV C, C/2023/112, 12.10.2023.</w:t>
      </w:r>
    </w:p>
  </w:footnote>
  <w:footnote w:id="3">
    <w:p w:rsidR="00771542" w:rsidRPr="00A5710A" w:rsidRDefault="00771542" w:rsidP="00A5710A">
      <w:pPr>
        <w:pStyle w:val="FootnoteText"/>
        <w:ind w:left="567" w:hanging="567"/>
        <w:rPr>
          <w:sz w:val="24"/>
          <w:lang w:val="lv-LV"/>
        </w:rPr>
      </w:pPr>
      <w:r w:rsidRPr="00A5710A">
        <w:rPr>
          <w:rStyle w:val="FootnoteReference"/>
          <w:sz w:val="24"/>
          <w:lang w:val="lv-LV"/>
        </w:rPr>
        <w:footnoteRef/>
      </w:r>
      <w:r w:rsidR="00A5710A" w:rsidRPr="00A5710A">
        <w:rPr>
          <w:sz w:val="24"/>
          <w:lang w:val="lv-LV"/>
        </w:rPr>
        <w:t xml:space="preserve"> </w:t>
      </w:r>
      <w:r w:rsidR="00A5710A" w:rsidRPr="00A5710A">
        <w:rPr>
          <w:sz w:val="24"/>
          <w:lang w:val="lv-LV"/>
        </w:rPr>
        <w:tab/>
      </w:r>
      <w:r w:rsidRPr="00A5710A">
        <w:rPr>
          <w:sz w:val="24"/>
          <w:lang w:val="lv-LV"/>
        </w:rPr>
        <w:t>OV L 193, 30.7.2018., 1. lpp.</w:t>
      </w:r>
    </w:p>
  </w:footnote>
  <w:footnote w:id="4">
    <w:p w:rsidR="00771542" w:rsidRPr="00A5710A" w:rsidRDefault="00771542" w:rsidP="00A5710A">
      <w:pPr>
        <w:pStyle w:val="FootnoteText"/>
        <w:ind w:left="567" w:hanging="567"/>
        <w:rPr>
          <w:sz w:val="24"/>
          <w:lang w:val="lv-LV"/>
        </w:rPr>
      </w:pPr>
      <w:r w:rsidRPr="00A5710A">
        <w:rPr>
          <w:rStyle w:val="FootnoteReference"/>
          <w:sz w:val="24"/>
          <w:lang w:val="lv-LV"/>
        </w:rPr>
        <w:footnoteRef/>
      </w:r>
      <w:r w:rsidR="00A5710A" w:rsidRPr="00A5710A">
        <w:rPr>
          <w:sz w:val="24"/>
          <w:lang w:val="lv-LV"/>
        </w:rPr>
        <w:t xml:space="preserve"> </w:t>
      </w:r>
      <w:r w:rsidR="00A5710A" w:rsidRPr="00A5710A">
        <w:rPr>
          <w:sz w:val="24"/>
          <w:lang w:val="lv-LV"/>
        </w:rPr>
        <w:tab/>
      </w:r>
      <w:r w:rsidRPr="00A5710A">
        <w:rPr>
          <w:sz w:val="24"/>
          <w:lang w:val="lv-LV"/>
        </w:rPr>
        <w:t>OV L 208, 5.8.2002., 1. lpp.</w:t>
      </w:r>
    </w:p>
  </w:footnote>
  <w:footnote w:id="5">
    <w:p w:rsidR="00771542" w:rsidRPr="00A5710A" w:rsidRDefault="00771542" w:rsidP="00A5710A">
      <w:pPr>
        <w:pStyle w:val="FootnoteText"/>
        <w:ind w:left="567" w:hanging="567"/>
        <w:rPr>
          <w:sz w:val="24"/>
          <w:lang w:val="lv-LV"/>
        </w:rPr>
      </w:pPr>
      <w:r w:rsidRPr="00A5710A">
        <w:rPr>
          <w:rStyle w:val="FootnoteReference"/>
          <w:sz w:val="24"/>
          <w:lang w:val="lv-LV"/>
        </w:rPr>
        <w:footnoteRef/>
      </w:r>
      <w:r w:rsidR="00A5710A" w:rsidRPr="00A5710A">
        <w:rPr>
          <w:sz w:val="24"/>
          <w:lang w:val="lv-LV"/>
        </w:rPr>
        <w:t xml:space="preserve"> </w:t>
      </w:r>
      <w:r w:rsidR="00A5710A" w:rsidRPr="00A5710A">
        <w:rPr>
          <w:sz w:val="24"/>
          <w:lang w:val="lv-LV"/>
        </w:rPr>
        <w:tab/>
      </w:r>
      <w:r w:rsidRPr="00A5710A">
        <w:rPr>
          <w:sz w:val="24"/>
          <w:lang w:val="lv-LV"/>
        </w:rPr>
        <w:t>OV L 122, 10.5.2019., 1. lpp.</w:t>
      </w:r>
    </w:p>
  </w:footnote>
  <w:footnote w:id="6">
    <w:p w:rsidR="00771542" w:rsidRPr="00A5710A" w:rsidRDefault="00771542" w:rsidP="00A5710A">
      <w:pPr>
        <w:pStyle w:val="FootnoteText"/>
        <w:ind w:left="567" w:hanging="567"/>
        <w:rPr>
          <w:sz w:val="24"/>
          <w:lang w:val="lv-LV"/>
        </w:rPr>
      </w:pPr>
      <w:r w:rsidRPr="00A5710A">
        <w:rPr>
          <w:rStyle w:val="FootnoteReference"/>
          <w:sz w:val="24"/>
          <w:lang w:val="lv-LV"/>
        </w:rPr>
        <w:footnoteRef/>
      </w:r>
      <w:r w:rsidR="00A5710A" w:rsidRPr="00A5710A">
        <w:rPr>
          <w:sz w:val="24"/>
          <w:lang w:val="lv-LV"/>
        </w:rPr>
        <w:t xml:space="preserve"> </w:t>
      </w:r>
      <w:r w:rsidR="00A5710A" w:rsidRPr="00A5710A">
        <w:rPr>
          <w:sz w:val="24"/>
          <w:lang w:val="lv-LV"/>
        </w:rPr>
        <w:tab/>
      </w:r>
      <w:r w:rsidRPr="00A5710A">
        <w:rPr>
          <w:sz w:val="24"/>
          <w:lang w:val="lv-LV"/>
        </w:rPr>
        <w:t>OV C, C/2023/594, 27.10.2023.</w:t>
      </w:r>
    </w:p>
  </w:footnote>
  <w:footnote w:id="7">
    <w:p w:rsidR="00771542" w:rsidRPr="00A5710A" w:rsidRDefault="00771542" w:rsidP="00A5710A">
      <w:pPr>
        <w:pStyle w:val="FootnoteText"/>
        <w:ind w:left="567" w:hanging="567"/>
        <w:rPr>
          <w:sz w:val="24"/>
          <w:lang w:val="lv-LV"/>
        </w:rPr>
      </w:pPr>
      <w:r w:rsidRPr="00A5710A">
        <w:rPr>
          <w:rStyle w:val="FootnoteReference"/>
          <w:sz w:val="24"/>
          <w:lang w:val="lv-LV"/>
        </w:rPr>
        <w:footnoteRef/>
      </w:r>
      <w:r w:rsidR="00A5710A" w:rsidRPr="00A5710A">
        <w:rPr>
          <w:sz w:val="24"/>
          <w:lang w:val="lv-LV"/>
        </w:rPr>
        <w:t xml:space="preserve"> </w:t>
      </w:r>
      <w:r w:rsidR="00A5710A" w:rsidRPr="00A5710A">
        <w:rPr>
          <w:sz w:val="24"/>
          <w:lang w:val="lv-LV"/>
        </w:rPr>
        <w:tab/>
      </w:r>
      <w:r w:rsidRPr="00A5710A">
        <w:rPr>
          <w:sz w:val="24"/>
          <w:lang w:val="lv-LV"/>
        </w:rPr>
        <w:t>OV C, C/2023/112, 12.10.2023.</w:t>
      </w:r>
    </w:p>
  </w:footnote>
  <w:footnote w:id="8">
    <w:p w:rsidR="00771542" w:rsidRPr="00A5710A" w:rsidRDefault="00771542" w:rsidP="00A5710A">
      <w:pPr>
        <w:pStyle w:val="FootnoteText"/>
        <w:ind w:left="567" w:hanging="567"/>
        <w:rPr>
          <w:sz w:val="24"/>
          <w:lang w:val="lv-LV"/>
        </w:rPr>
      </w:pPr>
      <w:r w:rsidRPr="00A5710A">
        <w:rPr>
          <w:rStyle w:val="FootnoteReference"/>
          <w:sz w:val="24"/>
          <w:lang w:val="lv-LV"/>
        </w:rPr>
        <w:footnoteRef/>
      </w:r>
      <w:r w:rsidR="00A5710A" w:rsidRPr="00A5710A">
        <w:rPr>
          <w:sz w:val="24"/>
          <w:lang w:val="lv-LV"/>
        </w:rPr>
        <w:t xml:space="preserve"> </w:t>
      </w:r>
      <w:r w:rsidR="00A5710A" w:rsidRPr="00A5710A">
        <w:rPr>
          <w:sz w:val="24"/>
          <w:lang w:val="lv-LV"/>
        </w:rPr>
        <w:tab/>
      </w:r>
      <w:r w:rsidRPr="00A5710A">
        <w:rPr>
          <w:sz w:val="24"/>
          <w:lang w:val="lv-LV"/>
        </w:rPr>
        <w:t>OV L 193, 30.7.2018., 1. lpp.</w:t>
      </w:r>
    </w:p>
  </w:footnote>
  <w:footnote w:id="9">
    <w:p w:rsidR="00771542" w:rsidRPr="00A5710A" w:rsidRDefault="00771542" w:rsidP="00A5710A">
      <w:pPr>
        <w:pStyle w:val="FootnoteText"/>
        <w:ind w:left="567" w:hanging="567"/>
        <w:rPr>
          <w:sz w:val="24"/>
          <w:lang w:val="lv-LV"/>
        </w:rPr>
      </w:pPr>
      <w:r w:rsidRPr="00A5710A">
        <w:rPr>
          <w:rStyle w:val="FootnoteReference"/>
          <w:sz w:val="24"/>
          <w:lang w:val="lv-LV"/>
        </w:rPr>
        <w:footnoteRef/>
      </w:r>
      <w:r w:rsidR="00A5710A" w:rsidRPr="00A5710A">
        <w:rPr>
          <w:sz w:val="24"/>
          <w:lang w:val="lv-LV"/>
        </w:rPr>
        <w:t xml:space="preserve"> </w:t>
      </w:r>
      <w:r w:rsidR="00A5710A" w:rsidRPr="00A5710A">
        <w:rPr>
          <w:sz w:val="24"/>
          <w:lang w:val="lv-LV"/>
        </w:rPr>
        <w:tab/>
      </w:r>
      <w:r w:rsidRPr="00A5710A">
        <w:rPr>
          <w:sz w:val="24"/>
          <w:lang w:val="lv-LV"/>
        </w:rPr>
        <w:t>OV L 208, 5.8.2002., 1. lpp.</w:t>
      </w:r>
    </w:p>
  </w:footnote>
  <w:footnote w:id="10">
    <w:p w:rsidR="00771542" w:rsidRPr="00A5710A" w:rsidRDefault="00771542" w:rsidP="00A5710A">
      <w:pPr>
        <w:pStyle w:val="FootnoteText"/>
        <w:ind w:left="567" w:hanging="567"/>
        <w:rPr>
          <w:sz w:val="24"/>
          <w:lang w:val="lv-LV"/>
        </w:rPr>
      </w:pPr>
      <w:r w:rsidRPr="00A5710A">
        <w:rPr>
          <w:rStyle w:val="FootnoteReference"/>
          <w:sz w:val="24"/>
          <w:lang w:val="lv-LV"/>
        </w:rPr>
        <w:footnoteRef/>
      </w:r>
      <w:r w:rsidR="00A5710A" w:rsidRPr="00A5710A">
        <w:rPr>
          <w:sz w:val="24"/>
          <w:lang w:val="lv-LV"/>
        </w:rPr>
        <w:t xml:space="preserve"> </w:t>
      </w:r>
      <w:r w:rsidR="00A5710A" w:rsidRPr="00A5710A">
        <w:rPr>
          <w:sz w:val="24"/>
          <w:lang w:val="lv-LV"/>
        </w:rPr>
        <w:tab/>
      </w:r>
      <w:r w:rsidRPr="00A5710A">
        <w:rPr>
          <w:sz w:val="24"/>
          <w:lang w:val="lv-LV"/>
        </w:rPr>
        <w:t>OV L 122, 10.5.2019., 1. lpp.</w:t>
      </w:r>
    </w:p>
  </w:footnote>
  <w:footnote w:id="11">
    <w:p w:rsidR="00771542" w:rsidRPr="00A5710A" w:rsidRDefault="00771542" w:rsidP="00A5710A">
      <w:pPr>
        <w:pStyle w:val="FootnoteText"/>
        <w:ind w:left="567" w:hanging="567"/>
        <w:rPr>
          <w:sz w:val="24"/>
          <w:lang w:val="lv-LV"/>
        </w:rPr>
      </w:pPr>
      <w:r w:rsidRPr="00A5710A">
        <w:rPr>
          <w:rStyle w:val="FootnoteReference"/>
          <w:sz w:val="24"/>
          <w:lang w:val="lv-LV"/>
        </w:rPr>
        <w:footnoteRef/>
      </w:r>
      <w:r w:rsidR="00A5710A" w:rsidRPr="00A5710A">
        <w:rPr>
          <w:sz w:val="24"/>
          <w:lang w:val="lv-LV"/>
        </w:rPr>
        <w:t xml:space="preserve"> </w:t>
      </w:r>
      <w:r w:rsidR="00A5710A" w:rsidRPr="00A5710A">
        <w:rPr>
          <w:sz w:val="24"/>
          <w:lang w:val="lv-LV"/>
        </w:rPr>
        <w:tab/>
      </w:r>
      <w:r w:rsidR="00557105">
        <w:rPr>
          <w:sz w:val="24"/>
          <w:lang w:val="lv-LV"/>
        </w:rPr>
        <w:t>OV C </w:t>
      </w:r>
      <w:r w:rsidR="00557105">
        <w:rPr>
          <w:sz w:val="24"/>
          <w:lang w:val="lv-LV"/>
        </w:rPr>
        <w:t>73</w:t>
      </w:r>
      <w:bookmarkStart w:id="10" w:name="_GoBack"/>
      <w:bookmarkEnd w:id="10"/>
      <w:r w:rsidR="00557105">
        <w:rPr>
          <w:sz w:val="24"/>
          <w:lang w:val="lv-LV"/>
        </w:rPr>
        <w:t>, 28.</w:t>
      </w:r>
      <w:r w:rsidRPr="00A5710A">
        <w:rPr>
          <w:sz w:val="24"/>
          <w:lang w:val="lv-LV"/>
        </w:rPr>
        <w:t>2.2023., 9</w:t>
      </w:r>
      <w:r w:rsidR="00557105">
        <w:rPr>
          <w:sz w:val="24"/>
          <w:lang w:val="lv-LV"/>
        </w:rPr>
        <w:t>1</w:t>
      </w:r>
      <w:r w:rsidRPr="00A5710A">
        <w:rPr>
          <w:sz w:val="24"/>
          <w:lang w:val="lv-LV"/>
        </w:rPr>
        <w:t>. lpp.</w:t>
      </w:r>
    </w:p>
  </w:footnote>
  <w:footnote w:id="12">
    <w:p w:rsidR="00771542" w:rsidRPr="00A5710A" w:rsidRDefault="00771542" w:rsidP="00A5710A">
      <w:pPr>
        <w:pStyle w:val="FootnoteText"/>
        <w:ind w:left="567" w:hanging="567"/>
        <w:rPr>
          <w:sz w:val="24"/>
          <w:lang w:val="lv-LV"/>
        </w:rPr>
      </w:pPr>
      <w:r w:rsidRPr="00A5710A">
        <w:rPr>
          <w:rStyle w:val="FootnoteReference"/>
          <w:sz w:val="24"/>
          <w:lang w:val="lv-LV"/>
        </w:rPr>
        <w:footnoteRef/>
      </w:r>
      <w:r w:rsidR="00A5710A" w:rsidRPr="00A5710A">
        <w:rPr>
          <w:sz w:val="24"/>
          <w:lang w:val="lv-LV"/>
        </w:rPr>
        <w:t xml:space="preserve"> </w:t>
      </w:r>
      <w:r w:rsidR="00A5710A" w:rsidRPr="00A5710A">
        <w:rPr>
          <w:sz w:val="24"/>
          <w:lang w:val="lv-LV"/>
        </w:rPr>
        <w:tab/>
      </w:r>
      <w:r w:rsidRPr="00A5710A">
        <w:rPr>
          <w:sz w:val="24"/>
          <w:lang w:val="lv-LV"/>
        </w:rPr>
        <w:t>Pieņemtie teksti, P9_TA(2024)0</w:t>
      </w:r>
      <w:r w:rsidR="009A608B">
        <w:rPr>
          <w:sz w:val="24"/>
          <w:lang w:val="lv-LV"/>
        </w:rPr>
        <w:t>28</w:t>
      </w:r>
      <w:r w:rsidRPr="00A5710A">
        <w:rPr>
          <w:sz w:val="24"/>
          <w:lang w:val="lv-LV"/>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542" w:rsidRPr="00A5710A" w:rsidRDefault="00771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542" w:rsidRPr="00A5710A" w:rsidRDefault="00771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542" w:rsidRPr="00A5710A" w:rsidRDefault="007715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10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10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1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LV"/>
    <w:docVar w:name="dvnumam" w:val="0"/>
    <w:docVar w:name="dvpe" w:val="753.526"/>
    <w:docVar w:name="dvrapporteur" w:val="Referents: "/>
    <w:docVar w:name="dvtitre" w:val="Eiropas Parlamenta 2024. gada XX. XXX lēmums par Eiropas Jūras drošības aģentūras 2022. finanšu gada budžeta izpildes apstiprināšanu(2023/2158(DEC))"/>
  </w:docVars>
  <w:rsids>
    <w:rsidRoot w:val="00E94CE5"/>
    <w:rsid w:val="00002272"/>
    <w:rsid w:val="00051A6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7105"/>
    <w:rsid w:val="00560270"/>
    <w:rsid w:val="005A063F"/>
    <w:rsid w:val="005C2568"/>
    <w:rsid w:val="006037C0"/>
    <w:rsid w:val="006631B6"/>
    <w:rsid w:val="00680577"/>
    <w:rsid w:val="006F74FA"/>
    <w:rsid w:val="00731ADD"/>
    <w:rsid w:val="00734777"/>
    <w:rsid w:val="00747932"/>
    <w:rsid w:val="00751A4A"/>
    <w:rsid w:val="00756632"/>
    <w:rsid w:val="00762C74"/>
    <w:rsid w:val="00771542"/>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608B"/>
    <w:rsid w:val="00A1687D"/>
    <w:rsid w:val="00A43E52"/>
    <w:rsid w:val="00A4678D"/>
    <w:rsid w:val="00A5710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4CE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C59D1"/>
  <w15:chartTrackingRefBased/>
  <w15:docId w15:val="{C5734CC6-5ABF-431D-A502-9D5A3199B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7154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71542"/>
    <w:pPr>
      <w:spacing w:before="480" w:after="240"/>
    </w:pPr>
  </w:style>
  <w:style w:type="paragraph" w:customStyle="1" w:styleId="PageHeading">
    <w:name w:val="PageHeading"/>
    <w:basedOn w:val="Normal"/>
    <w:rsid w:val="00771542"/>
    <w:pPr>
      <w:keepNext/>
      <w:spacing w:after="480"/>
      <w:jc w:val="center"/>
    </w:pPr>
    <w:rPr>
      <w:rFonts w:ascii="Arial" w:hAnsi="Arial" w:cs="Arial"/>
      <w:b/>
    </w:rPr>
  </w:style>
  <w:style w:type="paragraph" w:customStyle="1" w:styleId="NormalBold">
    <w:name w:val="NormalBold"/>
    <w:basedOn w:val="Normal"/>
    <w:rsid w:val="00771542"/>
    <w:rPr>
      <w:b/>
    </w:rPr>
  </w:style>
  <w:style w:type="paragraph" w:customStyle="1" w:styleId="NormalHanging12a">
    <w:name w:val="NormalHanging12a"/>
    <w:basedOn w:val="Normal"/>
    <w:link w:val="NormalHanging12aChar"/>
    <w:rsid w:val="00771542"/>
    <w:pPr>
      <w:spacing w:after="240"/>
      <w:ind w:left="567" w:hanging="567"/>
    </w:pPr>
  </w:style>
  <w:style w:type="paragraph" w:customStyle="1" w:styleId="NormalCenter12a">
    <w:name w:val="NormalCenter12a"/>
    <w:basedOn w:val="Normal"/>
    <w:rsid w:val="00771542"/>
    <w:pPr>
      <w:spacing w:after="240"/>
      <w:jc w:val="center"/>
    </w:pPr>
  </w:style>
  <w:style w:type="paragraph" w:styleId="Header">
    <w:name w:val="header"/>
    <w:basedOn w:val="Normal"/>
    <w:link w:val="HeaderChar"/>
    <w:rsid w:val="00771542"/>
    <w:pPr>
      <w:tabs>
        <w:tab w:val="center" w:pos="4513"/>
        <w:tab w:val="right" w:pos="9026"/>
      </w:tabs>
    </w:pPr>
  </w:style>
  <w:style w:type="character" w:customStyle="1" w:styleId="HeaderChar">
    <w:name w:val="Header Char"/>
    <w:basedOn w:val="DefaultParagraphFont"/>
    <w:link w:val="Header"/>
    <w:rsid w:val="00771542"/>
    <w:rPr>
      <w:sz w:val="24"/>
      <w:lang w:val="lv-LV"/>
    </w:rPr>
  </w:style>
  <w:style w:type="paragraph" w:customStyle="1" w:styleId="EPFooter">
    <w:name w:val="EPFooter"/>
    <w:basedOn w:val="Normal"/>
    <w:rsid w:val="0077154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71542"/>
    <w:rPr>
      <w:sz w:val="24"/>
      <w:lang w:val="lv-LV"/>
    </w:rPr>
  </w:style>
  <w:style w:type="paragraph" w:customStyle="1" w:styleId="Normal12Hanging">
    <w:name w:val="Normal12Hanging"/>
    <w:basedOn w:val="Normal"/>
    <w:rsid w:val="00771542"/>
    <w:pPr>
      <w:spacing w:after="240"/>
      <w:ind w:left="567" w:hanging="567"/>
    </w:pPr>
  </w:style>
  <w:style w:type="paragraph" w:styleId="BalloonText">
    <w:name w:val="Balloon Text"/>
    <w:basedOn w:val="Normal"/>
    <w:link w:val="BalloonTextChar"/>
    <w:rsid w:val="00051A60"/>
    <w:rPr>
      <w:rFonts w:ascii="Segoe UI" w:hAnsi="Segoe UI" w:cs="Segoe UI"/>
      <w:sz w:val="18"/>
      <w:szCs w:val="18"/>
    </w:rPr>
  </w:style>
  <w:style w:type="character" w:customStyle="1" w:styleId="BalloonTextChar">
    <w:name w:val="Balloon Text Char"/>
    <w:basedOn w:val="DefaultParagraphFont"/>
    <w:link w:val="BalloonText"/>
    <w:rsid w:val="00051A60"/>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B0439-E0D5-4B6F-914C-0E7070D10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2587</Words>
  <Characters>16780</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3</cp:revision>
  <cp:lastPrinted>2004-11-19T15:42:00Z</cp:lastPrinted>
  <dcterms:created xsi:type="dcterms:W3CDTF">2024-04-11T12:29:00Z</dcterms:created>
  <dcterms:modified xsi:type="dcterms:W3CDTF">2024-10-30T16:13:00Z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A9-0107/2024</vt:lpwstr>
  </property>
  <property fmtid="{D5CDD505-2E9C-101B-9397-08002B2CF9AE}" pid="4" name="&lt;Type&gt;">
    <vt:lpwstr>RR</vt:lpwstr>
  </property>
</Properties>
</file>