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1612" w14:paraId="5BEF0027" w14:textId="77777777" w:rsidTr="0010095E">
        <w:trPr>
          <w:trHeight w:hRule="exact" w:val="1418"/>
        </w:trPr>
        <w:tc>
          <w:tcPr>
            <w:tcW w:w="6804" w:type="dxa"/>
            <w:shd w:val="clear" w:color="auto" w:fill="auto"/>
            <w:vAlign w:val="center"/>
          </w:tcPr>
          <w:p w14:paraId="3EF3DD3E" w14:textId="77777777" w:rsidR="00751A4A" w:rsidRPr="005C1612" w:rsidRDefault="00DE40A6" w:rsidP="0010095E">
            <w:pPr>
              <w:pStyle w:val="EPName"/>
            </w:pPr>
            <w:r w:rsidRPr="005C1612">
              <w:t>Europees Parlement</w:t>
            </w:r>
          </w:p>
          <w:p w14:paraId="2C7B60DA" w14:textId="77777777" w:rsidR="00751A4A" w:rsidRPr="005C1612" w:rsidRDefault="00817416" w:rsidP="00756632">
            <w:pPr>
              <w:pStyle w:val="EPTerm"/>
              <w:rPr>
                <w:rStyle w:val="HideTWBExt"/>
                <w:noProof w:val="0"/>
                <w:vanish w:val="0"/>
                <w:color w:val="auto"/>
              </w:rPr>
            </w:pPr>
            <w:r w:rsidRPr="005C1612">
              <w:t>2019-2024</w:t>
            </w:r>
          </w:p>
        </w:tc>
        <w:tc>
          <w:tcPr>
            <w:tcW w:w="2268" w:type="dxa"/>
            <w:shd w:val="clear" w:color="auto" w:fill="auto"/>
          </w:tcPr>
          <w:p w14:paraId="143F500F" w14:textId="77777777" w:rsidR="00751A4A" w:rsidRPr="005C1612" w:rsidRDefault="00187494" w:rsidP="0010095E">
            <w:pPr>
              <w:pStyle w:val="EPLogo"/>
            </w:pPr>
            <w:r w:rsidRPr="005C1612">
              <w:rPr>
                <w:noProof/>
                <w:lang w:val="en-GB"/>
              </w:rPr>
              <w:drawing>
                <wp:inline distT="0" distB="0" distL="0" distR="0" wp14:anchorId="5933CC0F" wp14:editId="332852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E5B48D" w14:textId="77777777" w:rsidR="00D058B8" w:rsidRPr="005C1612" w:rsidRDefault="00D058B8" w:rsidP="004C5D52">
      <w:pPr>
        <w:pStyle w:val="LineTop"/>
      </w:pPr>
    </w:p>
    <w:p w14:paraId="594C8400" w14:textId="77777777" w:rsidR="00680577" w:rsidRPr="005C1612" w:rsidRDefault="00DE40A6" w:rsidP="00680577">
      <w:pPr>
        <w:pStyle w:val="EPBodyTA1"/>
      </w:pPr>
      <w:r w:rsidRPr="005C1612">
        <w:t>AANGENOMEN TEKSTEN</w:t>
      </w:r>
    </w:p>
    <w:p w14:paraId="6770DAB9" w14:textId="77777777" w:rsidR="00D058B8" w:rsidRPr="005C1612" w:rsidRDefault="00D058B8" w:rsidP="00D058B8">
      <w:pPr>
        <w:pStyle w:val="LineBottom"/>
      </w:pPr>
    </w:p>
    <w:p w14:paraId="6F83EC88" w14:textId="720A75A5" w:rsidR="00DE40A6" w:rsidRPr="005C1612" w:rsidRDefault="00DE40A6" w:rsidP="00DE40A6">
      <w:pPr>
        <w:pStyle w:val="ATHeading1"/>
      </w:pPr>
      <w:bookmarkStart w:id="0" w:name="TANumber"/>
      <w:r w:rsidRPr="005C1612">
        <w:t>P9_</w:t>
      </w:r>
      <w:proofErr w:type="gramStart"/>
      <w:r w:rsidRPr="005C1612">
        <w:t>TA(</w:t>
      </w:r>
      <w:proofErr w:type="gramEnd"/>
      <w:r w:rsidRPr="005C1612">
        <w:t>2024)</w:t>
      </w:r>
      <w:bookmarkEnd w:id="0"/>
      <w:r w:rsidR="005C1612" w:rsidRPr="005C1612">
        <w:t>0248</w:t>
      </w:r>
    </w:p>
    <w:p w14:paraId="33160AE1" w14:textId="77777777" w:rsidR="00DE40A6" w:rsidRPr="005C1612" w:rsidRDefault="00DE40A6" w:rsidP="00DE40A6">
      <w:pPr>
        <w:pStyle w:val="ATHeading2"/>
      </w:pPr>
      <w:bookmarkStart w:id="1" w:name="title"/>
      <w:r w:rsidRPr="005C1612">
        <w:t>Kwijting 2022: Europees Agentschap voor maritieme veiligheid</w:t>
      </w:r>
      <w:bookmarkEnd w:id="1"/>
    </w:p>
    <w:p w14:paraId="6FAC1BBF" w14:textId="77777777" w:rsidR="00DE40A6" w:rsidRPr="005C1612" w:rsidRDefault="00DE40A6" w:rsidP="00DE40A6">
      <w:pPr>
        <w:rPr>
          <w:i/>
          <w:vanish/>
        </w:rPr>
      </w:pPr>
      <w:r w:rsidRPr="005C1612">
        <w:rPr>
          <w:i/>
        </w:rPr>
        <w:fldChar w:fldCharType="begin"/>
      </w:r>
      <w:r w:rsidRPr="005C1612">
        <w:rPr>
          <w:i/>
        </w:rPr>
        <w:instrText xml:space="preserve"> TC"(</w:instrText>
      </w:r>
      <w:bookmarkStart w:id="2" w:name="DocNumber"/>
      <w:r w:rsidRPr="005C1612">
        <w:rPr>
          <w:i/>
        </w:rPr>
        <w:instrText>A9-0107/2024</w:instrText>
      </w:r>
      <w:bookmarkEnd w:id="2"/>
      <w:r w:rsidRPr="005C1612">
        <w:rPr>
          <w:i/>
        </w:rPr>
        <w:instrText xml:space="preserve"> - Rapporteur: Petri Sarvamaa)"\l3 \n&gt; \* MERGEFORMAT </w:instrText>
      </w:r>
      <w:r w:rsidRPr="005C1612">
        <w:rPr>
          <w:i/>
        </w:rPr>
        <w:fldChar w:fldCharType="end"/>
      </w:r>
    </w:p>
    <w:p w14:paraId="38B16F90" w14:textId="77777777" w:rsidR="00DE40A6" w:rsidRPr="005C1612" w:rsidRDefault="00DE40A6" w:rsidP="00DE40A6">
      <w:pPr>
        <w:rPr>
          <w:vanish/>
        </w:rPr>
      </w:pPr>
      <w:bookmarkStart w:id="3" w:name="Commission"/>
      <w:r w:rsidRPr="005C1612">
        <w:rPr>
          <w:vanish/>
        </w:rPr>
        <w:t>Commissie begrotingscontrole</w:t>
      </w:r>
      <w:bookmarkEnd w:id="3"/>
    </w:p>
    <w:p w14:paraId="0A11C6DA" w14:textId="77777777" w:rsidR="00DE40A6" w:rsidRPr="005C1612" w:rsidRDefault="00DE40A6" w:rsidP="00DE40A6">
      <w:pPr>
        <w:rPr>
          <w:vanish/>
        </w:rPr>
      </w:pPr>
      <w:bookmarkStart w:id="4" w:name="PE"/>
      <w:r w:rsidRPr="005C1612">
        <w:rPr>
          <w:vanish/>
        </w:rPr>
        <w:t>PE753.526</w:t>
      </w:r>
      <w:bookmarkEnd w:id="4"/>
    </w:p>
    <w:p w14:paraId="67063D02" w14:textId="77777777" w:rsidR="00DE40A6" w:rsidRPr="005C1612" w:rsidRDefault="00DE40A6" w:rsidP="00DE40A6">
      <w:pPr>
        <w:pStyle w:val="ATHeading3"/>
      </w:pPr>
      <w:bookmarkStart w:id="5" w:name="Sujet"/>
      <w:r w:rsidRPr="005C1612">
        <w:t>1. Besluit van het Europees Parlement van 11 april 2024 inzake het verlenen van kwijting voor de uitvoering van de begroting van het Europees Agentschap voor maritieme veiligheid voor het begrotingsjaar 2022</w:t>
      </w:r>
      <w:bookmarkEnd w:id="5"/>
      <w:r w:rsidRPr="005C1612">
        <w:t xml:space="preserve"> </w:t>
      </w:r>
      <w:bookmarkStart w:id="6" w:name="References"/>
      <w:r w:rsidRPr="005C1612">
        <w:t>(2023/2158(DEC))</w:t>
      </w:r>
      <w:bookmarkEnd w:id="6"/>
    </w:p>
    <w:p w14:paraId="755F6F2F" w14:textId="77777777" w:rsidR="00C343B1" w:rsidRPr="005C1612" w:rsidRDefault="00C343B1" w:rsidP="00C343B1">
      <w:pPr>
        <w:pStyle w:val="EPComma"/>
      </w:pPr>
      <w:bookmarkStart w:id="7" w:name="TextBodyBegin"/>
      <w:bookmarkEnd w:id="7"/>
      <w:r w:rsidRPr="005C1612">
        <w:rPr>
          <w:i/>
        </w:rPr>
        <w:t>Het Europees Parlement</w:t>
      </w:r>
      <w:r w:rsidRPr="005C1612">
        <w:t>,</w:t>
      </w:r>
    </w:p>
    <w:p w14:paraId="693948C5" w14:textId="77777777" w:rsidR="00C343B1" w:rsidRPr="005C1612" w:rsidRDefault="00C343B1" w:rsidP="00C343B1">
      <w:pPr>
        <w:pStyle w:val="NormalHanging12a"/>
      </w:pPr>
      <w:r w:rsidRPr="005C1612">
        <w:t>–</w:t>
      </w:r>
      <w:r w:rsidRPr="005C1612">
        <w:tab/>
        <w:t>gezien de definitieve jaarrekening van het Europees Agentschap voor maritieme veiligheid voor het begrotingsjaar 2022,</w:t>
      </w:r>
    </w:p>
    <w:p w14:paraId="55A9A095" w14:textId="77777777" w:rsidR="00C343B1" w:rsidRPr="005C1612" w:rsidRDefault="00C343B1" w:rsidP="00C343B1">
      <w:pPr>
        <w:pStyle w:val="NormalHanging12a"/>
      </w:pPr>
      <w:r w:rsidRPr="005C1612">
        <w:t>–</w:t>
      </w:r>
      <w:r w:rsidRPr="005C1612">
        <w:tab/>
        <w:t>gezien het jaarverslag van de Rekenkamer over de EU-agentschappen betreffende het begrotingsjaar 2022, vergezeld van de antwoorden van de agentschappen</w:t>
      </w:r>
      <w:r w:rsidRPr="005C1612">
        <w:rPr>
          <w:rStyle w:val="FootnoteReference"/>
        </w:rPr>
        <w:footnoteReference w:id="1"/>
      </w:r>
      <w:r w:rsidRPr="005C1612">
        <w:t>,</w:t>
      </w:r>
    </w:p>
    <w:p w14:paraId="678246FF" w14:textId="77777777" w:rsidR="00C343B1" w:rsidRPr="005C1612" w:rsidRDefault="00C343B1" w:rsidP="00C343B1">
      <w:pPr>
        <w:pStyle w:val="NormalHanging12a"/>
      </w:pPr>
      <w:r w:rsidRPr="005C1612">
        <w:t>–</w:t>
      </w:r>
      <w:r w:rsidRPr="005C1612">
        <w:tab/>
        <w:t>gezien de verklaring van de Rekenkamer voor het begrotingsjaar 2022 waarin de betrouwbaarheid</w:t>
      </w:r>
      <w:r w:rsidRPr="005C1612">
        <w:rPr>
          <w:rStyle w:val="FootnoteReference"/>
        </w:rPr>
        <w:footnoteReference w:id="2"/>
      </w:r>
      <w:r w:rsidRPr="005C1612">
        <w:t xml:space="preserve"> van de rekeningen en de wettigheid en regelmatigheid van de onderliggende verrichtingen worden bevestigd, overeenkomstig artikel 287 van het Verdrag betreffende de werking van de Europese Unie,</w:t>
      </w:r>
    </w:p>
    <w:p w14:paraId="0BEAA0CC" w14:textId="4AD3CA68" w:rsidR="00C343B1" w:rsidRPr="005C1612" w:rsidRDefault="00C343B1" w:rsidP="00C343B1">
      <w:pPr>
        <w:pStyle w:val="NormalHanging12a"/>
      </w:pPr>
      <w:r w:rsidRPr="005C1612">
        <w:t>–</w:t>
      </w:r>
      <w:r w:rsidRPr="005C1612">
        <w:tab/>
        <w:t>gezien de aanbeveling van de Raad van 22 februari 2024 betreffende de aan het Agentschap te verlenen kwijting voor de uitvoering van de begroting voor het begrotingsjaar 2022 (</w:t>
      </w:r>
      <w:r w:rsidR="00B47F82" w:rsidRPr="005C1612">
        <w:t>06180</w:t>
      </w:r>
      <w:r w:rsidRPr="005C1612">
        <w:t>/2024 – C9</w:t>
      </w:r>
      <w:r w:rsidRPr="005C1612">
        <w:noBreakHyphen/>
      </w:r>
      <w:r w:rsidR="00B47F82" w:rsidRPr="005C1612">
        <w:t>0096</w:t>
      </w:r>
      <w:r w:rsidRPr="005C1612">
        <w:t>/2024),</w:t>
      </w:r>
    </w:p>
    <w:p w14:paraId="432764C3" w14:textId="77777777" w:rsidR="00C343B1" w:rsidRPr="005C1612" w:rsidRDefault="00C343B1" w:rsidP="00C343B1">
      <w:pPr>
        <w:pStyle w:val="NormalHanging12a"/>
      </w:pPr>
      <w:r w:rsidRPr="005C1612">
        <w:t>–</w:t>
      </w:r>
      <w:r w:rsidRPr="005C1612">
        <w:tab/>
        <w:t>gezien artikel 319 van het Verdrag betreffende de werking van de Europese Unie,</w:t>
      </w:r>
    </w:p>
    <w:p w14:paraId="59515E96" w14:textId="77777777" w:rsidR="00C343B1" w:rsidRPr="005C1612" w:rsidRDefault="00C343B1" w:rsidP="00C343B1">
      <w:pPr>
        <w:pStyle w:val="NormalHanging12a"/>
      </w:pPr>
      <w:r w:rsidRPr="005C1612">
        <w:t>–</w:t>
      </w:r>
      <w:r w:rsidRPr="005C161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C1612">
        <w:rPr>
          <w:rStyle w:val="FootnoteReference"/>
        </w:rPr>
        <w:footnoteReference w:id="3"/>
      </w:r>
      <w:r w:rsidRPr="005C1612">
        <w:t>, en met name artikel 70,</w:t>
      </w:r>
    </w:p>
    <w:p w14:paraId="21A680DA" w14:textId="77777777" w:rsidR="00C343B1" w:rsidRPr="005C1612" w:rsidRDefault="00C343B1" w:rsidP="00C343B1">
      <w:pPr>
        <w:pStyle w:val="NormalHanging12a"/>
      </w:pPr>
      <w:r w:rsidRPr="005C1612">
        <w:t>–</w:t>
      </w:r>
      <w:r w:rsidRPr="005C1612">
        <w:tab/>
        <w:t>gezien Verordening (EG) nr. 1406/2002 van het Europees Parlement en de Raad van 27 juni 2002 tot oprichting van een Europees Agentschap voor maritieme veiligheid</w:t>
      </w:r>
      <w:r w:rsidRPr="005C1612">
        <w:rPr>
          <w:rStyle w:val="FootnoteReference"/>
        </w:rPr>
        <w:footnoteReference w:id="4"/>
      </w:r>
      <w:r w:rsidRPr="005C1612">
        <w:t>, en met name artikel 19,</w:t>
      </w:r>
    </w:p>
    <w:p w14:paraId="0BA9F54E" w14:textId="77777777" w:rsidR="00C343B1" w:rsidRPr="005C1612" w:rsidRDefault="00C343B1" w:rsidP="00C343B1">
      <w:pPr>
        <w:pStyle w:val="NormalHanging12a"/>
      </w:pPr>
      <w:r w:rsidRPr="005C1612">
        <w:lastRenderedPageBreak/>
        <w:t>–</w:t>
      </w:r>
      <w:r w:rsidRPr="005C161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C1612">
        <w:rPr>
          <w:rStyle w:val="FootnoteReference"/>
        </w:rPr>
        <w:footnoteReference w:id="5"/>
      </w:r>
      <w:r w:rsidRPr="005C1612">
        <w:t>, en met name artikel 105,</w:t>
      </w:r>
    </w:p>
    <w:p w14:paraId="1234571A" w14:textId="77777777" w:rsidR="00C343B1" w:rsidRPr="005C1612" w:rsidRDefault="00C343B1" w:rsidP="00C343B1">
      <w:pPr>
        <w:pStyle w:val="NormalHanging12a"/>
      </w:pPr>
      <w:r w:rsidRPr="005C1612">
        <w:t>–</w:t>
      </w:r>
      <w:r w:rsidRPr="005C1612">
        <w:tab/>
        <w:t>gezien artikel 100 en bijlage V van zijn Reglement,</w:t>
      </w:r>
    </w:p>
    <w:p w14:paraId="7CFE48E6" w14:textId="77777777" w:rsidR="00C343B1" w:rsidRPr="005C1612" w:rsidRDefault="00C343B1" w:rsidP="00C343B1">
      <w:pPr>
        <w:pStyle w:val="NormalHanging12a"/>
      </w:pPr>
      <w:r w:rsidRPr="005C1612">
        <w:t>–</w:t>
      </w:r>
      <w:r w:rsidRPr="005C1612">
        <w:tab/>
        <w:t>gezien het advies van de Commissie vervoer en toerisme,</w:t>
      </w:r>
    </w:p>
    <w:p w14:paraId="423F9232" w14:textId="77777777" w:rsidR="00C343B1" w:rsidRPr="005C1612" w:rsidRDefault="00C343B1" w:rsidP="00C343B1">
      <w:pPr>
        <w:pStyle w:val="NormalHanging12a"/>
      </w:pPr>
      <w:r w:rsidRPr="005C1612">
        <w:t>–</w:t>
      </w:r>
      <w:r w:rsidRPr="005C1612">
        <w:tab/>
        <w:t>gezien het verslag van de Commissie begrotingscontrole (A9-0107/2024),</w:t>
      </w:r>
    </w:p>
    <w:p w14:paraId="1BD85EB5" w14:textId="77777777" w:rsidR="00C343B1" w:rsidRPr="005C1612" w:rsidRDefault="00C343B1" w:rsidP="00C343B1">
      <w:pPr>
        <w:pStyle w:val="NormalHanging12a"/>
      </w:pPr>
      <w:r w:rsidRPr="005C1612">
        <w:t>1.</w:t>
      </w:r>
      <w:r w:rsidRPr="005C1612">
        <w:tab/>
        <w:t>verleent de uitvoerend directeur van het Europees Agentschap voor maritieme veiligheid kwijting voor de uitvoering van de begroting van het Agentschap voor het begrotingsjaar 2022;</w:t>
      </w:r>
    </w:p>
    <w:p w14:paraId="56B617B9" w14:textId="77777777" w:rsidR="00C343B1" w:rsidRPr="005C1612" w:rsidRDefault="00C343B1" w:rsidP="00C343B1">
      <w:pPr>
        <w:pStyle w:val="NormalHanging12a"/>
      </w:pPr>
      <w:r w:rsidRPr="005C1612">
        <w:t>2.</w:t>
      </w:r>
      <w:r w:rsidRPr="005C1612">
        <w:tab/>
        <w:t>formuleert zijn opmerkingen in onderstaande resolutie;</w:t>
      </w:r>
    </w:p>
    <w:p w14:paraId="22B90979" w14:textId="77777777" w:rsidR="00C343B1" w:rsidRPr="005C1612" w:rsidRDefault="00C343B1" w:rsidP="00C343B1">
      <w:pPr>
        <w:pStyle w:val="NormalHanging12a"/>
      </w:pPr>
      <w:r w:rsidRPr="005C1612">
        <w:t>3.</w:t>
      </w:r>
      <w:r w:rsidRPr="005C1612">
        <w:tab/>
        <w:t xml:space="preserve">verzoekt zijn Voorzitter dit besluit en de resolutie die daarvan een integrerend deel uitmaakt, te doen toekomen aan de uitvoerend directeur van het Europees Agentschap voor maritieme veiligheid, de Raad, de Commissie en de Rekenkamer, en te zorgen voor publicatie ervan in het </w:t>
      </w:r>
      <w:r w:rsidRPr="005C1612">
        <w:rPr>
          <w:i/>
        </w:rPr>
        <w:t>Publicatieblad van de Europese Unie</w:t>
      </w:r>
      <w:r w:rsidRPr="005C1612">
        <w:t xml:space="preserve"> (L-serie).</w:t>
      </w:r>
    </w:p>
    <w:p w14:paraId="2FAD24B3" w14:textId="77777777" w:rsidR="00C343B1" w:rsidRPr="005C1612" w:rsidRDefault="00C343B1" w:rsidP="00C343B1"/>
    <w:p w14:paraId="2065B448" w14:textId="77777777" w:rsidR="00C343B1" w:rsidRPr="005C1612" w:rsidRDefault="00C343B1" w:rsidP="00C343B1">
      <w:pPr>
        <w:widowControl/>
        <w:rPr>
          <w:rFonts w:ascii="Arial" w:hAnsi="Arial" w:cs="Arial"/>
          <w:b/>
        </w:rPr>
        <w:sectPr w:rsidR="00C343B1" w:rsidRPr="005C1612" w:rsidSect="00DF527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8C1EC0B" w14:textId="77777777" w:rsidR="00C343B1" w:rsidRPr="005C1612" w:rsidRDefault="00C343B1" w:rsidP="0046304E">
      <w:pPr>
        <w:pStyle w:val="ATHeading3"/>
      </w:pPr>
      <w:bookmarkStart w:id="8" w:name="_Toc146811167"/>
      <w:bookmarkStart w:id="9" w:name="_Toc161157775"/>
      <w:bookmarkStart w:id="10" w:name="_Toc161921423"/>
      <w:r w:rsidRPr="005C1612">
        <w:lastRenderedPageBreak/>
        <w:t xml:space="preserve">2. </w:t>
      </w:r>
      <w:bookmarkEnd w:id="8"/>
      <w:bookmarkEnd w:id="9"/>
      <w:bookmarkEnd w:id="10"/>
      <w:r w:rsidR="0046304E" w:rsidRPr="005C1612">
        <w:t xml:space="preserve">Besluit van het Europees Parlement van 11 april 2024 </w:t>
      </w:r>
      <w:r w:rsidRPr="005C1612">
        <w:t>over de afsluiting van de rekeningen van het Europees Agentschap voor maritieme veiligheid voor het begrotingsjaar 2022</w:t>
      </w:r>
      <w:r w:rsidR="0046304E" w:rsidRPr="005C1612">
        <w:t xml:space="preserve"> </w:t>
      </w:r>
      <w:r w:rsidRPr="005C1612">
        <w:t>(2023/2158(DEC))</w:t>
      </w:r>
    </w:p>
    <w:p w14:paraId="4289638C" w14:textId="77777777" w:rsidR="00C343B1" w:rsidRPr="005C1612" w:rsidRDefault="00C343B1" w:rsidP="00C343B1">
      <w:pPr>
        <w:pStyle w:val="EPComma"/>
      </w:pPr>
      <w:r w:rsidRPr="005C1612">
        <w:rPr>
          <w:i/>
        </w:rPr>
        <w:t>Het Europees Parlement</w:t>
      </w:r>
      <w:r w:rsidRPr="005C1612">
        <w:t>,</w:t>
      </w:r>
    </w:p>
    <w:p w14:paraId="2BBCCDF3" w14:textId="77777777" w:rsidR="00C343B1" w:rsidRPr="005C1612" w:rsidRDefault="00C343B1" w:rsidP="00C343B1">
      <w:pPr>
        <w:pStyle w:val="NormalHanging12a"/>
      </w:pPr>
      <w:r w:rsidRPr="005C1612">
        <w:t>–</w:t>
      </w:r>
      <w:r w:rsidRPr="005C1612">
        <w:tab/>
        <w:t>gezien de definitieve jaarrekening van het Europees Agentschap voor maritieme veiligheid voor het begrotingsjaar 2022,</w:t>
      </w:r>
    </w:p>
    <w:p w14:paraId="05359FD3" w14:textId="77777777" w:rsidR="00C343B1" w:rsidRPr="005C1612" w:rsidRDefault="00C343B1" w:rsidP="00C343B1">
      <w:pPr>
        <w:pStyle w:val="NormalHanging12a"/>
      </w:pPr>
      <w:r w:rsidRPr="005C1612">
        <w:t>–</w:t>
      </w:r>
      <w:r w:rsidRPr="005C1612">
        <w:tab/>
        <w:t>gezien het jaarverslag van de Rekenkamer over de EU-agentschappen betreffende het begrotingsjaar 2022, vergezeld van de antwoorden van de agentschappen</w:t>
      </w:r>
      <w:r w:rsidRPr="005C1612">
        <w:rPr>
          <w:rStyle w:val="FootnoteReference"/>
        </w:rPr>
        <w:footnoteReference w:id="6"/>
      </w:r>
      <w:r w:rsidRPr="005C1612">
        <w:t>,</w:t>
      </w:r>
    </w:p>
    <w:p w14:paraId="75410C22" w14:textId="77777777" w:rsidR="00C343B1" w:rsidRPr="005C1612" w:rsidRDefault="00C343B1" w:rsidP="00C343B1">
      <w:pPr>
        <w:pStyle w:val="NormalHanging12a"/>
      </w:pPr>
      <w:r w:rsidRPr="005C1612">
        <w:t>–</w:t>
      </w:r>
      <w:r w:rsidRPr="005C1612">
        <w:tab/>
        <w:t>gezien de verklaring van de Rekenkamer voor het begrotingsjaar 2022 waarin de betrouwbaarheid</w:t>
      </w:r>
      <w:r w:rsidRPr="005C1612">
        <w:rPr>
          <w:rStyle w:val="FootnoteReference"/>
        </w:rPr>
        <w:footnoteReference w:id="7"/>
      </w:r>
      <w:r w:rsidRPr="005C1612">
        <w:t xml:space="preserve"> van de rekeningen en de wettigheid en regelmatigheid van de onderliggende verrichtingen worden bevestigd, overeenkomstig artikel 287 van het Verdrag betreffende de werking van de Europese Unie,</w:t>
      </w:r>
    </w:p>
    <w:p w14:paraId="5B7B742E" w14:textId="009DA415" w:rsidR="00C343B1" w:rsidRPr="005C1612" w:rsidRDefault="00C343B1" w:rsidP="00C343B1">
      <w:pPr>
        <w:pStyle w:val="NormalHanging12a"/>
      </w:pPr>
      <w:r w:rsidRPr="005C1612">
        <w:t>–</w:t>
      </w:r>
      <w:r w:rsidRPr="005C1612">
        <w:tab/>
        <w:t>gezien de aanbeveling van de Raad van 22 februari 2024 betreffende de aan het Agentschap te verlenen kwijting voor de uitvoering van de begroting voor het begrotingsjaar 2022 (</w:t>
      </w:r>
      <w:r w:rsidR="00B47F82" w:rsidRPr="005C1612">
        <w:t>06180</w:t>
      </w:r>
      <w:r w:rsidRPr="005C1612">
        <w:t>/2024 – C9</w:t>
      </w:r>
      <w:r w:rsidRPr="005C1612">
        <w:noBreakHyphen/>
      </w:r>
      <w:r w:rsidR="00B47F82" w:rsidRPr="005C1612">
        <w:t>0096</w:t>
      </w:r>
      <w:r w:rsidRPr="005C1612">
        <w:t>/2024),</w:t>
      </w:r>
    </w:p>
    <w:p w14:paraId="2A24DE0E" w14:textId="77777777" w:rsidR="00C343B1" w:rsidRPr="005C1612" w:rsidRDefault="00C343B1" w:rsidP="00C343B1">
      <w:pPr>
        <w:pStyle w:val="NormalHanging12a"/>
      </w:pPr>
      <w:r w:rsidRPr="005C1612">
        <w:t>–</w:t>
      </w:r>
      <w:r w:rsidRPr="005C1612">
        <w:tab/>
        <w:t>gezien artikel 319 van het Verdrag betreffende de werking van de Europese Unie,</w:t>
      </w:r>
    </w:p>
    <w:p w14:paraId="636794A7" w14:textId="77777777" w:rsidR="00C343B1" w:rsidRPr="005C1612" w:rsidRDefault="00C343B1" w:rsidP="00C343B1">
      <w:pPr>
        <w:pStyle w:val="NormalHanging12a"/>
      </w:pPr>
      <w:r w:rsidRPr="005C1612">
        <w:t>–</w:t>
      </w:r>
      <w:r w:rsidRPr="005C1612">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5C1612">
        <w:rPr>
          <w:rStyle w:val="FootnoteReference"/>
        </w:rPr>
        <w:footnoteReference w:id="8"/>
      </w:r>
      <w:r w:rsidRPr="005C1612">
        <w:t>, en met name artikel 70,</w:t>
      </w:r>
    </w:p>
    <w:p w14:paraId="17BEB525" w14:textId="77777777" w:rsidR="00C343B1" w:rsidRPr="005C1612" w:rsidRDefault="00C343B1" w:rsidP="00C343B1">
      <w:pPr>
        <w:pStyle w:val="NormalHanging12a"/>
      </w:pPr>
      <w:r w:rsidRPr="005C1612">
        <w:t>–</w:t>
      </w:r>
      <w:r w:rsidRPr="005C1612">
        <w:tab/>
        <w:t>gezien Verordening (EG) nr. 1406/2002 van het Europees Parlement en de Raad van 27 juni 2002 tot oprichting van een Europees Agentschap voor maritieme veiligheid</w:t>
      </w:r>
      <w:r w:rsidRPr="005C1612">
        <w:rPr>
          <w:rStyle w:val="FootnoteReference"/>
        </w:rPr>
        <w:footnoteReference w:id="9"/>
      </w:r>
      <w:r w:rsidRPr="005C1612">
        <w:t>, en met name artikel 19,</w:t>
      </w:r>
    </w:p>
    <w:p w14:paraId="0A380431" w14:textId="77777777" w:rsidR="00C343B1" w:rsidRPr="005C1612" w:rsidRDefault="00C343B1" w:rsidP="00C343B1">
      <w:pPr>
        <w:pStyle w:val="NormalHanging12a"/>
      </w:pPr>
      <w:r w:rsidRPr="005C1612">
        <w:t>–</w:t>
      </w:r>
      <w:r w:rsidRPr="005C1612">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5C1612">
        <w:rPr>
          <w:rStyle w:val="FootnoteReference"/>
        </w:rPr>
        <w:footnoteReference w:id="10"/>
      </w:r>
      <w:r w:rsidRPr="005C1612">
        <w:t>, en met name artikel 105,</w:t>
      </w:r>
    </w:p>
    <w:p w14:paraId="220584AC" w14:textId="77777777" w:rsidR="00C343B1" w:rsidRPr="005C1612" w:rsidRDefault="00C343B1" w:rsidP="00C343B1">
      <w:pPr>
        <w:pStyle w:val="NormalHanging12a"/>
      </w:pPr>
      <w:r w:rsidRPr="005C1612">
        <w:t>–</w:t>
      </w:r>
      <w:r w:rsidRPr="005C1612">
        <w:tab/>
        <w:t>gezien artikel 100 en bijlage V van zijn Reglement,</w:t>
      </w:r>
    </w:p>
    <w:p w14:paraId="48BF8F27" w14:textId="77777777" w:rsidR="00C343B1" w:rsidRPr="005C1612" w:rsidRDefault="00C343B1" w:rsidP="00C343B1">
      <w:pPr>
        <w:pStyle w:val="NormalHanging12a"/>
      </w:pPr>
      <w:r w:rsidRPr="005C1612">
        <w:t>–</w:t>
      </w:r>
      <w:r w:rsidRPr="005C1612">
        <w:tab/>
        <w:t>gezien het advies van de Commissie vervoer en toerisme,</w:t>
      </w:r>
    </w:p>
    <w:p w14:paraId="77E3AEBF" w14:textId="77777777" w:rsidR="00C343B1" w:rsidRPr="005C1612" w:rsidRDefault="00C343B1" w:rsidP="00C343B1">
      <w:pPr>
        <w:pStyle w:val="NormalHanging12a"/>
      </w:pPr>
      <w:r w:rsidRPr="005C1612">
        <w:t>–</w:t>
      </w:r>
      <w:r w:rsidRPr="005C1612">
        <w:tab/>
        <w:t>gezien het verslag van de Commissie begrotingscontrole (A9-0107/2024),</w:t>
      </w:r>
    </w:p>
    <w:p w14:paraId="74B3BE95" w14:textId="77777777" w:rsidR="00C343B1" w:rsidRPr="005C1612" w:rsidRDefault="00C343B1" w:rsidP="00C343B1">
      <w:pPr>
        <w:pStyle w:val="NormalHanging12a"/>
      </w:pPr>
      <w:r w:rsidRPr="005C1612">
        <w:t>1.</w:t>
      </w:r>
      <w:r w:rsidRPr="005C1612">
        <w:tab/>
        <w:t xml:space="preserve">hecht zijn goedkeuring aan de afsluiting van de rekeningen van het Europees </w:t>
      </w:r>
      <w:r w:rsidRPr="005C1612">
        <w:lastRenderedPageBreak/>
        <w:t>Agentschap voor maritieme veiligheid voor het begrotingsjaar 2022;</w:t>
      </w:r>
    </w:p>
    <w:p w14:paraId="2EA35B3B" w14:textId="77777777" w:rsidR="00C343B1" w:rsidRPr="005C1612" w:rsidRDefault="00C343B1" w:rsidP="00C343B1">
      <w:pPr>
        <w:pStyle w:val="NormalHanging12a"/>
      </w:pPr>
      <w:r w:rsidRPr="005C1612">
        <w:t>2.</w:t>
      </w:r>
      <w:r w:rsidRPr="005C1612">
        <w:tab/>
        <w:t xml:space="preserve">verzoekt zijn Voorzitter dit besluit te doen toekomen aan de uitvoerend directeur van het Europees Agentschap voor maritieme veiligheid, de Raad, de Commissie en de Rekenkamer, en te zorgen voor publicatie ervan in het </w:t>
      </w:r>
      <w:r w:rsidRPr="005C1612">
        <w:rPr>
          <w:i/>
        </w:rPr>
        <w:t>Publicatieblad van de Europese Unie</w:t>
      </w:r>
      <w:r w:rsidRPr="005C1612">
        <w:t xml:space="preserve"> (L-serie).</w:t>
      </w:r>
    </w:p>
    <w:p w14:paraId="4BEFBF13" w14:textId="77777777" w:rsidR="00C343B1" w:rsidRPr="005C1612" w:rsidRDefault="00C343B1" w:rsidP="00C343B1"/>
    <w:p w14:paraId="4782112C" w14:textId="77777777" w:rsidR="00C343B1" w:rsidRPr="005C1612" w:rsidRDefault="00C343B1" w:rsidP="00C343B1">
      <w:pPr>
        <w:widowControl/>
        <w:rPr>
          <w:rFonts w:ascii="Arial" w:hAnsi="Arial" w:cs="Arial"/>
          <w:b/>
        </w:rPr>
        <w:sectPr w:rsidR="00C343B1" w:rsidRPr="005C1612" w:rsidSect="00DF527D">
          <w:footnotePr>
            <w:numRestart w:val="eachPage"/>
          </w:footnotePr>
          <w:endnotePr>
            <w:numFmt w:val="decimal"/>
          </w:endnotePr>
          <w:pgSz w:w="11906" w:h="16838"/>
          <w:pgMar w:top="1134" w:right="1418" w:bottom="1418" w:left="1418" w:header="567" w:footer="567" w:gutter="0"/>
          <w:cols w:space="720"/>
          <w:docGrid w:linePitch="326"/>
        </w:sectPr>
      </w:pPr>
    </w:p>
    <w:p w14:paraId="63D99395" w14:textId="77777777" w:rsidR="00C343B1" w:rsidRPr="005C1612" w:rsidRDefault="00C343B1" w:rsidP="0046304E">
      <w:pPr>
        <w:pStyle w:val="ATHeading3"/>
      </w:pPr>
      <w:bookmarkStart w:id="11" w:name="_Toc146811168"/>
      <w:bookmarkStart w:id="12" w:name="_Toc161157776"/>
      <w:bookmarkStart w:id="13" w:name="_Toc161921424"/>
      <w:r w:rsidRPr="005C1612">
        <w:lastRenderedPageBreak/>
        <w:t xml:space="preserve">3. </w:t>
      </w:r>
      <w:bookmarkEnd w:id="11"/>
      <w:bookmarkEnd w:id="12"/>
      <w:bookmarkEnd w:id="13"/>
      <w:r w:rsidR="0046304E" w:rsidRPr="005C1612">
        <w:t xml:space="preserve">Resolutie van het Europees Parlement van 11 april 2024 </w:t>
      </w:r>
      <w:r w:rsidRPr="005C1612">
        <w:t>met de opmerkingen die een integrerend deel uitmaken van het besluit over het verlenen van kwijting voor de uitvoering van de begroting van het Europees Agentschap voor maritieme veiligheid voor het begrotingsjaar 2022</w:t>
      </w:r>
      <w:r w:rsidR="0046304E" w:rsidRPr="005C1612">
        <w:t xml:space="preserve"> </w:t>
      </w:r>
      <w:r w:rsidRPr="005C1612">
        <w:t>(2023/2158(DEC))</w:t>
      </w:r>
    </w:p>
    <w:p w14:paraId="2CFFA9B9" w14:textId="77777777" w:rsidR="00C343B1" w:rsidRPr="005C1612" w:rsidRDefault="00C343B1" w:rsidP="00C343B1">
      <w:pPr>
        <w:pStyle w:val="EPComma"/>
      </w:pPr>
      <w:r w:rsidRPr="005C1612">
        <w:rPr>
          <w:i/>
        </w:rPr>
        <w:t>Het Europees Parlement</w:t>
      </w:r>
      <w:r w:rsidRPr="005C1612">
        <w:t>,</w:t>
      </w:r>
    </w:p>
    <w:p w14:paraId="671EFBF1" w14:textId="77777777" w:rsidR="00C343B1" w:rsidRPr="005C1612" w:rsidRDefault="00C343B1" w:rsidP="00C343B1">
      <w:pPr>
        <w:pStyle w:val="NormalHanging12a"/>
      </w:pPr>
      <w:r w:rsidRPr="005C1612">
        <w:t>–</w:t>
      </w:r>
      <w:r w:rsidRPr="005C1612">
        <w:tab/>
        <w:t>gezien zijn besluit over het verlenen van kwijting voor de uitvoering van de begroting van het Europees Agentschap voor maritieme veiligheid voor het begrotingsjaar 2022,</w:t>
      </w:r>
    </w:p>
    <w:p w14:paraId="2AB42F4F" w14:textId="77777777" w:rsidR="00C343B1" w:rsidRPr="005C1612" w:rsidRDefault="00C343B1" w:rsidP="00C343B1">
      <w:pPr>
        <w:pStyle w:val="NormalHanging12a"/>
      </w:pPr>
      <w:r w:rsidRPr="005C1612">
        <w:t>–</w:t>
      </w:r>
      <w:r w:rsidRPr="005C1612">
        <w:tab/>
        <w:t>gezien artikel 100 en bijlage V van zijn Reglement,</w:t>
      </w:r>
    </w:p>
    <w:p w14:paraId="5D87AC9C" w14:textId="77777777" w:rsidR="00C343B1" w:rsidRPr="005C1612" w:rsidRDefault="00C343B1" w:rsidP="00C343B1">
      <w:pPr>
        <w:pStyle w:val="NormalHanging12a"/>
      </w:pPr>
      <w:r w:rsidRPr="005C1612">
        <w:t>–</w:t>
      </w:r>
      <w:r w:rsidRPr="005C1612">
        <w:tab/>
        <w:t>gezien het advies van de Commissie vervoer en toerisme,</w:t>
      </w:r>
    </w:p>
    <w:p w14:paraId="38F5BE61" w14:textId="77777777" w:rsidR="00C343B1" w:rsidRPr="005C1612" w:rsidRDefault="00C343B1" w:rsidP="00C343B1">
      <w:pPr>
        <w:pStyle w:val="NormalHanging12a"/>
      </w:pPr>
      <w:r w:rsidRPr="005C1612">
        <w:t>–</w:t>
      </w:r>
      <w:r w:rsidRPr="005C1612">
        <w:tab/>
        <w:t>gezien het verslag van de Commissie begrotingscontrole (A9-0107/2024),</w:t>
      </w:r>
    </w:p>
    <w:p w14:paraId="469563AF" w14:textId="77777777" w:rsidR="00C343B1" w:rsidRPr="005C1612" w:rsidRDefault="00C343B1" w:rsidP="00C343B1">
      <w:pPr>
        <w:spacing w:after="240"/>
        <w:ind w:left="567" w:hanging="567"/>
        <w:rPr>
          <w:szCs w:val="24"/>
        </w:rPr>
      </w:pPr>
      <w:r w:rsidRPr="005C1612">
        <w:t>A.</w:t>
      </w:r>
      <w:r w:rsidRPr="005C1612">
        <w:tab/>
        <w:t>overwegende dat de definitieve begroting van het Europees Agentschap voor maritieme veiligheid (hierna “het Agentschap”) voor het begrotingsjaar 2022 volgens zijn staat van ontvangsten en uitgaven</w:t>
      </w:r>
      <w:r w:rsidRPr="005C1612">
        <w:rPr>
          <w:rStyle w:val="FootnoteReference"/>
          <w:szCs w:val="24"/>
        </w:rPr>
        <w:footnoteReference w:id="11"/>
      </w:r>
      <w:r w:rsidRPr="005C1612">
        <w:t xml:space="preserve"> 115 807 269,88 EUR bedroeg, wat neerkomt op een toename met 9,48 % ten opzichte van 2021; overwegende dat de begroting van het Agentschap afkomstig is uit de begroting van de Unie en uit operationele inkomsten;</w:t>
      </w:r>
    </w:p>
    <w:p w14:paraId="6C1DFF3F" w14:textId="77777777" w:rsidR="00C343B1" w:rsidRPr="005C1612" w:rsidRDefault="00C343B1" w:rsidP="00C343B1">
      <w:pPr>
        <w:spacing w:after="240"/>
        <w:ind w:left="567" w:hanging="567"/>
        <w:rPr>
          <w:szCs w:val="24"/>
        </w:rPr>
      </w:pPr>
      <w:r w:rsidRPr="005C1612">
        <w:t>B.</w:t>
      </w:r>
      <w:r w:rsidRPr="005C1612">
        <w:tab/>
        <w:t>overwegende dat de Rekenkamer in haar verslag over de jaarrekening van het Agentschap voor het begrotingsjaar 2022 (hierna “het verslag van de Rekenkamer”) verklaart redelijke zekerheid te hebben gekregen dat de jaarrekening van het Agentschap betrouwbaar is en de onderliggende verrichtingen wettig en regelmatig zijn;</w:t>
      </w:r>
    </w:p>
    <w:p w14:paraId="55D60973" w14:textId="77777777" w:rsidR="00C343B1" w:rsidRPr="005C1612" w:rsidRDefault="00C343B1" w:rsidP="00C343B1">
      <w:pPr>
        <w:spacing w:after="240"/>
        <w:ind w:left="567" w:hanging="567"/>
        <w:rPr>
          <w:szCs w:val="24"/>
        </w:rPr>
      </w:pPr>
      <w:r w:rsidRPr="005C1612">
        <w:t>C.</w:t>
      </w:r>
      <w:r w:rsidRPr="005C1612">
        <w:tab/>
        <w:t>overwegende dat er met betrekking tot de sector overheidsopdrachten van het Agentschap voor 2022 geen kwesties zijn gemeld die corrigerende maatregelen vereisen, en dat er ook geen lopende of nog af te handelen corrigerende maatregelen zijn uit audits en beoordelingen van voorgaande jaren;</w:t>
      </w:r>
    </w:p>
    <w:p w14:paraId="0F355A78" w14:textId="77777777" w:rsidR="00C343B1" w:rsidRPr="005C1612" w:rsidRDefault="00C343B1" w:rsidP="00C343B1">
      <w:pPr>
        <w:widowControl/>
        <w:spacing w:after="240"/>
        <w:ind w:left="567" w:hanging="567"/>
        <w:rPr>
          <w:szCs w:val="24"/>
        </w:rPr>
      </w:pPr>
      <w:r w:rsidRPr="005C1612">
        <w:t>D.</w:t>
      </w:r>
      <w:r w:rsidRPr="005C1612">
        <w:tab/>
        <w:t>overwegende dat er met betrekking tot de interne-controlesystemen van het Agentschap voor 2022 geen kwesties zijn gemeld die corrigerende maatregelen vereisen, en dat er ook geen lopende of nog af te handelen corrigerende maatregelen zijn uit audits en beoordelingen van voorgaande jaren;</w:t>
      </w:r>
    </w:p>
    <w:p w14:paraId="0CDC7155" w14:textId="77777777" w:rsidR="00C343B1" w:rsidRPr="005C1612" w:rsidRDefault="00C343B1" w:rsidP="00C343B1">
      <w:pPr>
        <w:spacing w:after="240"/>
        <w:ind w:left="567" w:hanging="567"/>
        <w:rPr>
          <w:b/>
          <w:i/>
          <w:szCs w:val="24"/>
        </w:rPr>
      </w:pPr>
      <w:r w:rsidRPr="005C1612">
        <w:rPr>
          <w:b/>
          <w:i/>
        </w:rPr>
        <w:t>Begrotings- en financieel beheer</w:t>
      </w:r>
    </w:p>
    <w:p w14:paraId="7FF48525" w14:textId="77777777" w:rsidR="00C343B1" w:rsidRPr="005C1612" w:rsidRDefault="00C343B1" w:rsidP="00C343B1">
      <w:pPr>
        <w:spacing w:after="240"/>
        <w:ind w:left="567" w:hanging="567"/>
        <w:rPr>
          <w:szCs w:val="24"/>
        </w:rPr>
      </w:pPr>
      <w:r w:rsidRPr="005C1612">
        <w:t>1.</w:t>
      </w:r>
      <w:r w:rsidRPr="005C1612">
        <w:tab/>
        <w:t>stelt met waardering vast dat de inspanningen op het gebied van begrotingstoezicht gedurende het begrotingsjaar 2022 hebben geresulteerd in een uitvoeringspercentage van de vastleggingskredieten van 99,80 %, ofwel een lichte stijging met 0,14 % ten opzichte van 2021, en een uitvoeringspercentage van de betalingskredieten van 98,42 %, eveneens een stijging met 1,10 %;</w:t>
      </w:r>
    </w:p>
    <w:p w14:paraId="62A4D047" w14:textId="77777777" w:rsidR="00C343B1" w:rsidRPr="005C1612" w:rsidRDefault="00C343B1" w:rsidP="00C343B1">
      <w:pPr>
        <w:spacing w:after="240"/>
        <w:ind w:left="567" w:hanging="567"/>
        <w:rPr>
          <w:b/>
          <w:i/>
          <w:szCs w:val="24"/>
        </w:rPr>
      </w:pPr>
      <w:r w:rsidRPr="005C1612">
        <w:rPr>
          <w:b/>
          <w:i/>
        </w:rPr>
        <w:t>Prestaties</w:t>
      </w:r>
    </w:p>
    <w:p w14:paraId="67D72D1A" w14:textId="77777777" w:rsidR="00C343B1" w:rsidRPr="005C1612" w:rsidRDefault="00C343B1" w:rsidP="00C343B1">
      <w:pPr>
        <w:spacing w:after="240"/>
        <w:ind w:left="567" w:hanging="567"/>
        <w:rPr>
          <w:szCs w:val="24"/>
        </w:rPr>
      </w:pPr>
      <w:r w:rsidRPr="005C1612">
        <w:t>2.</w:t>
      </w:r>
      <w:r w:rsidRPr="005C1612">
        <w:tab/>
        <w:t>is verheugd over het feit dat het Agentschap kernprestatie-indicatoren (</w:t>
      </w:r>
      <w:proofErr w:type="spellStart"/>
      <w:r w:rsidRPr="005C1612">
        <w:t>KPI’s</w:t>
      </w:r>
      <w:proofErr w:type="spellEnd"/>
      <w:r w:rsidRPr="005C1612">
        <w:t xml:space="preserve">) gebruikt om de uitvoering van zijn jaarlijkse werkprogramma te meten op de belangrijkste </w:t>
      </w:r>
      <w:r w:rsidRPr="005C1612">
        <w:lastRenderedPageBreak/>
        <w:t>gebieden waaraan het Agentschap bijdraagt en zijn horizontale activiteiten (duurzaamheid, toezicht, veiligheid en beveiliging, vereenvoudiging, digitalisering, technische bijstand, capaciteitsopbouw en strategische ondersteuning); prijst het feit dat de doelstellingen over het algemeen zijn gehaald en dat het slechts voor enkele doelstellingen is achtergebleven, voornamelijk om gerechtvaardigde redenen; merkt voorts op dat het Agentschap zijn doelstellingen voor 2022 heeft gehaald in overeenstemming met het jaarlijkse werkprogramma en het meerjarig strategisch kader;</w:t>
      </w:r>
    </w:p>
    <w:p w14:paraId="44EA1B35" w14:textId="3B344805" w:rsidR="00C343B1" w:rsidRPr="005C1612" w:rsidRDefault="00C343B1" w:rsidP="00C343B1">
      <w:pPr>
        <w:spacing w:after="240"/>
        <w:ind w:left="567" w:hanging="567"/>
        <w:rPr>
          <w:szCs w:val="24"/>
        </w:rPr>
      </w:pPr>
      <w:r w:rsidRPr="005C1612">
        <w:t>3.</w:t>
      </w:r>
      <w:r w:rsidRPr="005C1612">
        <w:tab/>
        <w:t xml:space="preserve">neemt er nota van dat het Agentschap actief betrokken is geweest bij verschillende initiatieven in verband met de Europese Green Deal en steun en gegevens heeft verstrekt aan de Commissie en </w:t>
      </w:r>
      <w:r w:rsidR="00B47F82" w:rsidRPr="005C1612">
        <w:t xml:space="preserve">aan </w:t>
      </w:r>
      <w:r w:rsidRPr="005C1612">
        <w:t>de lidstaten, met bijzondere nadruk op verschillende voorstellen in het kader van het “Fit </w:t>
      </w:r>
      <w:proofErr w:type="spellStart"/>
      <w:r w:rsidRPr="005C1612">
        <w:t>for</w:t>
      </w:r>
      <w:proofErr w:type="spellEnd"/>
      <w:r w:rsidRPr="005C1612">
        <w:t xml:space="preserve"> 55-pakket”, zoals het </w:t>
      </w:r>
      <w:proofErr w:type="spellStart"/>
      <w:r w:rsidRPr="005C1612">
        <w:t>FuelEU</w:t>
      </w:r>
      <w:proofErr w:type="spellEnd"/>
      <w:r w:rsidRPr="005C1612">
        <w:t>-voorstel voor de zeevaart en het voorstel voor de uitbreiding van de regeling voor de handel in emissierechten tot maritiem vervoer;</w:t>
      </w:r>
    </w:p>
    <w:p w14:paraId="64229525" w14:textId="3A32BA1D" w:rsidR="00C343B1" w:rsidRPr="005C1612" w:rsidRDefault="00C343B1" w:rsidP="00C343B1">
      <w:pPr>
        <w:spacing w:after="240"/>
        <w:ind w:left="567" w:hanging="567"/>
        <w:rPr>
          <w:szCs w:val="24"/>
        </w:rPr>
      </w:pPr>
      <w:r w:rsidRPr="005C1612">
        <w:t>4.</w:t>
      </w:r>
      <w:r w:rsidRPr="005C1612">
        <w:tab/>
        <w:t xml:space="preserve">is er verheugd over dat het Agentschap een belangrijke speler is geworden op het gebied van het monitoren en melden van vaartuigen van belang na de illegale en niet-uitgelokte Russische invasie van Oekraïne in februari 2022; merkt in dit verband op dat de maritieme ondersteuningsdienst (MSS) melding heeft gedaan van vaartuigen onder Russische vlag aan de lidstaten en de Commissie, van het aanlopen van schepen in EU-havens aan specifieke lidstaten en </w:t>
      </w:r>
      <w:r w:rsidR="00B47F82" w:rsidRPr="005C1612">
        <w:t xml:space="preserve">aan </w:t>
      </w:r>
      <w:r w:rsidRPr="005C1612">
        <w:t>de Commissie, en van het aanlopen van schepen die verband hielden met sancties (bv. invoer van steenkool);</w:t>
      </w:r>
    </w:p>
    <w:p w14:paraId="1DC0A4EE" w14:textId="77777777" w:rsidR="00C343B1" w:rsidRPr="005C1612" w:rsidRDefault="00C343B1" w:rsidP="00C343B1">
      <w:pPr>
        <w:spacing w:after="240"/>
        <w:ind w:left="567" w:hanging="567"/>
        <w:rPr>
          <w:szCs w:val="24"/>
        </w:rPr>
      </w:pPr>
      <w:r w:rsidRPr="005C1612">
        <w:t>5.</w:t>
      </w:r>
      <w:r w:rsidRPr="005C1612">
        <w:tab/>
        <w:t xml:space="preserve">merkt op dat de aardobservatiediensten van het Agentschap bewakingscapaciteit zijn blijven ontwikkelen en leveren, met de nadruk op </w:t>
      </w:r>
      <w:proofErr w:type="spellStart"/>
      <w:r w:rsidRPr="005C1612">
        <w:t>CleanSeaNet</w:t>
      </w:r>
      <w:proofErr w:type="spellEnd"/>
      <w:r w:rsidRPr="005C1612">
        <w:t xml:space="preserve">, maritiem toezicht via Copernicus voor </w:t>
      </w:r>
      <w:proofErr w:type="spellStart"/>
      <w:r w:rsidRPr="005C1612">
        <w:t>Frontex</w:t>
      </w:r>
      <w:proofErr w:type="spellEnd"/>
      <w:r w:rsidRPr="005C1612">
        <w:t>, en de ondersteuning van maritieme noodsituaties op zee in het kader van het noodplan van het Agentschap;</w:t>
      </w:r>
    </w:p>
    <w:p w14:paraId="0283F4F0" w14:textId="7A7CC206" w:rsidR="00C343B1" w:rsidRPr="005C1612" w:rsidRDefault="00C343B1" w:rsidP="00C343B1">
      <w:pPr>
        <w:spacing w:after="240"/>
        <w:ind w:left="567" w:hanging="567"/>
        <w:rPr>
          <w:szCs w:val="24"/>
        </w:rPr>
      </w:pPr>
      <w:r w:rsidRPr="005C1612">
        <w:t>6.</w:t>
      </w:r>
      <w:r w:rsidRPr="005C1612">
        <w:tab/>
        <w:t xml:space="preserve">is verheugd over het feit dat het Agentschap technische ondersteuning heeft geboden aan de Commissie en </w:t>
      </w:r>
      <w:r w:rsidR="00B47F82" w:rsidRPr="005C1612">
        <w:t xml:space="preserve">aan </w:t>
      </w:r>
      <w:r w:rsidRPr="005C1612">
        <w:t>de Toezichthoudende Autoriteit van de EVA door deel te nemen aan de inspecties die zij hebben georganiseerd om de uitvoering en de handhaving van de EU-wetgeving inzake maritieme beveiliging in de lidstaten te beoordelen en te controleren;</w:t>
      </w:r>
    </w:p>
    <w:p w14:paraId="1B5850B0" w14:textId="77777777" w:rsidR="00C343B1" w:rsidRPr="005C1612" w:rsidRDefault="00C343B1" w:rsidP="00C343B1">
      <w:pPr>
        <w:spacing w:after="240"/>
        <w:ind w:left="567" w:hanging="567"/>
        <w:rPr>
          <w:szCs w:val="24"/>
        </w:rPr>
      </w:pPr>
      <w:r w:rsidRPr="005C1612">
        <w:t>7.</w:t>
      </w:r>
      <w:r w:rsidRPr="005C1612">
        <w:tab/>
        <w:t>stelt vast dat het Agentschap in 2022 het Agentschap van de Europese Unie voor samenwerking op het gebied van rechtshandhaving (Europol) toegang heeft verschaft tot maritieme en bewakingsinformatiediensten om hun activiteiten op het gebied van rechtshandhaving en georganiseerde criminaliteit op zee te ondersteunen;</w:t>
      </w:r>
    </w:p>
    <w:p w14:paraId="261C3DF1" w14:textId="77777777" w:rsidR="00C343B1" w:rsidRPr="005C1612" w:rsidRDefault="00C343B1" w:rsidP="00C343B1">
      <w:pPr>
        <w:spacing w:after="240"/>
        <w:ind w:left="567" w:hanging="567"/>
        <w:rPr>
          <w:i/>
          <w:szCs w:val="24"/>
        </w:rPr>
      </w:pPr>
      <w:r w:rsidRPr="005C1612">
        <w:t>8.</w:t>
      </w:r>
      <w:r w:rsidRPr="005C1612">
        <w:tab/>
        <w:t>merkt op dat het Agentschap zijn rol als kenniscentrum voor capaciteitsopbouw heeft behouden, door het IPA II-project uit te voeren en projecten af te ronden voor technische bijstand aan de Middellandse Zee (SAFEMED IV) en de Zwarte en Kaspische Zee (BCSEA) in 2022;</w:t>
      </w:r>
    </w:p>
    <w:p w14:paraId="24811467" w14:textId="77777777" w:rsidR="00C343B1" w:rsidRPr="005C1612" w:rsidRDefault="00C343B1" w:rsidP="00C343B1">
      <w:pPr>
        <w:spacing w:after="240"/>
        <w:ind w:left="567" w:hanging="567"/>
      </w:pPr>
      <w:r w:rsidRPr="005C1612">
        <w:t>9.</w:t>
      </w:r>
      <w:r w:rsidRPr="005C1612">
        <w:tab/>
        <w:t xml:space="preserve">is ingenomen met de steun die de Commissie kreeg van het Agentschap bij de IMO, met name in fora als MEPC, PPR en CCC; stelt vast dat die steun betrekking heeft op cruciale gebieden, zoals verontreinigingspreventie en duurzaamheid, met inbegrip van de IMO-strategie ter vermindering van broeikasgasemissies, koolstofintensiteit van de scheepvaart, veiligheid, evaluatie, de invoering en het gebruik van duurzame alternatieve brandstoffen en technologieën, zwerfvuil op zee en onderwatergeluid; benadrukt dat de komende werkzaamheden van de IMO in verband met de ontwikkeling </w:t>
      </w:r>
      <w:r w:rsidRPr="005C1612">
        <w:lastRenderedPageBreak/>
        <w:t>van de overeenkomstige vereisten en normen voor het gebruik van nieuwe brandstoffen en technologieën van cruciaal belang zullen zijn voor de invoering daarvan op zowel mondiaal als Europees niveau;</w:t>
      </w:r>
    </w:p>
    <w:p w14:paraId="06F882B2" w14:textId="77777777" w:rsidR="00C343B1" w:rsidRPr="005C1612" w:rsidRDefault="00C343B1" w:rsidP="00C343B1">
      <w:pPr>
        <w:pStyle w:val="NormalHanging12a"/>
        <w:rPr>
          <w:b/>
          <w:i/>
          <w:color w:val="000000" w:themeColor="text1"/>
          <w:szCs w:val="24"/>
        </w:rPr>
      </w:pPr>
      <w:r w:rsidRPr="005C1612">
        <w:rPr>
          <w:b/>
          <w:i/>
          <w:color w:val="000000" w:themeColor="text1"/>
        </w:rPr>
        <w:t>Efficiëntie en winst</w:t>
      </w:r>
    </w:p>
    <w:p w14:paraId="06BAA0E3" w14:textId="77777777" w:rsidR="00C343B1" w:rsidRPr="005C1612" w:rsidRDefault="00C343B1" w:rsidP="00C343B1">
      <w:pPr>
        <w:widowControl/>
        <w:spacing w:after="240"/>
        <w:ind w:left="567" w:hanging="567"/>
        <w:rPr>
          <w:szCs w:val="24"/>
        </w:rPr>
      </w:pPr>
      <w:r w:rsidRPr="005C1612">
        <w:rPr>
          <w:color w:val="000000" w:themeColor="text1"/>
        </w:rPr>
        <w:t>10.</w:t>
      </w:r>
      <w:r w:rsidRPr="005C1612">
        <w:rPr>
          <w:color w:val="000000" w:themeColor="text1"/>
        </w:rPr>
        <w:tab/>
      </w:r>
      <w:r w:rsidRPr="005C1612">
        <w:t xml:space="preserve">merkt op dat het Agentschap in het kader van het nieuwe mandaat voor Europese samenwerking inzake kustwachtfuncties informatie, deskundigheid, procedures, opleidingsmateriaal en instrumenten heeft gedeeld met het Europees Bureau voor visserijcontrole (EFCA) en met </w:t>
      </w:r>
      <w:proofErr w:type="spellStart"/>
      <w:r w:rsidRPr="005C1612">
        <w:t>Frontex</w:t>
      </w:r>
      <w:proofErr w:type="spellEnd"/>
      <w:r w:rsidRPr="005C1612">
        <w:t>;</w:t>
      </w:r>
      <w:r w:rsidRPr="005C1612">
        <w:rPr>
          <w:color w:val="000000" w:themeColor="text1"/>
        </w:rPr>
        <w:t xml:space="preserve"> merkt voorts op dat het Agentschap nauw blijft samenwerken met het Europees Waarnemingscentrum voor drugs en drugsverslaving (EMCCDA) om zijn doeltreffendheid te vergroten en kosten te besparen dankzij de geografische nabijheid van beide agentschappen; is er verheugd over dat het Agentschap het EMCCDA heeft ondersteund door kennis met betrekking tot de EMAS-registratie te delen, en dat het met het EFCA de wederzijdse back-upregeling voor de boekhoudfunctie in beide agentschappen is blijven waarborgen; </w:t>
      </w:r>
      <w:r w:rsidRPr="005C1612">
        <w:t>wijst op de horizontale voordelen van samenwerking en aanpassing van beste praktijken, en op het feit dat gezamenlijke initiatieven verschillende perspectieven samenbrengen, dubbel werk verminderen, het leerproces verbeteren en de relaties tussen de deelnemers versterken;</w:t>
      </w:r>
    </w:p>
    <w:p w14:paraId="40BADD1C" w14:textId="77777777" w:rsidR="00C343B1" w:rsidRPr="005C1612" w:rsidRDefault="00C343B1" w:rsidP="00C343B1">
      <w:pPr>
        <w:pStyle w:val="NormalHanging12a"/>
        <w:rPr>
          <w:color w:val="000000" w:themeColor="text1"/>
          <w:szCs w:val="24"/>
        </w:rPr>
      </w:pPr>
      <w:r w:rsidRPr="005C1612">
        <w:rPr>
          <w:color w:val="000000" w:themeColor="text1"/>
        </w:rPr>
        <w:t>11.</w:t>
      </w:r>
      <w:r w:rsidRPr="005C1612">
        <w:rPr>
          <w:color w:val="000000" w:themeColor="text1"/>
        </w:rPr>
        <w:tab/>
        <w:t>merkt op dat het Agentschap zich heeft ingezet om zijn doeltreffendheid en doelmatigheid te verbeteren door procedures te automatiseren met als doel de administratieve werklast van specifieke personeelsleden aanzienlijk te verminderen, zodat zij zich kunnen concentreren op taken in aanverwante gebieden met een hogere toegevoegde waarde; stelt bovendien vast dat het Agentschap daarnaast proefprojecten met betrekking tot de gekwalificeerde elektronische handtekening en de integratie van bedrijfsinstrumenten met ARES heeft opgestart; verzoekt het Agentschap meer interne procedures te identificeren die via automatisering kunnen worden gestroomlijnd;</w:t>
      </w:r>
    </w:p>
    <w:p w14:paraId="5BC1614C" w14:textId="77777777" w:rsidR="00C343B1" w:rsidRPr="005C1612" w:rsidRDefault="00C343B1" w:rsidP="00C343B1">
      <w:pPr>
        <w:spacing w:after="240"/>
        <w:ind w:left="567" w:hanging="567"/>
        <w:rPr>
          <w:b/>
          <w:i/>
          <w:szCs w:val="24"/>
        </w:rPr>
      </w:pPr>
      <w:r w:rsidRPr="005C1612">
        <w:rPr>
          <w:b/>
          <w:i/>
        </w:rPr>
        <w:t>Personeelsbeleid</w:t>
      </w:r>
    </w:p>
    <w:p w14:paraId="24BE908E" w14:textId="2A73CF42" w:rsidR="00C343B1" w:rsidRPr="005C1612" w:rsidRDefault="00C343B1" w:rsidP="00C343B1">
      <w:pPr>
        <w:pStyle w:val="NormalHanging12a"/>
        <w:rPr>
          <w:szCs w:val="24"/>
        </w:rPr>
      </w:pPr>
      <w:r w:rsidRPr="005C1612">
        <w:t>12.</w:t>
      </w:r>
      <w:r w:rsidRPr="005C1612">
        <w:tab/>
        <w:t>wijst erop dat de personeelsformatie op 31 december 2022 stabiel was en voor 99,06 % ingevuld, aangezien 210 ambtenaren en tijdelijke functionarissen waren aangesteld van de 212 posten die in het kader van de begroting van de Unie waren toegestaan (evenveel als in 2021); stelt vast dat er in 2022 bovendien 28 </w:t>
      </w:r>
      <w:r w:rsidR="00B47F82" w:rsidRPr="005C1612">
        <w:t>arbeids</w:t>
      </w:r>
      <w:r w:rsidRPr="005C1612">
        <w:t>contractanten en 16 gedetacheerde nationale deskundigen voor het Agentschap werkten;</w:t>
      </w:r>
    </w:p>
    <w:p w14:paraId="3DBC594C" w14:textId="77777777" w:rsidR="00C343B1" w:rsidRPr="005C1612" w:rsidRDefault="00C343B1" w:rsidP="00C343B1">
      <w:pPr>
        <w:pStyle w:val="NormalHanging12a"/>
      </w:pPr>
      <w:r w:rsidRPr="005C1612">
        <w:t>13.</w:t>
      </w:r>
      <w:r w:rsidRPr="005C1612">
        <w:tab/>
        <w:t xml:space="preserve">neemt kennis van het gebrek aan genderevenwicht onder de leden van het hoger en middenmanagement van het Agentschap, waar 5 van de 16 leden (31 %) vrouw zijn; neemt kennis van het gebrekkige genderevenwicht onder de leden van de raad van bestuur van het Agentschap, waar 10 van de 57 leden (18 %) vrouw zijn; neemt voorts kennis van het gebrek aan genderevenwicht binnen het totale personeelsbestand van de Autoriteit, waar 99 van de 264 personeelsleden (38 %) vrouw zijn; herinnert eraan dat het belangrijk is te zorgen voor genderevenwicht en verzoekt het Agentschap met dit aspect rekening te houden bij toekomstige personeelsaanwervingen en benoemingen in zijn hoger en middenmanagement; is in dit verband verheugd dat het Agentschap een genderactieplan voor 2022-2025 heeft gelanceerd, dat gericht is op de verbetering van het genderevenwicht en de gelijkheid op lange termijn op basis van kwaliteit; verzoekt de Commissie en de lidstaten bij het voordragen van kandidaten voor de raad van bestuur van het Agentschap rekening te houden met het belang van het waarborgen van genderevenwicht; moedigt het Agentschap aan om het “Handvest inzake D&amp;I” ook </w:t>
      </w:r>
      <w:r w:rsidRPr="005C1612">
        <w:lastRenderedPageBreak/>
        <w:t>goed te keuren en een bijdrage te blijven leveren aan initiatieven die diversiteit en inclusie op de werkplek bevorderen op alle hiërarchische niveaus;</w:t>
      </w:r>
    </w:p>
    <w:p w14:paraId="7DBA9DE9" w14:textId="77777777" w:rsidR="00C343B1" w:rsidRPr="005C1612" w:rsidRDefault="00C343B1" w:rsidP="00C343B1">
      <w:pPr>
        <w:spacing w:after="240"/>
        <w:ind w:left="567" w:hanging="567"/>
      </w:pPr>
      <w:r w:rsidRPr="005C1612">
        <w:t>14.</w:t>
      </w:r>
      <w:r w:rsidRPr="005C1612">
        <w:tab/>
        <w:t>beklemtoont dat de aanwerving van gedetacheerde nationale deskundigen (GND) een zeer grote opgave blijft, omdat het lastig is om deskundigen uit de lidstaten aan te trekken; wijst erop dat een aantal vacatures van het Agentschap niet kon worden vervuld; stelt voor dat interne arbeidscontractanten de mogelijkheid krijgen om via een algemene selectieprocedure tot de volgende functiegroep te worden toegelaten; merkt op dat, wat efficiëntiewinst betreft, het Agentschap ernaar streeft en inspanningen levert om zijn procedures te verbeteren om zo zijn efficiëntie en doeltreffendheid te verhogen met het oog op een optimaal gebruik van zijn personele en financiële middelen;</w:t>
      </w:r>
    </w:p>
    <w:p w14:paraId="7B48E3A9" w14:textId="77777777" w:rsidR="00C343B1" w:rsidRPr="005C1612" w:rsidRDefault="00C343B1" w:rsidP="00C343B1">
      <w:pPr>
        <w:pStyle w:val="NormalHanging12a"/>
      </w:pPr>
      <w:r w:rsidRPr="005C1612">
        <w:t>15.</w:t>
      </w:r>
      <w:r w:rsidRPr="005C1612">
        <w:tab/>
        <w:t>is er verheugd over dat in het kader van de preventie van intimidatie op de werkplek zes nieuwe vertrouwenspersonen zijn aangesteld nadat zij met succes een verplichte opleiding hadden afgerond en nu in deze functie actief zijn binnen het Agentschap;</w:t>
      </w:r>
    </w:p>
    <w:p w14:paraId="3652B984" w14:textId="77777777" w:rsidR="00C343B1" w:rsidRPr="005C1612" w:rsidRDefault="00C343B1" w:rsidP="00C343B1">
      <w:pPr>
        <w:pStyle w:val="NormalHanging12a"/>
      </w:pPr>
      <w:r w:rsidRPr="005C1612">
        <w:t>16.</w:t>
      </w:r>
      <w:r w:rsidRPr="005C1612">
        <w:tab/>
        <w:t>stelt vast dat het Agentschap is gestart met een project voor een HR-strategie in overleg met het personeel, het bestuur en het personeelscomité, een project voor de opzet van een online introductieprogramma voor nieuwkomers, en de voorbereidende werkzaamheden voor de besluiten over arbeidstijd en hybride werken, die in 2023 zouden worden aangenomen; verzoekt het Agentschap om de kwijtingsautoriteit op de hoogte te houden van de vorderingen op deze gebieden;</w:t>
      </w:r>
    </w:p>
    <w:p w14:paraId="1EA3BED1" w14:textId="77777777" w:rsidR="00C343B1" w:rsidRPr="005C1612" w:rsidRDefault="00C343B1" w:rsidP="00C343B1">
      <w:pPr>
        <w:pStyle w:val="NormalHanging12a"/>
        <w:rPr>
          <w:b/>
          <w:i/>
          <w:szCs w:val="24"/>
        </w:rPr>
      </w:pPr>
      <w:r w:rsidRPr="005C1612">
        <w:rPr>
          <w:b/>
          <w:i/>
        </w:rPr>
        <w:t>Preventie van en omgang met belangenconflicten en transparantie</w:t>
      </w:r>
    </w:p>
    <w:p w14:paraId="0ADC24CE" w14:textId="77777777" w:rsidR="00C343B1" w:rsidRPr="005C1612" w:rsidRDefault="00C343B1" w:rsidP="00C343B1">
      <w:pPr>
        <w:spacing w:after="240"/>
        <w:ind w:left="567" w:hanging="567"/>
        <w:rPr>
          <w:szCs w:val="24"/>
        </w:rPr>
      </w:pPr>
      <w:r w:rsidRPr="005C1612">
        <w:t>17.</w:t>
      </w:r>
      <w:r w:rsidRPr="005C1612">
        <w:tab/>
        <w:t>neemt er kennis van dat de leden en plaatsvervangende leden van de raad van bestuur van het Agentschap bij hun benoeming en daarna jaarlijks een “</w:t>
      </w:r>
      <w:proofErr w:type="spellStart"/>
      <w:r w:rsidRPr="005C1612">
        <w:t>declaration</w:t>
      </w:r>
      <w:proofErr w:type="spellEnd"/>
      <w:r w:rsidRPr="005C1612">
        <w:t xml:space="preserve"> of commitment </w:t>
      </w:r>
      <w:proofErr w:type="spellStart"/>
      <w:r w:rsidRPr="005C1612">
        <w:t>and</w:t>
      </w:r>
      <w:proofErr w:type="spellEnd"/>
      <w:r w:rsidRPr="005C1612">
        <w:t xml:space="preserve"> </w:t>
      </w:r>
      <w:proofErr w:type="spellStart"/>
      <w:r w:rsidRPr="005C1612">
        <w:t>confidentiality</w:t>
      </w:r>
      <w:proofErr w:type="spellEnd"/>
      <w:r w:rsidRPr="005C1612">
        <w:t>” moeten ondertekenen, en aan het begin van bestuursvergaderingen elk (mogelijk) belangenconflict moeten melden dat als risico kan worden beschouwd voor de behandeling van onderwerpen op de agenda van de raad van bestuur; merkt op dat alle personeelsleden (waaronder de leden van het hoger management die bij speciale procedures betrokken zijn) (potentiële) belangengeschillen bij verschillende procedures, zoals op de gebieden aanbestedingen en aanwerving, moeten melden; stelt vast dat in 2022 één belangengeschil is gemeld door een lid van een selectiecomité in het kader van een aanwervingsprocedure en dat het lid, na een beoordeling van het gemelde geschil, is vervangen;</w:t>
      </w:r>
    </w:p>
    <w:p w14:paraId="3A7CB440" w14:textId="77777777" w:rsidR="00C343B1" w:rsidRPr="005C1612" w:rsidRDefault="00C343B1" w:rsidP="00C343B1">
      <w:pPr>
        <w:spacing w:after="240"/>
        <w:ind w:left="567" w:hanging="567"/>
        <w:rPr>
          <w:szCs w:val="24"/>
        </w:rPr>
      </w:pPr>
      <w:r w:rsidRPr="005C1612">
        <w:t>18.</w:t>
      </w:r>
      <w:r w:rsidRPr="005C1612">
        <w:tab/>
        <w:t>merkt op dat het Agentschap het “Beleid van de raad van bestuur van het EMSA inzake belangenconflicten” heeft goedgekeurd, waarin de beginselen inzake onpartijdigheid en onafhankelijkheid van zijn leden en hun plaatsvervangers zijn vastgelegd en de maatregelen zijn omschreven om de praktische toepassing ervan te waarborgen, teneinde de risico’s waarbij belangen uit het verleden, het heden of de toekomst de onpartijdigheid en onafhankelijkheid van de leden van de raad van bestuur bij de uitoefening van hun taken ongepast kunnen beïnvloeden, te voorkomen en te beperken;</w:t>
      </w:r>
    </w:p>
    <w:p w14:paraId="5D1BC4AE" w14:textId="3AAC6F94" w:rsidR="00C343B1" w:rsidRPr="005C1612" w:rsidRDefault="00C343B1" w:rsidP="00C343B1">
      <w:pPr>
        <w:spacing w:after="240"/>
        <w:ind w:left="567" w:hanging="567"/>
        <w:rPr>
          <w:szCs w:val="24"/>
        </w:rPr>
      </w:pPr>
      <w:r w:rsidRPr="005C1612">
        <w:t>19.</w:t>
      </w:r>
      <w:r w:rsidRPr="005C1612">
        <w:tab/>
        <w:t xml:space="preserve">neemt kennis van </w:t>
      </w:r>
      <w:r w:rsidR="00B47F82" w:rsidRPr="005C1612">
        <w:t xml:space="preserve">het feit </w:t>
      </w:r>
      <w:r w:rsidRPr="005C1612">
        <w:t>dat de cv’s van de leden van de raad van bestuur en het management op de website worden gepubliceerd;</w:t>
      </w:r>
    </w:p>
    <w:p w14:paraId="0D55215A" w14:textId="77777777" w:rsidR="00C343B1" w:rsidRPr="005C1612" w:rsidRDefault="00C343B1" w:rsidP="00C343B1">
      <w:pPr>
        <w:pStyle w:val="Normal12Hanging"/>
        <w:rPr>
          <w:b/>
          <w:i/>
          <w:szCs w:val="24"/>
        </w:rPr>
      </w:pPr>
      <w:r w:rsidRPr="005C1612">
        <w:rPr>
          <w:b/>
          <w:i/>
        </w:rPr>
        <w:t>Overige opmerkingen</w:t>
      </w:r>
    </w:p>
    <w:p w14:paraId="15ED40E1" w14:textId="77777777" w:rsidR="00C343B1" w:rsidRPr="005C1612" w:rsidRDefault="00C343B1" w:rsidP="00C343B1">
      <w:pPr>
        <w:spacing w:after="240"/>
        <w:ind w:left="567" w:hanging="567"/>
        <w:rPr>
          <w:szCs w:val="24"/>
        </w:rPr>
      </w:pPr>
      <w:r w:rsidRPr="005C1612">
        <w:t>20.</w:t>
      </w:r>
      <w:r w:rsidRPr="005C1612">
        <w:tab/>
        <w:t xml:space="preserve">prijst het feit dat het risicoregister in overeenstemming met het kader voor risicobeheer </w:t>
      </w:r>
      <w:r w:rsidRPr="005C1612">
        <w:lastRenderedPageBreak/>
        <w:t xml:space="preserve">van het Agentschap in 2022 volledig is bijgewerkt en bijgesteld, en dat daarbij speciale aandacht is besteed aan de identificatie van potentiële </w:t>
      </w:r>
      <w:proofErr w:type="spellStart"/>
      <w:r w:rsidRPr="005C1612">
        <w:t>fraudegerelateerde</w:t>
      </w:r>
      <w:proofErr w:type="spellEnd"/>
      <w:r w:rsidRPr="005C1612">
        <w:t xml:space="preserve"> risico’s en algemene kansen; is verder verheugd dat na de Russische invasie in Oekraïne enkele nieuwe geïdentificeerde risico’s en kansen in verband met deze grote crisis zijn geïdentificeerd en opgenomen in de bijgewerkte risicoregisters;</w:t>
      </w:r>
    </w:p>
    <w:p w14:paraId="49DEC0A5" w14:textId="77777777" w:rsidR="00C343B1" w:rsidRPr="005C1612" w:rsidRDefault="00C343B1" w:rsidP="00C343B1">
      <w:pPr>
        <w:spacing w:after="240"/>
        <w:ind w:left="567" w:hanging="567"/>
        <w:rPr>
          <w:szCs w:val="24"/>
        </w:rPr>
      </w:pPr>
      <w:r w:rsidRPr="005C1612">
        <w:t>21.</w:t>
      </w:r>
      <w:r w:rsidRPr="005C1612">
        <w:tab/>
        <w:t>feliciteert het Agentschap met de ontwikkeling van een aantal ad-</w:t>
      </w:r>
      <w:proofErr w:type="spellStart"/>
      <w:r w:rsidRPr="005C1612">
        <w:t>hocmiddelen</w:t>
      </w:r>
      <w:proofErr w:type="spellEnd"/>
      <w:r w:rsidRPr="005C1612">
        <w:t xml:space="preserve"> om de lidstaten en de Commissie te ondersteunen bij de uitvoering van de EU-sancties in verband met de invasie van Oekraïne door de Russische Federatie, zoals het melden van vaartuigen die met specifieke ladingen en onder een specifieke vlag havens aandoen; is er verder verheugd over dat het Agentschap maandelijks verslag uitbrengt over de gevolgen van de ontwikkelingen in Oekraïne voor het scheepvaartverkeer en de maritieme handel en dat dit ter beschikking wordt gesteld van de betrokken belanghebbenden;</w:t>
      </w:r>
    </w:p>
    <w:p w14:paraId="019149AB" w14:textId="77777777" w:rsidR="00C343B1" w:rsidRPr="005C1612" w:rsidRDefault="00C343B1" w:rsidP="00C343B1">
      <w:pPr>
        <w:spacing w:after="240"/>
        <w:ind w:left="567" w:hanging="567"/>
        <w:rPr>
          <w:szCs w:val="24"/>
        </w:rPr>
      </w:pPr>
      <w:r w:rsidRPr="005C1612">
        <w:t>22.</w:t>
      </w:r>
      <w:r w:rsidRPr="005C1612">
        <w:tab/>
        <w:t>is verheugd over het feit dat het Agentschap in 2022 verschillende vergroeningsactiviteiten heeft uitgevoerd, zoals onder meer een uitgebreide communicatiecampagne over vergroening, de oprichting van een herbruikbare stationaire ruimte, deelname aan de Europese mobiliteitsweek, en de verlaging van de basistemperatuur in de gebouwen tijdens het winterseizoen;</w:t>
      </w:r>
    </w:p>
    <w:p w14:paraId="3DC3E2CA" w14:textId="77777777" w:rsidR="00C343B1" w:rsidRPr="005C1612" w:rsidRDefault="00C343B1" w:rsidP="00C343B1">
      <w:pPr>
        <w:spacing w:after="240"/>
        <w:ind w:left="567" w:hanging="567"/>
        <w:rPr>
          <w:szCs w:val="24"/>
        </w:rPr>
      </w:pPr>
      <w:r w:rsidRPr="005C1612">
        <w:t>23.</w:t>
      </w:r>
      <w:r w:rsidRPr="005C1612">
        <w:tab/>
        <w:t>herinnert eraan dat het Agentschap in 2019 “Vergroening van het EMSA” heeft gelanceerd om milieubeheer in te voeren, en dat de laatste stap met de externe verificatie-audit in januari 2022 heeft plaatsgevonden; stelt vast dat het Agentschap daarna het EMAS-milieukeur heeft ontvangen en zijn milieuverklaring heeft gepubliceerd;</w:t>
      </w:r>
    </w:p>
    <w:p w14:paraId="1EE025AB" w14:textId="77777777" w:rsidR="00C343B1" w:rsidRPr="005C1612" w:rsidRDefault="00C343B1" w:rsidP="00C343B1">
      <w:pPr>
        <w:spacing w:after="240"/>
        <w:ind w:left="567" w:hanging="567"/>
        <w:rPr>
          <w:szCs w:val="24"/>
        </w:rPr>
      </w:pPr>
      <w:r w:rsidRPr="005C1612">
        <w:t>24.</w:t>
      </w:r>
      <w:r w:rsidRPr="005C1612">
        <w:tab/>
        <w:t xml:space="preserve">merkt op dat het Agentschap zijn samenwerking met het Agentschap van de Europese Unie voor cyberbeveiliging heeft geïntensiveerd door deel te nemen aan het proefproject voor de toekomstige uitvoering van de komende verordening inzake cyberbeveiliging; neemt er voorts nota van dat het Agentschap zijn samenwerking met CERT EU heeft versterkt door een specifieke overeenkomst inzake dienstverleningsniveau te verlengen, waarin nu meer acties zijn opgenomen zoals een groter aantal beveiligingsbeoordelingen, en door toegang te verlenen voor </w:t>
      </w:r>
      <w:proofErr w:type="spellStart"/>
      <w:r w:rsidRPr="005C1612">
        <w:t>realtime</w:t>
      </w:r>
      <w:proofErr w:type="spellEnd"/>
      <w:r w:rsidRPr="005C1612">
        <w:t xml:space="preserve"> monitoring van beveiligingsgebeurtenissen in de IT-infrastructuur van het EMSA; neemt er voorts nota van dat het Agentschap regelmatige beveiligingsbeoordelingen uitvoert met CERT EU en de aanbieder van interinstitutionele beveiligingsdiensten van de Raad;</w:t>
      </w:r>
    </w:p>
    <w:p w14:paraId="1811DE9A" w14:textId="77777777" w:rsidR="00C343B1" w:rsidRPr="005C1612" w:rsidRDefault="00C343B1" w:rsidP="00C343B1">
      <w:pPr>
        <w:spacing w:after="240"/>
        <w:ind w:left="567" w:hanging="567"/>
        <w:rPr>
          <w:szCs w:val="24"/>
        </w:rPr>
      </w:pPr>
      <w:r w:rsidRPr="005C1612">
        <w:t>25.</w:t>
      </w:r>
      <w:r w:rsidRPr="005C1612">
        <w:tab/>
        <w:t>merkt op dat het Agentschap verschillende maatregelen heeft genomen om zijn publieke zichtbaarheid en onlineaanwezigheid te vergroten, zoals het organiseren van conferenties, het delen van video’s met uitleg over de belangrijkste activiteiten en bevoegdheden van het Agentschap, live streaming, en de lancering van het concept “EMSA Open Dag”;</w:t>
      </w:r>
    </w:p>
    <w:p w14:paraId="00956662" w14:textId="77777777" w:rsidR="00C343B1" w:rsidRPr="005C1612" w:rsidRDefault="00C343B1" w:rsidP="00C343B1">
      <w:pPr>
        <w:pStyle w:val="NormalHanging12a"/>
      </w:pPr>
      <w:r w:rsidRPr="005C1612">
        <w:t>26.</w:t>
      </w:r>
      <w:r w:rsidRPr="005C1612">
        <w:tab/>
        <w:t>is ingenomen met de inspanningen van het Agentschap om zijn meertalige communicatie te verbeteren en aldus te zorgen voor grotere toegankelijkheid voor alle Europese burgers; stelt vast dat de vijfjarenstrategie van het Agentschap, het milieuverslag over Europees maritiem vervoer en de verslagen inzake de maritieme veiligheid in Europa nu beschikbaar zijn alle 24 EU-talen;</w:t>
      </w:r>
    </w:p>
    <w:p w14:paraId="7E85660F" w14:textId="77777777" w:rsidR="00C343B1" w:rsidRPr="005C1612" w:rsidRDefault="00C343B1" w:rsidP="00C343B1">
      <w:pPr>
        <w:spacing w:after="240"/>
        <w:ind w:left="567" w:hanging="567"/>
      </w:pPr>
      <w:r w:rsidRPr="005C1612">
        <w:lastRenderedPageBreak/>
        <w:t>27.</w:t>
      </w:r>
      <w:r w:rsidRPr="005C1612">
        <w:tab/>
        <w:t>wijst op de belangrijke rol van de activiteiten van het Agentschap op het gebied van maritieme beveiliging en verzoekt het Agentschap om technische bijstand te blijven verlenen voor de inspecties van de Commissie in dit kader krachtens Verordening (EG) nr. 725/2004 van het Europees Parlement en de Raad betreffende de verbetering van de beveiliging van schepen en havenfaciliteiten; benadrukt dat het aantal cyberincidenten in de maritieme sector de laatste jaren aanzienlijk is gestegen;</w:t>
      </w:r>
    </w:p>
    <w:p w14:paraId="5EA950F3" w14:textId="77777777" w:rsidR="00C343B1" w:rsidRPr="005C1612" w:rsidRDefault="00C343B1" w:rsidP="00C343B1">
      <w:pPr>
        <w:spacing w:after="240"/>
        <w:ind w:left="567" w:hanging="567"/>
      </w:pPr>
      <w:r w:rsidRPr="005C1612">
        <w:t>28.</w:t>
      </w:r>
      <w:r w:rsidRPr="005C1612">
        <w:tab/>
        <w:t>roept ertoe op om de digitalisering van de maritieme sector te bevorderen door de elektronische overdracht van gegevens te faciliteren en de vereenvoudiging daarvan te ondersteunen en door geïntegreerde systemen en diensten voor maritiem toezicht en maritiem omgevingsbewustzijn beschikbaar te stellen voor de Commissie en de lidstaten;</w:t>
      </w:r>
    </w:p>
    <w:p w14:paraId="20935744" w14:textId="77777777" w:rsidR="00C343B1" w:rsidRPr="005C1612" w:rsidRDefault="00C343B1" w:rsidP="00C343B1">
      <w:pPr>
        <w:spacing w:after="240"/>
        <w:ind w:left="567" w:hanging="567"/>
      </w:pPr>
      <w:r w:rsidRPr="005C1612">
        <w:t>29.</w:t>
      </w:r>
      <w:r w:rsidRPr="005C1612">
        <w:tab/>
        <w:t>wijst erop dat de groei van de EU-vloot (in termen van schepen en tonnage) achterblijft bij die van de wereldwijde vloot; stelt vast dat de EU-vloot de afgelopen vijf jaar een groei kende van 3,4 %, terwijl de mondiale vloot met 7 % duidelijk meer toenam;</w:t>
      </w:r>
    </w:p>
    <w:p w14:paraId="4F878F23" w14:textId="77777777" w:rsidR="00C343B1" w:rsidRPr="005C1612" w:rsidRDefault="00C343B1" w:rsidP="00C343B1">
      <w:pPr>
        <w:spacing w:after="240"/>
        <w:ind w:left="567" w:hanging="567"/>
        <w:jc w:val="center"/>
        <w:rPr>
          <w:szCs w:val="24"/>
        </w:rPr>
      </w:pPr>
      <w:r w:rsidRPr="005C1612">
        <w:t>°</w:t>
      </w:r>
    </w:p>
    <w:p w14:paraId="1E8B1DD7" w14:textId="77777777" w:rsidR="00C343B1" w:rsidRPr="005C1612" w:rsidRDefault="00C343B1" w:rsidP="00C343B1">
      <w:pPr>
        <w:pStyle w:val="NormalCenter12a"/>
        <w:rPr>
          <w:szCs w:val="24"/>
        </w:rPr>
      </w:pPr>
      <w:r w:rsidRPr="005C1612">
        <w:t>°</w:t>
      </w:r>
      <w:r w:rsidRPr="005C1612">
        <w:tab/>
        <w:t>°</w:t>
      </w:r>
    </w:p>
    <w:p w14:paraId="5A0478B3" w14:textId="04415238" w:rsidR="00C343B1" w:rsidRPr="005C1612" w:rsidRDefault="00C343B1" w:rsidP="00C343B1">
      <w:pPr>
        <w:widowControl/>
        <w:ind w:left="567" w:hanging="567"/>
        <w:rPr>
          <w:szCs w:val="24"/>
        </w:rPr>
      </w:pPr>
      <w:r w:rsidRPr="005C1612">
        <w:t>30.</w:t>
      </w:r>
      <w:r w:rsidRPr="005C1612">
        <w:tab/>
        <w:t xml:space="preserve">verwijst voor andere opmerkingen van horizontale aard bij het kwijtingsbesluit naar zijn resolutie van </w:t>
      </w:r>
      <w:r w:rsidR="0046304E" w:rsidRPr="005C1612">
        <w:t>11 april 2024</w:t>
      </w:r>
      <w:r w:rsidRPr="005C1612">
        <w:rPr>
          <w:rStyle w:val="FootnoteReference"/>
        </w:rPr>
        <w:footnoteReference w:id="12"/>
      </w:r>
      <w:r w:rsidRPr="005C1612">
        <w:t xml:space="preserve"> over </w:t>
      </w:r>
      <w:r w:rsidR="00B47F82" w:rsidRPr="005C1612">
        <w:t xml:space="preserve">het functioneren en het financieel beheer van en de controle op </w:t>
      </w:r>
      <w:r w:rsidRPr="005C1612">
        <w:t>de agentschappen.</w:t>
      </w:r>
    </w:p>
    <w:p w14:paraId="789762AF" w14:textId="77777777" w:rsidR="00C343B1" w:rsidRPr="005C1612" w:rsidRDefault="00C343B1" w:rsidP="00C343B1"/>
    <w:sectPr w:rsidR="00C343B1" w:rsidRPr="005C1612" w:rsidSect="00DF52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36C999" w14:textId="77777777" w:rsidR="00DE40A6" w:rsidRPr="00DF527D" w:rsidRDefault="00DE40A6">
      <w:r w:rsidRPr="00DF527D">
        <w:separator/>
      </w:r>
    </w:p>
  </w:endnote>
  <w:endnote w:type="continuationSeparator" w:id="0">
    <w:p w14:paraId="303D9D5E" w14:textId="77777777" w:rsidR="00DE40A6" w:rsidRPr="00DF527D" w:rsidRDefault="00DE40A6">
      <w:r w:rsidRPr="00DF52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6F6D0" w14:textId="77777777" w:rsidR="00C343B1" w:rsidRPr="00DF527D" w:rsidRDefault="00C343B1" w:rsidP="00A06010">
    <w:pPr>
      <w:pStyle w:val="EPFooter"/>
    </w:pPr>
    <w:r w:rsidRPr="00DF527D">
      <w:t>PE</w:t>
    </w:r>
    <w:r w:rsidRPr="00DF527D">
      <w:rPr>
        <w:rStyle w:val="HideTWBExt"/>
      </w:rPr>
      <w:t>&lt;NoPE&gt;</w:t>
    </w:r>
    <w:r w:rsidRPr="00DF527D">
      <w:t>753.526</w:t>
    </w:r>
    <w:r w:rsidRPr="00DF527D">
      <w:rPr>
        <w:rStyle w:val="HideTWBExt"/>
      </w:rPr>
      <w:t>&lt;/NoPE&gt;&lt;Version&gt;</w:t>
    </w:r>
    <w:r w:rsidRPr="00DF527D">
      <w:t>v02-00</w:t>
    </w:r>
    <w:r w:rsidRPr="00DF527D">
      <w:rPr>
        <w:rStyle w:val="HideTWBExt"/>
      </w:rPr>
      <w:t>&lt;/Version&gt;</w:t>
    </w:r>
    <w:r w:rsidRPr="00DF527D">
      <w:tab/>
    </w:r>
    <w:r w:rsidRPr="00DF527D">
      <w:fldChar w:fldCharType="begin"/>
    </w:r>
    <w:r w:rsidRPr="00DF527D">
      <w:instrText xml:space="preserve"> PAGE  \* MERGEFORMAT </w:instrText>
    </w:r>
    <w:r w:rsidRPr="00DF527D">
      <w:fldChar w:fldCharType="separate"/>
    </w:r>
    <w:r w:rsidR="00DF527D" w:rsidRPr="00DF527D">
      <w:rPr>
        <w:noProof/>
      </w:rPr>
      <w:t>2</w:t>
    </w:r>
    <w:r w:rsidRPr="00DF527D">
      <w:fldChar w:fldCharType="end"/>
    </w:r>
    <w:r w:rsidRPr="00DF527D">
      <w:t>/</w:t>
    </w:r>
    <w:fldSimple w:instr=" NUMPAGES  \* MERGEFORMAT ">
      <w:r w:rsidR="00DF527D" w:rsidRPr="00DF527D">
        <w:rPr>
          <w:noProof/>
        </w:rPr>
        <w:t>4</w:t>
      </w:r>
    </w:fldSimple>
    <w:r w:rsidRPr="00DF527D">
      <w:tab/>
    </w:r>
    <w:r w:rsidRPr="00DF527D">
      <w:rPr>
        <w:rStyle w:val="HideTWBExt"/>
      </w:rPr>
      <w:t>&lt;PathFdR&gt;</w:t>
    </w:r>
    <w:r w:rsidRPr="00DF527D">
      <w:t>RR\1298830NL.docx</w:t>
    </w:r>
    <w:r w:rsidRPr="00DF527D">
      <w:rPr>
        <w:rStyle w:val="HideTWBExt"/>
      </w:rPr>
      <w:t>&lt;/PathFdR&gt;</w:t>
    </w:r>
  </w:p>
  <w:p w14:paraId="35E77D41" w14:textId="77777777" w:rsidR="00C343B1" w:rsidRPr="00DF527D" w:rsidRDefault="00C343B1" w:rsidP="00A06010">
    <w:pPr>
      <w:pStyle w:val="EPFooter2"/>
    </w:pPr>
    <w:r w:rsidRPr="00DF527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25806" w14:textId="77777777" w:rsidR="00C343B1" w:rsidRPr="00DF527D" w:rsidRDefault="00C343B1" w:rsidP="00A06010">
    <w:pPr>
      <w:pStyle w:val="EPFooter"/>
    </w:pPr>
    <w:r w:rsidRPr="00DF527D">
      <w:rPr>
        <w:rStyle w:val="HideTWBExt"/>
      </w:rPr>
      <w:t>&lt;PathFdR&gt;</w:t>
    </w:r>
    <w:r w:rsidRPr="00DF527D">
      <w:t>RR\1298830NL.docx</w:t>
    </w:r>
    <w:r w:rsidRPr="00DF527D">
      <w:rPr>
        <w:rStyle w:val="HideTWBExt"/>
      </w:rPr>
      <w:t>&lt;/PathFdR&gt;</w:t>
    </w:r>
    <w:r w:rsidRPr="00DF527D">
      <w:tab/>
    </w:r>
    <w:r w:rsidRPr="00DF527D">
      <w:tab/>
      <w:t>PE</w:t>
    </w:r>
    <w:r w:rsidRPr="00DF527D">
      <w:rPr>
        <w:rStyle w:val="HideTWBExt"/>
      </w:rPr>
      <w:t>&lt;NoPE&gt;</w:t>
    </w:r>
    <w:r w:rsidRPr="00DF527D">
      <w:t>753.526</w:t>
    </w:r>
    <w:r w:rsidRPr="00DF527D">
      <w:rPr>
        <w:rStyle w:val="HideTWBExt"/>
      </w:rPr>
      <w:t>&lt;/NoPE&gt;&lt;Version&gt;</w:t>
    </w:r>
    <w:r w:rsidRPr="00DF527D">
      <w:t>v02-00</w:t>
    </w:r>
    <w:r w:rsidRPr="00DF527D">
      <w:rPr>
        <w:rStyle w:val="HideTWBExt"/>
      </w:rPr>
      <w:t>&lt;/Version&gt;</w:t>
    </w:r>
  </w:p>
  <w:p w14:paraId="5D17BA91" w14:textId="77777777" w:rsidR="00C343B1" w:rsidRPr="00DF527D" w:rsidRDefault="00C343B1" w:rsidP="00A06010">
    <w:pPr>
      <w:pStyle w:val="EPFooter2"/>
    </w:pPr>
    <w:r w:rsidRPr="00DF527D">
      <w:t>NL</w:t>
    </w:r>
    <w:r w:rsidRPr="00DF527D">
      <w:tab/>
    </w:r>
    <w:r w:rsidRPr="00DF527D">
      <w:rPr>
        <w:b w:val="0"/>
        <w:i/>
        <w:color w:val="C0C0C0"/>
        <w:sz w:val="22"/>
      </w:rPr>
      <w:t>In verscheidenheid verenigd</w:t>
    </w:r>
    <w:r w:rsidRPr="00DF527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55014" w14:textId="77777777" w:rsidR="00064002" w:rsidRPr="00DF52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56F9" w14:textId="77777777" w:rsidR="00064002" w:rsidRPr="00DF527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3D9AC" w14:textId="77777777" w:rsidR="00064002" w:rsidRPr="00DF52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CDE8E" w14:textId="77777777" w:rsidR="00DE40A6" w:rsidRPr="00DF527D" w:rsidRDefault="00DE40A6">
      <w:r w:rsidRPr="00DF527D">
        <w:separator/>
      </w:r>
    </w:p>
  </w:footnote>
  <w:footnote w:type="continuationSeparator" w:id="0">
    <w:p w14:paraId="44DE331A" w14:textId="77777777" w:rsidR="00DE40A6" w:rsidRPr="00DF527D" w:rsidRDefault="00DE40A6">
      <w:r w:rsidRPr="00DF527D">
        <w:continuationSeparator/>
      </w:r>
    </w:p>
  </w:footnote>
  <w:footnote w:id="1">
    <w:p w14:paraId="2F480A6A" w14:textId="58FBD7EE"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C, C/2023/594, 27.10.2023.</w:t>
      </w:r>
    </w:p>
  </w:footnote>
  <w:footnote w:id="2">
    <w:p w14:paraId="79C4452B" w14:textId="50979808"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C, C/2023/112, 12.10.2023.</w:t>
      </w:r>
    </w:p>
  </w:footnote>
  <w:footnote w:id="3">
    <w:p w14:paraId="799E7974" w14:textId="62B04B30"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193 van 30.7.2018, blz. 1.</w:t>
      </w:r>
    </w:p>
  </w:footnote>
  <w:footnote w:id="4">
    <w:p w14:paraId="4FA65AA4" w14:textId="204159F0"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208 van 5.8.2002, blz. 1.</w:t>
      </w:r>
    </w:p>
  </w:footnote>
  <w:footnote w:id="5">
    <w:p w14:paraId="3BF01707" w14:textId="06241C71"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122 van 10.5.2019, blz. 1.</w:t>
      </w:r>
    </w:p>
  </w:footnote>
  <w:footnote w:id="6">
    <w:p w14:paraId="04B02C08" w14:textId="3263BCC5"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C, C/2023/594, 27.10.2023.</w:t>
      </w:r>
    </w:p>
  </w:footnote>
  <w:footnote w:id="7">
    <w:p w14:paraId="7595E321" w14:textId="374DA15E"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C, C/2023/112, 12.10.2023.</w:t>
      </w:r>
    </w:p>
  </w:footnote>
  <w:footnote w:id="8">
    <w:p w14:paraId="123759FC" w14:textId="383457C9"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193 van 30.7.2018, blz. 1.</w:t>
      </w:r>
    </w:p>
  </w:footnote>
  <w:footnote w:id="9">
    <w:p w14:paraId="7083C8B9" w14:textId="4B187C2E"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208 van 5.8.2002, blz. 1.</w:t>
      </w:r>
    </w:p>
  </w:footnote>
  <w:footnote w:id="10">
    <w:p w14:paraId="0AB8598C" w14:textId="0560D977"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L 122 van 10.5.2019, blz. 1.</w:t>
      </w:r>
    </w:p>
  </w:footnote>
  <w:footnote w:id="11">
    <w:p w14:paraId="5D4FF88B" w14:textId="19B268AD"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PB C 73 van 28.2.2023, blz. </w:t>
      </w:r>
      <w:r w:rsidRPr="00DF527D">
        <w:rPr>
          <w:sz w:val="24"/>
          <w:lang w:val="nl-NL"/>
        </w:rPr>
        <w:t>9</w:t>
      </w:r>
      <w:r w:rsidR="00960578">
        <w:rPr>
          <w:sz w:val="24"/>
          <w:lang w:val="nl-NL"/>
        </w:rPr>
        <w:t>1</w:t>
      </w:r>
      <w:bookmarkStart w:id="14" w:name="_GoBack"/>
      <w:bookmarkEnd w:id="14"/>
      <w:r w:rsidRPr="00DF527D">
        <w:rPr>
          <w:sz w:val="24"/>
          <w:lang w:val="nl-NL"/>
        </w:rPr>
        <w:t>.</w:t>
      </w:r>
    </w:p>
  </w:footnote>
  <w:footnote w:id="12">
    <w:p w14:paraId="5FFEDE89" w14:textId="68C4620E" w:rsidR="00C343B1" w:rsidRPr="00DF527D" w:rsidRDefault="00C343B1" w:rsidP="00DF527D">
      <w:pPr>
        <w:pStyle w:val="FootnoteText"/>
        <w:ind w:left="567" w:hanging="567"/>
        <w:rPr>
          <w:sz w:val="24"/>
          <w:lang w:val="nl-NL"/>
        </w:rPr>
      </w:pPr>
      <w:r w:rsidRPr="00DF527D">
        <w:rPr>
          <w:rStyle w:val="FootnoteReference"/>
          <w:sz w:val="24"/>
          <w:lang w:val="nl-NL"/>
        </w:rPr>
        <w:footnoteRef/>
      </w:r>
      <w:r w:rsidR="00DF527D" w:rsidRPr="00DF527D">
        <w:rPr>
          <w:sz w:val="24"/>
          <w:lang w:val="nl-NL"/>
        </w:rPr>
        <w:tab/>
      </w:r>
      <w:r w:rsidRPr="00DF527D">
        <w:rPr>
          <w:sz w:val="24"/>
          <w:lang w:val="nl-NL"/>
        </w:rPr>
        <w:t>Aangenomen teksten, P9</w:t>
      </w:r>
      <w:r w:rsidR="00250350">
        <w:rPr>
          <w:sz w:val="24"/>
          <w:lang w:val="nl-NL"/>
        </w:rPr>
        <w:t>_</w:t>
      </w:r>
      <w:proofErr w:type="gramStart"/>
      <w:r w:rsidRPr="00DF527D">
        <w:rPr>
          <w:sz w:val="24"/>
          <w:lang w:val="nl-NL"/>
        </w:rPr>
        <w:t>TA(</w:t>
      </w:r>
      <w:proofErr w:type="gramEnd"/>
      <w:r w:rsidRPr="00DF527D">
        <w:rPr>
          <w:sz w:val="24"/>
          <w:lang w:val="nl-NL"/>
        </w:rPr>
        <w:t>2024)0</w:t>
      </w:r>
      <w:r w:rsidR="00250350">
        <w:rPr>
          <w:sz w:val="24"/>
          <w:lang w:val="nl-NL"/>
        </w:rPr>
        <w:t>280</w:t>
      </w:r>
      <w:r w:rsidRPr="00DF527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CA14" w14:textId="77777777" w:rsidR="00064002" w:rsidRPr="00DF52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B0846" w14:textId="77777777" w:rsidR="00064002" w:rsidRPr="00DF52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8C32C" w14:textId="77777777" w:rsidR="00064002" w:rsidRPr="00DF52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NL"/>
    <w:docVar w:name="dvnumam" w:val="0"/>
    <w:docVar w:name="dvpe" w:val="753.526"/>
    <w:docVar w:name="dvrapporteur" w:val="Rapporteur: "/>
    <w:docVar w:name="dvtitre" w:val="1. Besluit van het Europees Parlement van 11 april 2024 inzake het verlenen van kwijting voor de uitvoering van de begroting van het Europees Agentschap voor maritieme veiligheid voor het begrotingsjaar 2022(2023/2158(DEC))"/>
  </w:docVars>
  <w:rsids>
    <w:rsidRoot w:val="00DE40A6"/>
    <w:rsid w:val="00002272"/>
    <w:rsid w:val="00064002"/>
    <w:rsid w:val="000677B9"/>
    <w:rsid w:val="000831BA"/>
    <w:rsid w:val="000A42CC"/>
    <w:rsid w:val="000E7DD9"/>
    <w:rsid w:val="0010095E"/>
    <w:rsid w:val="00125B37"/>
    <w:rsid w:val="00187494"/>
    <w:rsid w:val="001F32AE"/>
    <w:rsid w:val="00250350"/>
    <w:rsid w:val="002767FF"/>
    <w:rsid w:val="002B18FE"/>
    <w:rsid w:val="002B5493"/>
    <w:rsid w:val="00343214"/>
    <w:rsid w:val="00361C00"/>
    <w:rsid w:val="00395FA1"/>
    <w:rsid w:val="003E15D4"/>
    <w:rsid w:val="00411CCE"/>
    <w:rsid w:val="0041666E"/>
    <w:rsid w:val="00421060"/>
    <w:rsid w:val="0046304E"/>
    <w:rsid w:val="00471C19"/>
    <w:rsid w:val="004867E3"/>
    <w:rsid w:val="00494A28"/>
    <w:rsid w:val="004A15F2"/>
    <w:rsid w:val="004C0004"/>
    <w:rsid w:val="004C5D52"/>
    <w:rsid w:val="0050519A"/>
    <w:rsid w:val="005072A1"/>
    <w:rsid w:val="00514517"/>
    <w:rsid w:val="00545827"/>
    <w:rsid w:val="00560270"/>
    <w:rsid w:val="005C161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578"/>
    <w:rsid w:val="00981893"/>
    <w:rsid w:val="00A1687D"/>
    <w:rsid w:val="00A43E52"/>
    <w:rsid w:val="00A4678D"/>
    <w:rsid w:val="00A778C7"/>
    <w:rsid w:val="00AB441E"/>
    <w:rsid w:val="00AB6293"/>
    <w:rsid w:val="00AE0928"/>
    <w:rsid w:val="00AF3B82"/>
    <w:rsid w:val="00B12E95"/>
    <w:rsid w:val="00B22876"/>
    <w:rsid w:val="00B47F82"/>
    <w:rsid w:val="00B558F0"/>
    <w:rsid w:val="00BD48FE"/>
    <w:rsid w:val="00BD7BD8"/>
    <w:rsid w:val="00BE6ADC"/>
    <w:rsid w:val="00C05BFE"/>
    <w:rsid w:val="00C23CD4"/>
    <w:rsid w:val="00C343B1"/>
    <w:rsid w:val="00C61C0C"/>
    <w:rsid w:val="00C941CB"/>
    <w:rsid w:val="00CC2357"/>
    <w:rsid w:val="00CF071A"/>
    <w:rsid w:val="00D058B8"/>
    <w:rsid w:val="00D56C11"/>
    <w:rsid w:val="00D834A0"/>
    <w:rsid w:val="00D872DF"/>
    <w:rsid w:val="00D91E21"/>
    <w:rsid w:val="00DA7FCD"/>
    <w:rsid w:val="00DE40A6"/>
    <w:rsid w:val="00DF527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39003"/>
  <w15:chartTrackingRefBased/>
  <w15:docId w15:val="{75BBD985-D017-4705-A13B-309B31A5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43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343B1"/>
    <w:pPr>
      <w:spacing w:before="480" w:after="240"/>
    </w:pPr>
  </w:style>
  <w:style w:type="paragraph" w:customStyle="1" w:styleId="PageHeading">
    <w:name w:val="PageHeading"/>
    <w:basedOn w:val="Normal"/>
    <w:rsid w:val="00C343B1"/>
    <w:pPr>
      <w:keepNext/>
      <w:spacing w:after="480"/>
      <w:jc w:val="center"/>
    </w:pPr>
    <w:rPr>
      <w:rFonts w:ascii="Arial" w:hAnsi="Arial" w:cs="Arial"/>
      <w:b/>
    </w:rPr>
  </w:style>
  <w:style w:type="paragraph" w:customStyle="1" w:styleId="NormalBold">
    <w:name w:val="NormalBold"/>
    <w:basedOn w:val="Normal"/>
    <w:rsid w:val="00C343B1"/>
    <w:rPr>
      <w:b/>
    </w:rPr>
  </w:style>
  <w:style w:type="paragraph" w:customStyle="1" w:styleId="NormalHanging12a">
    <w:name w:val="NormalHanging12a"/>
    <w:basedOn w:val="Normal"/>
    <w:link w:val="NormalHanging12aChar"/>
    <w:rsid w:val="00C343B1"/>
    <w:pPr>
      <w:spacing w:after="240"/>
      <w:ind w:left="567" w:hanging="567"/>
    </w:pPr>
  </w:style>
  <w:style w:type="paragraph" w:customStyle="1" w:styleId="NormalCenter12a">
    <w:name w:val="NormalCenter12a"/>
    <w:basedOn w:val="Normal"/>
    <w:rsid w:val="00C343B1"/>
    <w:pPr>
      <w:spacing w:after="240"/>
      <w:jc w:val="center"/>
    </w:pPr>
  </w:style>
  <w:style w:type="paragraph" w:styleId="Header">
    <w:name w:val="header"/>
    <w:basedOn w:val="Normal"/>
    <w:link w:val="HeaderChar"/>
    <w:rsid w:val="00C343B1"/>
    <w:pPr>
      <w:tabs>
        <w:tab w:val="center" w:pos="4513"/>
        <w:tab w:val="right" w:pos="9026"/>
      </w:tabs>
    </w:pPr>
  </w:style>
  <w:style w:type="character" w:customStyle="1" w:styleId="HeaderChar">
    <w:name w:val="Header Char"/>
    <w:basedOn w:val="DefaultParagraphFont"/>
    <w:link w:val="Header"/>
    <w:rsid w:val="00C343B1"/>
    <w:rPr>
      <w:sz w:val="24"/>
      <w:lang w:val="nl-NL"/>
    </w:rPr>
  </w:style>
  <w:style w:type="paragraph" w:customStyle="1" w:styleId="EPFooter">
    <w:name w:val="EPFooter"/>
    <w:basedOn w:val="Normal"/>
    <w:rsid w:val="00C343B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343B1"/>
    <w:rPr>
      <w:sz w:val="24"/>
      <w:lang w:val="nl-NL"/>
    </w:rPr>
  </w:style>
  <w:style w:type="paragraph" w:customStyle="1" w:styleId="Normal12Hanging">
    <w:name w:val="Normal12Hanging"/>
    <w:basedOn w:val="Normal"/>
    <w:rsid w:val="00C343B1"/>
    <w:pPr>
      <w:spacing w:after="240"/>
      <w:ind w:left="567" w:hanging="567"/>
    </w:pPr>
  </w:style>
  <w:style w:type="character" w:styleId="CommentReference">
    <w:name w:val="annotation reference"/>
    <w:basedOn w:val="DefaultParagraphFont"/>
    <w:rsid w:val="0046304E"/>
    <w:rPr>
      <w:sz w:val="16"/>
      <w:szCs w:val="16"/>
    </w:rPr>
  </w:style>
  <w:style w:type="paragraph" w:styleId="CommentText">
    <w:name w:val="annotation text"/>
    <w:basedOn w:val="Normal"/>
    <w:link w:val="CommentTextChar"/>
    <w:rsid w:val="0046304E"/>
    <w:rPr>
      <w:sz w:val="20"/>
    </w:rPr>
  </w:style>
  <w:style w:type="character" w:customStyle="1" w:styleId="CommentTextChar">
    <w:name w:val="Comment Text Char"/>
    <w:basedOn w:val="DefaultParagraphFont"/>
    <w:link w:val="CommentText"/>
    <w:rsid w:val="0046304E"/>
    <w:rPr>
      <w:lang w:val="nl-NL"/>
    </w:rPr>
  </w:style>
  <w:style w:type="paragraph" w:styleId="CommentSubject">
    <w:name w:val="annotation subject"/>
    <w:basedOn w:val="CommentText"/>
    <w:next w:val="CommentText"/>
    <w:link w:val="CommentSubjectChar"/>
    <w:rsid w:val="0046304E"/>
    <w:rPr>
      <w:b/>
      <w:bCs/>
    </w:rPr>
  </w:style>
  <w:style w:type="character" w:customStyle="1" w:styleId="CommentSubjectChar">
    <w:name w:val="Comment Subject Char"/>
    <w:basedOn w:val="CommentTextChar"/>
    <w:link w:val="CommentSubject"/>
    <w:rsid w:val="0046304E"/>
    <w:rPr>
      <w:b/>
      <w:bCs/>
      <w:lang w:val="nl-NL"/>
    </w:rPr>
  </w:style>
  <w:style w:type="paragraph" w:styleId="BalloonText">
    <w:name w:val="Balloon Text"/>
    <w:basedOn w:val="Normal"/>
    <w:link w:val="BalloonTextChar"/>
    <w:rsid w:val="0046304E"/>
    <w:rPr>
      <w:rFonts w:ascii="Segoe UI" w:hAnsi="Segoe UI" w:cs="Segoe UI"/>
      <w:sz w:val="18"/>
      <w:szCs w:val="18"/>
    </w:rPr>
  </w:style>
  <w:style w:type="character" w:customStyle="1" w:styleId="BalloonTextChar">
    <w:name w:val="Balloon Text Char"/>
    <w:basedOn w:val="DefaultParagraphFont"/>
    <w:link w:val="BalloonText"/>
    <w:rsid w:val="0046304E"/>
    <w:rPr>
      <w:rFonts w:ascii="Segoe UI" w:hAnsi="Segoe UI" w:cs="Segoe UI"/>
      <w:sz w:val="18"/>
      <w:szCs w:val="18"/>
      <w:lang w:val="nl-NL"/>
    </w:rPr>
  </w:style>
  <w:style w:type="paragraph" w:styleId="Footer">
    <w:name w:val="footer"/>
    <w:basedOn w:val="Normal"/>
    <w:link w:val="FooterChar"/>
    <w:rsid w:val="0046304E"/>
    <w:pPr>
      <w:tabs>
        <w:tab w:val="center" w:pos="4513"/>
        <w:tab w:val="right" w:pos="9026"/>
      </w:tabs>
    </w:pPr>
  </w:style>
  <w:style w:type="character" w:customStyle="1" w:styleId="FooterChar">
    <w:name w:val="Footer Char"/>
    <w:basedOn w:val="DefaultParagraphFont"/>
    <w:link w:val="Footer"/>
    <w:rsid w:val="0046304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9D800-B4BB-49F7-859E-0F9D18789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3369</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Karina Pesa</cp:lastModifiedBy>
  <cp:revision>3</cp:revision>
  <cp:lastPrinted>2004-11-19T15:42:00Z</cp:lastPrinted>
  <dcterms:created xsi:type="dcterms:W3CDTF">2024-05-22T15:54:00Z</dcterms:created>
  <dcterms:modified xsi:type="dcterms:W3CDTF">2024-10-30T16:14:00Z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P9_TA(2024)0248_</vt:lpwstr>
  </property>
  <property fmtid="{D5CDD505-2E9C-101B-9397-08002B2CF9AE}" pid="4" name="&lt;Type&gt;">
    <vt:lpwstr>RR</vt:lpwstr>
  </property>
</Properties>
</file>