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878" w:rsidTr="0010095E">
        <w:trPr>
          <w:trHeight w:hRule="exact" w:val="1418"/>
        </w:trPr>
        <w:tc>
          <w:tcPr>
            <w:tcW w:w="6804" w:type="dxa"/>
            <w:shd w:val="clear" w:color="auto" w:fill="auto"/>
            <w:vAlign w:val="center"/>
          </w:tcPr>
          <w:p w:rsidR="00751A4A" w:rsidRPr="00625878" w:rsidRDefault="008A6E57" w:rsidP="0010095E">
            <w:pPr>
              <w:pStyle w:val="EPName"/>
            </w:pPr>
            <w:r w:rsidRPr="00625878">
              <w:t>Parlamentul European</w:t>
            </w:r>
          </w:p>
          <w:p w:rsidR="00751A4A" w:rsidRPr="00625878" w:rsidRDefault="00817416" w:rsidP="00756632">
            <w:pPr>
              <w:pStyle w:val="EPTerm"/>
              <w:rPr>
                <w:rStyle w:val="HideTWBExt"/>
                <w:noProof w:val="0"/>
                <w:vanish w:val="0"/>
                <w:color w:val="auto"/>
              </w:rPr>
            </w:pPr>
            <w:r w:rsidRPr="00625878">
              <w:t>2019-2024</w:t>
            </w:r>
          </w:p>
        </w:tc>
        <w:tc>
          <w:tcPr>
            <w:tcW w:w="2268" w:type="dxa"/>
            <w:shd w:val="clear" w:color="auto" w:fill="auto"/>
          </w:tcPr>
          <w:p w:rsidR="00751A4A" w:rsidRPr="00625878" w:rsidRDefault="00187494" w:rsidP="0010095E">
            <w:pPr>
              <w:pStyle w:val="EPLogo"/>
            </w:pPr>
            <w:r w:rsidRPr="006258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5878" w:rsidRDefault="00D058B8" w:rsidP="004C5D52">
      <w:pPr>
        <w:pStyle w:val="LineTop"/>
      </w:pPr>
    </w:p>
    <w:p w:rsidR="00680577" w:rsidRPr="00625878" w:rsidRDefault="008A6E57" w:rsidP="00680577">
      <w:pPr>
        <w:pStyle w:val="EPBodyTA1"/>
      </w:pPr>
      <w:r w:rsidRPr="00625878">
        <w:t>TEXTE ADOPTATE</w:t>
      </w:r>
    </w:p>
    <w:p w:rsidR="00D058B8" w:rsidRPr="00625878" w:rsidRDefault="00D058B8" w:rsidP="00D058B8">
      <w:pPr>
        <w:pStyle w:val="LineBottom"/>
      </w:pPr>
    </w:p>
    <w:p w:rsidR="008A6E57" w:rsidRPr="00625878" w:rsidRDefault="008A6E57" w:rsidP="008A6E57">
      <w:pPr>
        <w:pStyle w:val="ATHeading1"/>
      </w:pPr>
      <w:bookmarkStart w:id="0" w:name="TANumber"/>
      <w:r w:rsidRPr="00625878">
        <w:t>P9_TA(2024)</w:t>
      </w:r>
      <w:bookmarkEnd w:id="0"/>
      <w:r w:rsidR="00625878" w:rsidRPr="00625878">
        <w:t>0248</w:t>
      </w:r>
    </w:p>
    <w:p w:rsidR="008A6E57" w:rsidRPr="00625878" w:rsidRDefault="008A6E57" w:rsidP="008A6E57">
      <w:pPr>
        <w:pStyle w:val="ATHeading2"/>
      </w:pPr>
      <w:bookmarkStart w:id="1" w:name="title"/>
      <w:r w:rsidRPr="00625878">
        <w:t>Descărcarea de gestiune 2022: Agenția Europeană pentru Siguranță Maritimă</w:t>
      </w:r>
      <w:bookmarkEnd w:id="1"/>
    </w:p>
    <w:p w:rsidR="008A6E57" w:rsidRPr="00625878" w:rsidRDefault="008A6E57" w:rsidP="008A6E57">
      <w:pPr>
        <w:rPr>
          <w:i/>
          <w:vanish/>
        </w:rPr>
      </w:pPr>
      <w:r w:rsidRPr="00625878">
        <w:rPr>
          <w:i/>
        </w:rPr>
        <w:fldChar w:fldCharType="begin"/>
      </w:r>
      <w:r w:rsidRPr="00625878">
        <w:rPr>
          <w:i/>
        </w:rPr>
        <w:instrText xml:space="preserve"> TC"(</w:instrText>
      </w:r>
      <w:bookmarkStart w:id="2" w:name="DocNumber"/>
      <w:r w:rsidRPr="00625878">
        <w:rPr>
          <w:i/>
        </w:rPr>
        <w:instrText>A9-0107/2024</w:instrText>
      </w:r>
      <w:bookmarkEnd w:id="2"/>
      <w:r w:rsidRPr="00625878">
        <w:rPr>
          <w:i/>
        </w:rPr>
        <w:instrText xml:space="preserve"> - Raportor: Petri </w:instrText>
      </w:r>
      <w:proofErr w:type="spellStart"/>
      <w:r w:rsidRPr="00625878">
        <w:rPr>
          <w:i/>
        </w:rPr>
        <w:instrText>Sarvamaa</w:instrText>
      </w:r>
      <w:proofErr w:type="spellEnd"/>
      <w:r w:rsidRPr="00625878">
        <w:rPr>
          <w:i/>
        </w:rPr>
        <w:instrText xml:space="preserve">)"\l3 \n&gt; \* MERGEFORMAT </w:instrText>
      </w:r>
      <w:r w:rsidRPr="00625878">
        <w:rPr>
          <w:i/>
        </w:rPr>
        <w:fldChar w:fldCharType="end"/>
      </w:r>
    </w:p>
    <w:p w:rsidR="008A6E57" w:rsidRPr="00625878" w:rsidRDefault="008A6E57" w:rsidP="008A6E57">
      <w:pPr>
        <w:rPr>
          <w:vanish/>
        </w:rPr>
      </w:pPr>
      <w:bookmarkStart w:id="3" w:name="Commission"/>
      <w:r w:rsidRPr="00625878">
        <w:rPr>
          <w:vanish/>
        </w:rPr>
        <w:t>Comisia pentru control bugetar</w:t>
      </w:r>
      <w:bookmarkEnd w:id="3"/>
    </w:p>
    <w:p w:rsidR="008A6E57" w:rsidRPr="00625878" w:rsidRDefault="008A6E57" w:rsidP="008A6E57">
      <w:pPr>
        <w:rPr>
          <w:vanish/>
        </w:rPr>
      </w:pPr>
      <w:bookmarkStart w:id="4" w:name="PE"/>
      <w:r w:rsidRPr="00625878">
        <w:rPr>
          <w:vanish/>
        </w:rPr>
        <w:t>PE753.526</w:t>
      </w:r>
      <w:bookmarkEnd w:id="4"/>
    </w:p>
    <w:p w:rsidR="008A6E57" w:rsidRPr="00625878" w:rsidRDefault="00112EE9" w:rsidP="00127054">
      <w:pPr>
        <w:pStyle w:val="ATHeading3"/>
      </w:pPr>
      <w:bookmarkStart w:id="5" w:name="Sujet"/>
      <w:r>
        <w:t xml:space="preserve">1. </w:t>
      </w:r>
      <w:r w:rsidR="008A6E57" w:rsidRPr="00625878">
        <w:t>Decizia Parlamentului European din 11 aprilie 2024 privind descărcarea de gestiune pentru execuția bugetului Agenției Europene pentru Siguranță Maritimă aferent exercițiului financiar 2022</w:t>
      </w:r>
      <w:bookmarkEnd w:id="5"/>
      <w:r w:rsidR="008A6E57" w:rsidRPr="00625878">
        <w:t xml:space="preserve"> </w:t>
      </w:r>
      <w:bookmarkStart w:id="6" w:name="References"/>
      <w:r w:rsidR="008A6E57" w:rsidRPr="00625878">
        <w:t>(2023/2158(DEC))</w:t>
      </w:r>
      <w:bookmarkEnd w:id="6"/>
    </w:p>
    <w:p w:rsidR="00F01FE4" w:rsidRPr="00625878" w:rsidRDefault="00F01FE4" w:rsidP="00F01FE4">
      <w:pPr>
        <w:pStyle w:val="EPComma"/>
      </w:pPr>
      <w:bookmarkStart w:id="7" w:name="TextBodyBegin"/>
      <w:bookmarkEnd w:id="7"/>
      <w:r w:rsidRPr="00625878">
        <w:rPr>
          <w:i/>
          <w:iCs/>
        </w:rPr>
        <w:t>Parlamentul European</w:t>
      </w:r>
      <w:r w:rsidRPr="00625878">
        <w:t>,</w:t>
      </w:r>
    </w:p>
    <w:p w:rsidR="00F01FE4" w:rsidRPr="00625878" w:rsidRDefault="00F01FE4" w:rsidP="00F01FE4">
      <w:pPr>
        <w:pStyle w:val="NormalHanging12a"/>
      </w:pPr>
      <w:r w:rsidRPr="00625878">
        <w:t>–</w:t>
      </w:r>
      <w:r w:rsidRPr="00625878">
        <w:tab/>
        <w:t>având în vedere conturile anuale finale ale Agenției Europene pentru Siguranță Maritimă pentru exercițiul financiar 2022,</w:t>
      </w:r>
    </w:p>
    <w:p w:rsidR="00F01FE4" w:rsidRPr="00625878" w:rsidRDefault="00F01FE4" w:rsidP="00F01FE4">
      <w:pPr>
        <w:pStyle w:val="NormalHanging12a"/>
      </w:pPr>
      <w:r w:rsidRPr="00625878">
        <w:t>–</w:t>
      </w:r>
      <w:r w:rsidRPr="00625878">
        <w:tab/>
        <w:t>având în vedere Raportul anual al Curții de Conturi privind agențiile UE pentru exercițiul financiar 2022, însoțit de răspunsurile agențiilor</w:t>
      </w:r>
      <w:r w:rsidRPr="00625878">
        <w:rPr>
          <w:rStyle w:val="FootnoteReference"/>
        </w:rPr>
        <w:footnoteReference w:id="1"/>
      </w:r>
      <w:r w:rsidRPr="00625878">
        <w:t>,</w:t>
      </w:r>
    </w:p>
    <w:p w:rsidR="00F01FE4" w:rsidRPr="00625878" w:rsidRDefault="00F01FE4" w:rsidP="00F01FE4">
      <w:pPr>
        <w:pStyle w:val="NormalHanging12a"/>
      </w:pPr>
      <w:r w:rsidRPr="00625878">
        <w:t>–</w:t>
      </w:r>
      <w:r w:rsidRPr="00625878">
        <w:tab/>
        <w:t>având în vedere declarația de asigurare</w:t>
      </w:r>
      <w:r w:rsidRPr="00625878">
        <w:rPr>
          <w:rStyle w:val="FootnoteReference"/>
        </w:rPr>
        <w:footnoteReference w:id="2"/>
      </w:r>
      <w:r w:rsidRPr="00625878">
        <w:t xml:space="preserve"> privind fiabilitatea conturilor și legalitatea și regularitatea operațiunilor subiacente întocmită de Curtea de Conturi pentru exercițiul 2022 în temeiul articolului 287 din Tratatul privind funcționarea Uniunii Europene,</w:t>
      </w:r>
    </w:p>
    <w:p w:rsidR="00F01FE4" w:rsidRPr="00625878" w:rsidRDefault="00F01FE4" w:rsidP="00F01FE4">
      <w:pPr>
        <w:pStyle w:val="NormalHanging12a"/>
      </w:pPr>
      <w:r w:rsidRPr="00625878">
        <w:t>–</w:t>
      </w:r>
      <w:r w:rsidRPr="00625878">
        <w:tab/>
        <w:t>având în vedere Recomandarea Consiliului din 22 februarie 2024 privind descărcarea de gestiune a Agenției în ceea ce privește execuția bugetară pentru exercițiul financiar 2022 (</w:t>
      </w:r>
      <w:r w:rsidR="00655F33" w:rsidRPr="00625878">
        <w:t>06180/2024 – C9</w:t>
      </w:r>
      <w:r w:rsidR="00655F33" w:rsidRPr="00625878">
        <w:noBreakHyphen/>
        <w:t>0096/2024</w:t>
      </w:r>
      <w:r w:rsidRPr="00625878">
        <w:t>),</w:t>
      </w:r>
    </w:p>
    <w:p w:rsidR="00F01FE4" w:rsidRPr="00625878" w:rsidRDefault="00F01FE4" w:rsidP="00F01FE4">
      <w:pPr>
        <w:pStyle w:val="NormalHanging12a"/>
      </w:pPr>
      <w:r w:rsidRPr="00625878">
        <w:t>–</w:t>
      </w:r>
      <w:r w:rsidRPr="00625878">
        <w:tab/>
        <w:t>având în vedere articolul 319 din Tratatul privind funcționarea Uniunii Europene,</w:t>
      </w:r>
    </w:p>
    <w:p w:rsidR="00F01FE4" w:rsidRPr="00625878" w:rsidRDefault="00F01FE4" w:rsidP="00F01FE4">
      <w:pPr>
        <w:pStyle w:val="NormalHanging12a"/>
      </w:pPr>
      <w:r w:rsidRPr="00625878">
        <w:t>–</w:t>
      </w:r>
      <w:r w:rsidRPr="0062587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25878">
        <w:rPr>
          <w:rStyle w:val="FootnoteReference"/>
        </w:rPr>
        <w:footnoteReference w:id="3"/>
      </w:r>
      <w:r w:rsidRPr="00625878">
        <w:t>, în special articolul 70,</w:t>
      </w:r>
    </w:p>
    <w:p w:rsidR="00F01FE4" w:rsidRPr="00625878" w:rsidRDefault="00F01FE4" w:rsidP="00F01FE4">
      <w:pPr>
        <w:pStyle w:val="NormalHanging12a"/>
      </w:pPr>
      <w:r w:rsidRPr="00625878">
        <w:t>–</w:t>
      </w:r>
      <w:r w:rsidRPr="00625878">
        <w:tab/>
        <w:t xml:space="preserve">având în vedere Regulamentul (CE) nr. 1406/2002 al Parlamentului European și al </w:t>
      </w:r>
      <w:r w:rsidRPr="00625878">
        <w:lastRenderedPageBreak/>
        <w:t>Consiliului din 27 iunie 2002 de instituire a unei Agenții Europene pentru Siguranță Maritimă</w:t>
      </w:r>
      <w:r w:rsidRPr="00625878">
        <w:rPr>
          <w:rStyle w:val="FootnoteReference"/>
        </w:rPr>
        <w:footnoteReference w:id="4"/>
      </w:r>
      <w:r w:rsidRPr="00625878">
        <w:t>, în special articolul 19,</w:t>
      </w:r>
    </w:p>
    <w:p w:rsidR="00F01FE4" w:rsidRPr="00625878" w:rsidRDefault="00F01FE4" w:rsidP="00F01FE4">
      <w:pPr>
        <w:pStyle w:val="NormalHanging12a"/>
      </w:pPr>
      <w:r w:rsidRPr="00625878">
        <w:t>–</w:t>
      </w:r>
      <w:r w:rsidRPr="00625878">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25878">
        <w:rPr>
          <w:rStyle w:val="FootnoteReference"/>
        </w:rPr>
        <w:footnoteReference w:id="5"/>
      </w:r>
      <w:r w:rsidRPr="00625878">
        <w:t>, în special articolul 105,</w:t>
      </w:r>
    </w:p>
    <w:p w:rsidR="00F01FE4" w:rsidRPr="00625878" w:rsidRDefault="00F01FE4" w:rsidP="00F01FE4">
      <w:pPr>
        <w:pStyle w:val="NormalHanging12a"/>
      </w:pPr>
      <w:r w:rsidRPr="00625878">
        <w:t>–</w:t>
      </w:r>
      <w:r w:rsidRPr="00625878">
        <w:tab/>
        <w:t>având în vedere articolul 100 și anexa V la Regulamentul său de procedură,</w:t>
      </w:r>
    </w:p>
    <w:p w:rsidR="00F01FE4" w:rsidRPr="00625878" w:rsidRDefault="00F01FE4" w:rsidP="00F01FE4">
      <w:pPr>
        <w:pStyle w:val="NormalHanging12a"/>
      </w:pPr>
      <w:r w:rsidRPr="00625878">
        <w:t>–</w:t>
      </w:r>
      <w:r w:rsidRPr="00625878">
        <w:tab/>
        <w:t>având în vedere avizul Comisiei pentru transport și turism,</w:t>
      </w:r>
    </w:p>
    <w:p w:rsidR="00F01FE4" w:rsidRPr="00625878" w:rsidRDefault="00F01FE4" w:rsidP="00F01FE4">
      <w:pPr>
        <w:pStyle w:val="NormalHanging12a"/>
      </w:pPr>
      <w:r w:rsidRPr="00625878">
        <w:t>–</w:t>
      </w:r>
      <w:r w:rsidRPr="00625878">
        <w:tab/>
        <w:t>având în vedere raportul Comisiei pentru control bugetar (A9-0107/2024),</w:t>
      </w:r>
    </w:p>
    <w:p w:rsidR="00F01FE4" w:rsidRPr="00625878" w:rsidRDefault="00F01FE4" w:rsidP="00F01FE4">
      <w:pPr>
        <w:pStyle w:val="NormalHanging12a"/>
      </w:pPr>
      <w:r w:rsidRPr="00625878">
        <w:t>1.</w:t>
      </w:r>
      <w:r w:rsidRPr="00625878">
        <w:tab/>
        <w:t>acordă directoarei executive a Agenției Europene pentru Siguranță Maritimă descărcarea de gestiune pentru execuția bugetului Agenției aferent exercițiului financiar 2022;</w:t>
      </w:r>
    </w:p>
    <w:p w:rsidR="00F01FE4" w:rsidRPr="00625878" w:rsidRDefault="00F01FE4" w:rsidP="00F01FE4">
      <w:pPr>
        <w:pStyle w:val="NormalHanging12a"/>
      </w:pPr>
      <w:r w:rsidRPr="00625878">
        <w:t>2.</w:t>
      </w:r>
      <w:r w:rsidRPr="00625878">
        <w:tab/>
        <w:t>își prezintă observațiile în cadrul rezoluției de mai jos;</w:t>
      </w:r>
    </w:p>
    <w:p w:rsidR="00F01FE4" w:rsidRPr="00625878" w:rsidRDefault="00F01FE4" w:rsidP="00F01FE4">
      <w:pPr>
        <w:pStyle w:val="NormalHanging12a"/>
      </w:pPr>
      <w:r w:rsidRPr="00625878">
        <w:t>3.</w:t>
      </w:r>
      <w:r w:rsidRPr="00625878">
        <w:tab/>
        <w:t xml:space="preserve">încredințează Președintei sarcina de a transmite prezenta decizie împreună cu rezoluția Parlamentului, ca parte integrantă a acesteia, directoarei executive a Agenției Europene pentru Siguranță Maritimă, Consiliului, Comisiei și Curții de Conturi și de a asigura publicarea acestora în </w:t>
      </w:r>
      <w:r w:rsidRPr="00625878">
        <w:rPr>
          <w:i/>
        </w:rPr>
        <w:t>Jurnalul Oficial al Uniunii Europene</w:t>
      </w:r>
      <w:r w:rsidRPr="00625878">
        <w:t xml:space="preserve"> (seria L).</w:t>
      </w:r>
    </w:p>
    <w:p w:rsidR="00F01FE4" w:rsidRPr="00625878" w:rsidRDefault="00F01FE4" w:rsidP="00F01FE4"/>
    <w:p w:rsidR="00F01FE4" w:rsidRPr="00625878" w:rsidRDefault="00F01FE4" w:rsidP="00F01FE4">
      <w:pPr>
        <w:widowControl/>
        <w:rPr>
          <w:rFonts w:ascii="Arial" w:hAnsi="Arial" w:cs="Arial"/>
          <w:b/>
        </w:rPr>
        <w:sectPr w:rsidR="00F01FE4" w:rsidRPr="00625878" w:rsidSect="007B6B8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01FE4" w:rsidRPr="00625878" w:rsidRDefault="004F30A3" w:rsidP="00127054">
      <w:pPr>
        <w:pStyle w:val="ATHeading3"/>
      </w:pPr>
      <w:r w:rsidRPr="00625878">
        <w:lastRenderedPageBreak/>
        <w:t xml:space="preserve">2. Decizia Parlamentului European din 11 aprilie 2024 </w:t>
      </w:r>
      <w:r w:rsidR="00F01FE4" w:rsidRPr="00625878">
        <w:t>privind închiderea conturilor Agenției Europene pentru Siguranță Maritimă pentru exercițiul financiar 2022</w:t>
      </w:r>
      <w:r w:rsidR="00127054" w:rsidRPr="00625878">
        <w:t xml:space="preserve"> </w:t>
      </w:r>
      <w:r w:rsidR="00F01FE4" w:rsidRPr="00625878">
        <w:t>(2023/2158(DEC))</w:t>
      </w:r>
    </w:p>
    <w:p w:rsidR="00F01FE4" w:rsidRPr="00625878" w:rsidRDefault="00F01FE4" w:rsidP="00F01FE4">
      <w:pPr>
        <w:pStyle w:val="EPComma"/>
      </w:pPr>
      <w:r w:rsidRPr="00625878">
        <w:rPr>
          <w:i/>
          <w:iCs/>
        </w:rPr>
        <w:t>Parlamentul European</w:t>
      </w:r>
      <w:r w:rsidRPr="00625878">
        <w:t>,</w:t>
      </w:r>
    </w:p>
    <w:p w:rsidR="00F01FE4" w:rsidRPr="00625878" w:rsidRDefault="00F01FE4" w:rsidP="00F01FE4">
      <w:pPr>
        <w:pStyle w:val="NormalHanging12a"/>
      </w:pPr>
      <w:r w:rsidRPr="00625878">
        <w:t>–</w:t>
      </w:r>
      <w:r w:rsidRPr="00625878">
        <w:tab/>
        <w:t>având în vedere conturile anuale finale ale Agenției Europene pentru Siguranță Maritimă pentru exercițiul financiar 2022,</w:t>
      </w:r>
    </w:p>
    <w:p w:rsidR="00F01FE4" w:rsidRPr="00625878" w:rsidRDefault="00F01FE4" w:rsidP="00F01FE4">
      <w:pPr>
        <w:pStyle w:val="NormalHanging12a"/>
      </w:pPr>
      <w:r w:rsidRPr="00625878">
        <w:t>–</w:t>
      </w:r>
      <w:r w:rsidRPr="00625878">
        <w:tab/>
        <w:t>având în vedere Raportul anual al Curții de Conturi privind agențiile UE pentru exercițiul financiar 2022, însoțit de răspunsurile agențiilor</w:t>
      </w:r>
      <w:r w:rsidRPr="00625878">
        <w:rPr>
          <w:rStyle w:val="FootnoteReference"/>
        </w:rPr>
        <w:footnoteReference w:id="6"/>
      </w:r>
      <w:r w:rsidRPr="00625878">
        <w:t>,</w:t>
      </w:r>
    </w:p>
    <w:p w:rsidR="00F01FE4" w:rsidRPr="00625878" w:rsidRDefault="00F01FE4" w:rsidP="00F01FE4">
      <w:pPr>
        <w:pStyle w:val="NormalHanging12a"/>
      </w:pPr>
      <w:r w:rsidRPr="00625878">
        <w:t>–</w:t>
      </w:r>
      <w:r w:rsidRPr="00625878">
        <w:tab/>
        <w:t>având în vedere declarația de asigurare</w:t>
      </w:r>
      <w:r w:rsidRPr="00625878">
        <w:rPr>
          <w:rStyle w:val="FootnoteReference"/>
        </w:rPr>
        <w:footnoteReference w:id="7"/>
      </w:r>
      <w:r w:rsidRPr="00625878">
        <w:t xml:space="preserve"> privind fiabilitatea conturilor și legalitatea și regularitatea operațiunilor subiacente întocmită de Curtea de Conturi pentru exercițiul 2022 în temeiul articolului 287 din Tratatul privind funcționarea Uniunii Europene,</w:t>
      </w:r>
    </w:p>
    <w:p w:rsidR="00F01FE4" w:rsidRPr="00625878" w:rsidRDefault="00F01FE4" w:rsidP="00F01FE4">
      <w:pPr>
        <w:pStyle w:val="NormalHanging12a"/>
      </w:pPr>
      <w:r w:rsidRPr="00625878">
        <w:t>–</w:t>
      </w:r>
      <w:r w:rsidRPr="00625878">
        <w:tab/>
        <w:t>având în vedere Recomandarea Consiliului din 22 februarie 2024 privind descărcarea de gestiune a Agenției în ceea ce privește execuția bugetară pentru exercițiul financiar 2022 (</w:t>
      </w:r>
      <w:r w:rsidR="00655F33" w:rsidRPr="00625878">
        <w:t>06180/2024 – C9</w:t>
      </w:r>
      <w:r w:rsidR="00655F33" w:rsidRPr="00625878">
        <w:noBreakHyphen/>
        <w:t>0096/2024</w:t>
      </w:r>
      <w:r w:rsidRPr="00625878">
        <w:t>),</w:t>
      </w:r>
    </w:p>
    <w:p w:rsidR="00F01FE4" w:rsidRPr="00625878" w:rsidRDefault="00F01FE4" w:rsidP="00F01FE4">
      <w:pPr>
        <w:pStyle w:val="NormalHanging12a"/>
      </w:pPr>
      <w:r w:rsidRPr="00625878">
        <w:t>–</w:t>
      </w:r>
      <w:r w:rsidRPr="00625878">
        <w:tab/>
        <w:t>având în vedere articolul 319 din Tratatul privind funcționarea Uniunii Europene,</w:t>
      </w:r>
    </w:p>
    <w:p w:rsidR="00F01FE4" w:rsidRPr="00625878" w:rsidRDefault="00F01FE4" w:rsidP="00F01FE4">
      <w:pPr>
        <w:pStyle w:val="NormalHanging12a"/>
      </w:pPr>
      <w:r w:rsidRPr="00625878">
        <w:t>–</w:t>
      </w:r>
      <w:r w:rsidRPr="0062587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25878">
        <w:rPr>
          <w:rStyle w:val="FootnoteReference"/>
        </w:rPr>
        <w:footnoteReference w:id="8"/>
      </w:r>
      <w:r w:rsidRPr="00625878">
        <w:t>, în special articolul 70,</w:t>
      </w:r>
    </w:p>
    <w:p w:rsidR="00F01FE4" w:rsidRPr="00625878" w:rsidRDefault="00F01FE4" w:rsidP="00F01FE4">
      <w:pPr>
        <w:pStyle w:val="NormalHanging12a"/>
      </w:pPr>
      <w:r w:rsidRPr="00625878">
        <w:t>–</w:t>
      </w:r>
      <w:r w:rsidRPr="00625878">
        <w:tab/>
        <w:t>având în vedere Regulamentul (CE) nr. 1406/2002 al Parlamentului European și al Consiliului din 27 iunie 2002 de instituire a unei Agenții Europene pentru Siguranță Maritimă</w:t>
      </w:r>
      <w:r w:rsidRPr="00625878">
        <w:rPr>
          <w:rStyle w:val="FootnoteReference"/>
        </w:rPr>
        <w:footnoteReference w:id="9"/>
      </w:r>
      <w:r w:rsidRPr="00625878">
        <w:t>, în special articolul 19,</w:t>
      </w:r>
    </w:p>
    <w:p w:rsidR="00F01FE4" w:rsidRPr="00625878" w:rsidRDefault="00F01FE4" w:rsidP="00F01FE4">
      <w:pPr>
        <w:pStyle w:val="NormalHanging12a"/>
      </w:pPr>
      <w:r w:rsidRPr="00625878">
        <w:t>–</w:t>
      </w:r>
      <w:r w:rsidRPr="00625878">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25878">
        <w:rPr>
          <w:rStyle w:val="FootnoteReference"/>
        </w:rPr>
        <w:footnoteReference w:id="10"/>
      </w:r>
      <w:r w:rsidRPr="00625878">
        <w:t>, în special articolul 105,</w:t>
      </w:r>
    </w:p>
    <w:p w:rsidR="00F01FE4" w:rsidRPr="00625878" w:rsidRDefault="00F01FE4" w:rsidP="00F01FE4">
      <w:pPr>
        <w:pStyle w:val="NormalHanging12a"/>
      </w:pPr>
      <w:r w:rsidRPr="00625878">
        <w:t>–</w:t>
      </w:r>
      <w:r w:rsidRPr="00625878">
        <w:tab/>
        <w:t>având în vedere articolul 100 și anexa V la Regulamentul său de procedură,</w:t>
      </w:r>
    </w:p>
    <w:p w:rsidR="00F01FE4" w:rsidRPr="00625878" w:rsidRDefault="00F01FE4" w:rsidP="00F01FE4">
      <w:pPr>
        <w:pStyle w:val="NormalHanging12a"/>
      </w:pPr>
      <w:r w:rsidRPr="00625878">
        <w:t>–</w:t>
      </w:r>
      <w:r w:rsidRPr="00625878">
        <w:tab/>
        <w:t>având în vedere avizul Comisiei pentru transport și turism,</w:t>
      </w:r>
    </w:p>
    <w:p w:rsidR="00F01FE4" w:rsidRPr="00625878" w:rsidRDefault="00F01FE4" w:rsidP="00F01FE4">
      <w:pPr>
        <w:pStyle w:val="NormalHanging12a"/>
      </w:pPr>
      <w:r w:rsidRPr="00625878">
        <w:t>–</w:t>
      </w:r>
      <w:r w:rsidRPr="00625878">
        <w:tab/>
        <w:t>având în vedere raportul Comisiei pentru control bugetar (A9-0107/2024),</w:t>
      </w:r>
    </w:p>
    <w:p w:rsidR="00F01FE4" w:rsidRPr="00625878" w:rsidRDefault="00F01FE4" w:rsidP="00F01FE4">
      <w:pPr>
        <w:pStyle w:val="NormalHanging12a"/>
      </w:pPr>
      <w:r w:rsidRPr="00625878">
        <w:t>1.</w:t>
      </w:r>
      <w:r w:rsidRPr="00625878">
        <w:tab/>
        <w:t xml:space="preserve">aprobă închiderea conturilor Agenției Europene pentru Siguranță Maritimă pentru </w:t>
      </w:r>
      <w:r w:rsidRPr="00625878">
        <w:lastRenderedPageBreak/>
        <w:t>exercițiul financiar 2022;</w:t>
      </w:r>
    </w:p>
    <w:p w:rsidR="00F01FE4" w:rsidRPr="00625878" w:rsidRDefault="00F01FE4" w:rsidP="00F01FE4">
      <w:pPr>
        <w:pStyle w:val="NormalHanging12a"/>
      </w:pPr>
      <w:r w:rsidRPr="00625878">
        <w:t>2.</w:t>
      </w:r>
      <w:r w:rsidRPr="00625878">
        <w:tab/>
        <w:t xml:space="preserve">încredințează Președintei sarcina de a transmite prezenta decizie directoarei executive a Agenției Europene pentru Siguranță Maritimă, Consiliului, Comisiei și Curții de Conturi și de a asigura publicarea acesteia în </w:t>
      </w:r>
      <w:r w:rsidRPr="00625878">
        <w:rPr>
          <w:i/>
        </w:rPr>
        <w:t>Jurnalul Oficial al Uniunii Europene</w:t>
      </w:r>
      <w:r w:rsidRPr="00625878">
        <w:t xml:space="preserve"> (seria L).</w:t>
      </w:r>
    </w:p>
    <w:p w:rsidR="00F01FE4" w:rsidRPr="00625878" w:rsidRDefault="00F01FE4" w:rsidP="00F01FE4"/>
    <w:p w:rsidR="00F01FE4" w:rsidRPr="00625878" w:rsidRDefault="00F01FE4" w:rsidP="00F01FE4">
      <w:pPr>
        <w:widowControl/>
        <w:rPr>
          <w:rFonts w:ascii="Arial" w:hAnsi="Arial" w:cs="Arial"/>
          <w:b/>
        </w:rPr>
        <w:sectPr w:rsidR="00F01FE4" w:rsidRPr="00625878" w:rsidSect="007B6B8F">
          <w:footnotePr>
            <w:numRestart w:val="eachPage"/>
          </w:footnotePr>
          <w:endnotePr>
            <w:numFmt w:val="decimal"/>
          </w:endnotePr>
          <w:pgSz w:w="11906" w:h="16838"/>
          <w:pgMar w:top="1134" w:right="1418" w:bottom="1418" w:left="1418" w:header="567" w:footer="567" w:gutter="0"/>
          <w:cols w:space="720"/>
          <w:docGrid w:linePitch="326"/>
        </w:sectPr>
      </w:pPr>
    </w:p>
    <w:p w:rsidR="00F01FE4" w:rsidRPr="00625878" w:rsidRDefault="004F30A3" w:rsidP="00127054">
      <w:pPr>
        <w:pStyle w:val="ATHeading3"/>
      </w:pPr>
      <w:r w:rsidRPr="00625878">
        <w:lastRenderedPageBreak/>
        <w:t xml:space="preserve">3. Rezoluția Parlamentului European din 11 aprilie 2024 </w:t>
      </w:r>
      <w:r w:rsidR="00F01FE4" w:rsidRPr="00625878">
        <w:t>conținând observațiile care fac parte integrantă din decizia privind descărcarea de gestiune pentru execuția bugetului Agenției Europene pentru Siguranță Maritimă aferent exercițiului financiar</w:t>
      </w:r>
      <w:r w:rsidR="00127054" w:rsidRPr="00625878">
        <w:t> </w:t>
      </w:r>
      <w:r w:rsidR="00F01FE4" w:rsidRPr="00625878">
        <w:t>2022</w:t>
      </w:r>
      <w:r w:rsidR="00127054" w:rsidRPr="00625878">
        <w:t xml:space="preserve"> </w:t>
      </w:r>
      <w:r w:rsidR="00F01FE4" w:rsidRPr="00625878">
        <w:t>(2023/2158(DEC))</w:t>
      </w:r>
    </w:p>
    <w:p w:rsidR="00F01FE4" w:rsidRPr="00625878" w:rsidRDefault="00F01FE4" w:rsidP="00F01FE4">
      <w:pPr>
        <w:pStyle w:val="EPComma"/>
      </w:pPr>
      <w:r w:rsidRPr="00625878">
        <w:rPr>
          <w:i/>
          <w:iCs/>
        </w:rPr>
        <w:t>Parlamentul European</w:t>
      </w:r>
      <w:r w:rsidRPr="00625878">
        <w:t>,</w:t>
      </w:r>
    </w:p>
    <w:p w:rsidR="00F01FE4" w:rsidRPr="00625878" w:rsidRDefault="00F01FE4" w:rsidP="00F01FE4">
      <w:pPr>
        <w:pStyle w:val="NormalHanging12a"/>
      </w:pPr>
      <w:r w:rsidRPr="00625878">
        <w:t>–</w:t>
      </w:r>
      <w:r w:rsidRPr="00625878">
        <w:tab/>
        <w:t>având în vedere decizia sa privind descărcarea de gestiune pentru execuția bugetului Agenției Europene pentru Siguranță Maritimă aferent exercițiului financiar 2022,</w:t>
      </w:r>
    </w:p>
    <w:p w:rsidR="00F01FE4" w:rsidRPr="00625878" w:rsidRDefault="00F01FE4" w:rsidP="00F01FE4">
      <w:pPr>
        <w:pStyle w:val="NormalHanging12a"/>
      </w:pPr>
      <w:r w:rsidRPr="00625878">
        <w:t>–</w:t>
      </w:r>
      <w:r w:rsidRPr="00625878">
        <w:tab/>
        <w:t>având în vedere articolul 100 și anexa V la Regulamentul său de procedură,</w:t>
      </w:r>
    </w:p>
    <w:p w:rsidR="00F01FE4" w:rsidRPr="00625878" w:rsidRDefault="00F01FE4" w:rsidP="00F01FE4">
      <w:pPr>
        <w:pStyle w:val="NormalHanging12a"/>
      </w:pPr>
      <w:r w:rsidRPr="00625878">
        <w:t>–</w:t>
      </w:r>
      <w:r w:rsidRPr="00625878">
        <w:tab/>
        <w:t>având în vedere avizul Comisiei pentru transport și turism,</w:t>
      </w:r>
    </w:p>
    <w:p w:rsidR="00F01FE4" w:rsidRPr="00625878" w:rsidRDefault="00F01FE4" w:rsidP="00F01FE4">
      <w:pPr>
        <w:pStyle w:val="NormalHanging12a"/>
      </w:pPr>
      <w:r w:rsidRPr="00625878">
        <w:t>–</w:t>
      </w:r>
      <w:r w:rsidRPr="00625878">
        <w:tab/>
        <w:t>având în vedere raportul Comisiei pentru control bugetar (A9-0107/2024),</w:t>
      </w:r>
    </w:p>
    <w:p w:rsidR="00F01FE4" w:rsidRPr="00625878" w:rsidRDefault="00F01FE4" w:rsidP="00F01FE4">
      <w:pPr>
        <w:spacing w:after="240"/>
        <w:ind w:left="567" w:hanging="567"/>
        <w:rPr>
          <w:szCs w:val="24"/>
        </w:rPr>
      </w:pPr>
      <w:r w:rsidRPr="00625878">
        <w:t>A.</w:t>
      </w:r>
      <w:r w:rsidRPr="00625878">
        <w:tab/>
        <w:t>întrucât, potrivit situației veniturilor și cheltuielilor sale</w:t>
      </w:r>
      <w:r w:rsidRPr="00625878">
        <w:rPr>
          <w:rStyle w:val="FootnoteReference"/>
          <w:szCs w:val="24"/>
        </w:rPr>
        <w:footnoteReference w:id="11"/>
      </w:r>
      <w:r w:rsidRPr="00625878">
        <w:t>, bugetul definitiv al Agenției Europene pentru Siguranță Maritimă („Agenția”) aferent exercițiului financiar 2022 a fost de 115 807 269,88 EUR, ceea ce reprezintă o creștere cu 9,48 % față de bugetul pe 2021; întrucât bugetul Agenției provine de la bugetul Uniunii și din venituri operaționale;</w:t>
      </w:r>
    </w:p>
    <w:p w:rsidR="00F01FE4" w:rsidRPr="00625878" w:rsidRDefault="00F01FE4" w:rsidP="00F01FE4">
      <w:pPr>
        <w:spacing w:after="240"/>
        <w:ind w:left="567" w:hanging="567"/>
        <w:rPr>
          <w:szCs w:val="24"/>
        </w:rPr>
      </w:pPr>
      <w:r w:rsidRPr="00625878">
        <w:t>B.</w:t>
      </w:r>
      <w:r w:rsidRPr="00625878">
        <w:tab/>
        <w:t>întrucât Curtea de Conturi („Curtea”), în raportul său privind conturile anuale ale Agenției pentru exercițiul financiar 2022 („raportul Curții”), declară că a obținut asigurări rezonabile cu privire la fiabilitatea conturilor anuale ale Agenției și cu privire la legalitatea și regularitatea operațiunilor subiacente;</w:t>
      </w:r>
    </w:p>
    <w:p w:rsidR="00F01FE4" w:rsidRPr="00625878" w:rsidRDefault="00F01FE4" w:rsidP="00F01FE4">
      <w:pPr>
        <w:spacing w:after="240"/>
        <w:ind w:left="567" w:hanging="567"/>
        <w:rPr>
          <w:szCs w:val="24"/>
        </w:rPr>
      </w:pPr>
      <w:r w:rsidRPr="00625878">
        <w:t>C.</w:t>
      </w:r>
      <w:r w:rsidRPr="00625878">
        <w:tab/>
        <w:t>întrucât, în ceea ce privește sectorul achizițiilor publice ale Agenției, nu au fost raportate probleme care să necesite acțiuni corective pentru 2022 și nici nu există acțiuni corective în curs sau restante în urma auditurilor și evaluărilor din exercițiile anterioare;</w:t>
      </w:r>
    </w:p>
    <w:p w:rsidR="00F01FE4" w:rsidRPr="00625878" w:rsidRDefault="00F01FE4" w:rsidP="00F01FE4">
      <w:pPr>
        <w:widowControl/>
        <w:spacing w:after="240"/>
        <w:ind w:left="567" w:hanging="567"/>
        <w:rPr>
          <w:szCs w:val="24"/>
        </w:rPr>
      </w:pPr>
      <w:r w:rsidRPr="00625878">
        <w:t>D.</w:t>
      </w:r>
      <w:r w:rsidRPr="00625878">
        <w:tab/>
        <w:t>întrucât, în ceea ce privește sistemele de control intern ale Agenției, nu au fost raportate probleme care să necesite acțiuni corective pentru 2022 și nici nu există acțiuni corective în curs sau restante în urma auditurilor și evaluărilor din exercițiile anterioare,</w:t>
      </w:r>
    </w:p>
    <w:p w:rsidR="00F01FE4" w:rsidRPr="00625878" w:rsidRDefault="00F01FE4" w:rsidP="00F01FE4">
      <w:pPr>
        <w:spacing w:after="240"/>
        <w:ind w:left="567" w:hanging="567"/>
        <w:rPr>
          <w:b/>
          <w:i/>
          <w:szCs w:val="24"/>
        </w:rPr>
      </w:pPr>
      <w:r w:rsidRPr="00625878">
        <w:rPr>
          <w:b/>
          <w:i/>
        </w:rPr>
        <w:t>Gestiunea bugetară și financiară</w:t>
      </w:r>
    </w:p>
    <w:p w:rsidR="00F01FE4" w:rsidRPr="00625878" w:rsidRDefault="00F01FE4" w:rsidP="00F01FE4">
      <w:pPr>
        <w:spacing w:after="240"/>
        <w:ind w:left="567" w:hanging="567"/>
        <w:rPr>
          <w:szCs w:val="24"/>
        </w:rPr>
      </w:pPr>
      <w:r w:rsidRPr="00625878">
        <w:t>1.</w:t>
      </w:r>
      <w:r w:rsidRPr="00625878">
        <w:tab/>
        <w:t>constată cu satisfacție că eforturile de monitorizare a bugetului în cursul exercițiului financiar 2022 au avut ca rezultat o rată de execuție bugetară a creditelor de angajament din exercițiul curent de 99,80 %, ceea ce reprezintă o ușoară creștere de 0,14 % față de 2021, iar rata de execuție a creditelor de plată din exercițiul curent a fost de 98,42 %, ceea ce reprezintă de asemenea o creștere, cu 1,10 %;</w:t>
      </w:r>
    </w:p>
    <w:p w:rsidR="00F01FE4" w:rsidRPr="00625878" w:rsidRDefault="00F01FE4" w:rsidP="00F01FE4">
      <w:pPr>
        <w:spacing w:after="240"/>
        <w:ind w:left="567" w:hanging="567"/>
        <w:rPr>
          <w:b/>
          <w:i/>
          <w:szCs w:val="24"/>
        </w:rPr>
      </w:pPr>
      <w:r w:rsidRPr="00625878">
        <w:rPr>
          <w:b/>
          <w:i/>
        </w:rPr>
        <w:t>Performanța</w:t>
      </w:r>
    </w:p>
    <w:p w:rsidR="00F01FE4" w:rsidRPr="00625878" w:rsidRDefault="00F01FE4" w:rsidP="00F01FE4">
      <w:pPr>
        <w:spacing w:after="240"/>
        <w:ind w:left="567" w:hanging="567"/>
        <w:rPr>
          <w:szCs w:val="24"/>
        </w:rPr>
      </w:pPr>
      <w:r w:rsidRPr="00625878">
        <w:t>2.</w:t>
      </w:r>
      <w:r w:rsidRPr="00625878">
        <w:tab/>
        <w:t xml:space="preserve">felicită Agenția pentru că folosește indicatori-cheie de performanță pentru a măsura gradul de executare a programului său anual de lucru în domeniile-cheie la care contribuie Agenția și în activitățile sale orizontale (sustenabilitate, supraveghere, </w:t>
      </w:r>
      <w:r w:rsidRPr="00625878">
        <w:lastRenderedPageBreak/>
        <w:t>siguranță și securitate, simplificare, digitalizare, asistență tehnică, consolidarea capacităților și sprijin strategic); salută faptul că, în general, obiectivele au fost atinse, înregistrându-se întârzieri cu foarte puține obiective, în principal, din motive justificate; constată, de asemenea, că Agenția și-a atins obiectivele pentru 2022 în conformitate cu programul anual de lucru și cu cadrul strategic multianual;</w:t>
      </w:r>
    </w:p>
    <w:p w:rsidR="00F01FE4" w:rsidRPr="00625878" w:rsidRDefault="00F01FE4" w:rsidP="00F01FE4">
      <w:pPr>
        <w:spacing w:after="240"/>
        <w:ind w:left="567" w:hanging="567"/>
        <w:rPr>
          <w:szCs w:val="24"/>
        </w:rPr>
      </w:pPr>
      <w:r w:rsidRPr="00625878">
        <w:t>3.</w:t>
      </w:r>
      <w:r w:rsidRPr="00625878">
        <w:tab/>
        <w:t xml:space="preserve">constată că Agenția a fost implicată activ în mai multe inițiative legate de Pactul verde european și a oferit sprijin și date Comisiei și statelor membre, punând un accent deosebit pe diferite propuneri din cadrul pachetului „Pregătiți pentru 55”, ca propunerea </w:t>
      </w:r>
      <w:proofErr w:type="spellStart"/>
      <w:r w:rsidRPr="00625878">
        <w:t>FuelEU</w:t>
      </w:r>
      <w:proofErr w:type="spellEnd"/>
      <w:r w:rsidRPr="00625878">
        <w:t xml:space="preserve"> în domeniul maritim și propunerea care urmărește să extindă sistemul de comercializare a certificatelor de emisii la transportul maritim;</w:t>
      </w:r>
    </w:p>
    <w:p w:rsidR="00F01FE4" w:rsidRPr="00625878" w:rsidRDefault="00F01FE4" w:rsidP="00F01FE4">
      <w:pPr>
        <w:spacing w:after="240"/>
        <w:ind w:left="567" w:hanging="567"/>
        <w:rPr>
          <w:szCs w:val="24"/>
        </w:rPr>
      </w:pPr>
      <w:r w:rsidRPr="00625878">
        <w:t>4.</w:t>
      </w:r>
      <w:r w:rsidRPr="00625878">
        <w:tab/>
        <w:t>consideră îmbucurător că Agenția a devenit un actor important în monitorizarea și raportarea navelor de interes după invadarea ilegală și neprovocată a Ucrainei de către Rusia în februarie 2022; constată, în acest sens, că serviciul de sprijin maritim a raportat statelor membre și Comisiei cu privire la navele aflate sub pavilion rus, a raportat unor anumite state membre și Comisiei cu privire la escalele navelor în porturile UE și cu privire la escalele navelor legate de sancțiuni (de exemplu, importurile de cărbune);</w:t>
      </w:r>
    </w:p>
    <w:p w:rsidR="00F01FE4" w:rsidRPr="00625878" w:rsidRDefault="00F01FE4" w:rsidP="00F01FE4">
      <w:pPr>
        <w:spacing w:after="240"/>
        <w:ind w:left="567" w:hanging="567"/>
        <w:rPr>
          <w:szCs w:val="24"/>
        </w:rPr>
      </w:pPr>
      <w:r w:rsidRPr="00625878">
        <w:t>5.</w:t>
      </w:r>
      <w:r w:rsidRPr="00625878">
        <w:tab/>
        <w:t xml:space="preserve">menționează că serviciile Agenției de observare a Pământului au continuat să dezvolte și să furnizeze capacități de supraveghere, punând accentul pe </w:t>
      </w:r>
      <w:proofErr w:type="spellStart"/>
      <w:r w:rsidRPr="00625878">
        <w:t>CleanSeaNet</w:t>
      </w:r>
      <w:proofErr w:type="spellEnd"/>
      <w:r w:rsidRPr="00625878">
        <w:t xml:space="preserve">, pe Serviciul de supraveghere maritimă </w:t>
      </w:r>
      <w:proofErr w:type="spellStart"/>
      <w:r w:rsidRPr="00625878">
        <w:t>Copernicus</w:t>
      </w:r>
      <w:proofErr w:type="spellEnd"/>
      <w:r w:rsidRPr="00625878">
        <w:t xml:space="preserve"> pentru </w:t>
      </w:r>
      <w:proofErr w:type="spellStart"/>
      <w:r w:rsidRPr="00625878">
        <w:t>Frontex</w:t>
      </w:r>
      <w:proofErr w:type="spellEnd"/>
      <w:r w:rsidRPr="00625878">
        <w:t xml:space="preserve"> și pe sprijinul acordat în situații de urgență maritimă în contextul planului pentru situații neprevăzute al Agenției;</w:t>
      </w:r>
    </w:p>
    <w:p w:rsidR="00F01FE4" w:rsidRPr="00625878" w:rsidRDefault="00F01FE4" w:rsidP="00F01FE4">
      <w:pPr>
        <w:spacing w:after="240"/>
        <w:ind w:left="567" w:hanging="567"/>
        <w:rPr>
          <w:szCs w:val="24"/>
        </w:rPr>
      </w:pPr>
      <w:r w:rsidRPr="00625878">
        <w:t>6.</w:t>
      </w:r>
      <w:r w:rsidRPr="00625878">
        <w:tab/>
        <w:t>consideră un lucru bun că Agenția a oferit sprijin tehnic Comisiei și Autorității AELS de Supraveghere participând la inspecțiile pe care acestea le-au organizat pentru a evalua și verifica punerea în aplicare și asigurarea respectării legislației UE în materie de securitate maritimă în statele membre;</w:t>
      </w:r>
    </w:p>
    <w:p w:rsidR="00F01FE4" w:rsidRPr="00625878" w:rsidRDefault="00F01FE4" w:rsidP="00F01FE4">
      <w:pPr>
        <w:spacing w:after="240"/>
        <w:ind w:left="567" w:hanging="567"/>
        <w:rPr>
          <w:szCs w:val="24"/>
        </w:rPr>
      </w:pPr>
      <w:r w:rsidRPr="00625878">
        <w:t>7.</w:t>
      </w:r>
      <w:r w:rsidRPr="00625878">
        <w:tab/>
        <w:t>observă că în 2022 Agenția a oferit Agenției Uniunii Europene pentru Cooperare în Materie de Aplicare a Legii (EUROPOL) acces la servicii de informații maritime și de supraveghere pentru a o sprijini în activitățile de impunere a legii și de combatere a criminalității organizate pe mare;</w:t>
      </w:r>
    </w:p>
    <w:p w:rsidR="00F01FE4" w:rsidRPr="00625878" w:rsidRDefault="00F01FE4" w:rsidP="00F01FE4">
      <w:pPr>
        <w:spacing w:after="240"/>
        <w:ind w:left="567" w:hanging="567"/>
        <w:rPr>
          <w:i/>
          <w:szCs w:val="24"/>
        </w:rPr>
      </w:pPr>
      <w:r w:rsidRPr="00625878">
        <w:t>8.</w:t>
      </w:r>
      <w:r w:rsidRPr="00625878">
        <w:tab/>
        <w:t>constată că Agenția și-a menținut rolul de centru de excelență pentru consolidarea capacităților, punerea în aplicare a proiectului IPA II și desfășurarea proiectelor de asistență tehnică în Marea Mediterană (SAFEMED IV) și în Marea Neagră și Marea Caspică (BCSEA) în 2022;</w:t>
      </w:r>
    </w:p>
    <w:p w:rsidR="00F01FE4" w:rsidRPr="00625878" w:rsidRDefault="00F01FE4" w:rsidP="00F01FE4">
      <w:pPr>
        <w:spacing w:after="240"/>
        <w:ind w:left="567" w:hanging="567"/>
      </w:pPr>
      <w:r w:rsidRPr="00625878">
        <w:t>9.</w:t>
      </w:r>
      <w:r w:rsidRPr="00625878">
        <w:tab/>
        <w:t>apreciază faptul că Agenția sprijină Comisia în cadrul OMI, în special în forumuri precum MEPC, PPR și CCC; acest sprijin cuprinde domenii esențiale de prevenire a poluării și sustenabilitate, inclusiv Strategia OMI pentru a reduce emisiile de gaze cu efect de seră, intensitatea emisiilor de dioxid de carbon generate de transportul maritim, siguranța, evaluarea, introducerea și utilizarea combustibililor și a tehnologiilor alternative durabile, deșeurile marine și zgomotul subacvatic; subliniază că viitoarele lucrări ale OMI privind elaborarea cerințelor și a standardelor corespunzătoare pentru utilizarea noilor combustibili și tehnologii vor fi de o importanță majoră pentru adoptarea acestora atât la nivel mondial, cât și la nivelul UE;</w:t>
      </w:r>
    </w:p>
    <w:p w:rsidR="00F01FE4" w:rsidRPr="00625878" w:rsidRDefault="00F01FE4" w:rsidP="00F01FE4">
      <w:pPr>
        <w:pStyle w:val="NormalHanging12a"/>
        <w:rPr>
          <w:b/>
          <w:i/>
          <w:color w:val="000000" w:themeColor="text1"/>
          <w:szCs w:val="24"/>
        </w:rPr>
      </w:pPr>
      <w:r w:rsidRPr="00625878">
        <w:rPr>
          <w:b/>
          <w:i/>
          <w:color w:val="000000" w:themeColor="text1"/>
        </w:rPr>
        <w:t>Eficiența și realizările</w:t>
      </w:r>
    </w:p>
    <w:p w:rsidR="00F01FE4" w:rsidRPr="00625878" w:rsidRDefault="00F01FE4" w:rsidP="00F01FE4">
      <w:pPr>
        <w:widowControl/>
        <w:spacing w:after="240"/>
        <w:ind w:left="567" w:hanging="567"/>
        <w:rPr>
          <w:szCs w:val="24"/>
        </w:rPr>
      </w:pPr>
      <w:r w:rsidRPr="00625878">
        <w:rPr>
          <w:color w:val="000000" w:themeColor="text1"/>
        </w:rPr>
        <w:lastRenderedPageBreak/>
        <w:t>10.</w:t>
      </w:r>
      <w:r w:rsidRPr="00625878">
        <w:rPr>
          <w:color w:val="000000" w:themeColor="text1"/>
        </w:rPr>
        <w:tab/>
      </w:r>
      <w:r w:rsidRPr="00625878">
        <w:t xml:space="preserve">constată că în cadrul noului mandat pentru cooperarea europeană cu privire la funcțiile de pază de coastă, Agenția a făcut schimb de informații, de cunoștințe de specialitate, de proceduri și de materiale și instrumente de formare cu Agenția Europeană pentru Controlul Pescuitului (EFCA) și </w:t>
      </w:r>
      <w:proofErr w:type="spellStart"/>
      <w:r w:rsidRPr="00625878">
        <w:t>Frontex</w:t>
      </w:r>
      <w:proofErr w:type="spellEnd"/>
      <w:r w:rsidRPr="00625878">
        <w:t>;</w:t>
      </w:r>
      <w:r w:rsidRPr="00625878">
        <w:rPr>
          <w:color w:val="000000" w:themeColor="text1"/>
        </w:rPr>
        <w:t xml:space="preserve"> constată, de asemenea, că Agenția continuă să colaboreze îndeaproape cu Observatorul European pentru Droguri și Toxicomanie (EMCDDA) pentru a-și crește eficacitatea și a reduce costurile datorită proximității geografice a celor două agenții; felicită Agenția pentru că a sprijinit EMCDDA, făcând schimb de cunoștințe despre înregistrarea EMAS, și a colaborat cu EFCA, continuând să țină în funcție mecanismul de sprijin reciproc pentru funcția de contabilitate în ambele agenții; </w:t>
      </w:r>
      <w:r w:rsidRPr="00625878">
        <w:t>evidențiază beneficiile orizontale ale colaborării și adaptării bunelor practici și faptul că inițiativele comune reunesc perspective diverse, reduc duplicarea eforturilor, îmbunătățesc învățarea și consolidează relațiile dintre participanți;</w:t>
      </w:r>
    </w:p>
    <w:p w:rsidR="00F01FE4" w:rsidRPr="00625878" w:rsidRDefault="00F01FE4" w:rsidP="00F01FE4">
      <w:pPr>
        <w:pStyle w:val="NormalHanging12a"/>
        <w:rPr>
          <w:color w:val="000000" w:themeColor="text1"/>
          <w:szCs w:val="24"/>
        </w:rPr>
      </w:pPr>
      <w:r w:rsidRPr="00625878">
        <w:rPr>
          <w:color w:val="000000" w:themeColor="text1"/>
        </w:rPr>
        <w:t>11.</w:t>
      </w:r>
      <w:r w:rsidRPr="00625878">
        <w:rPr>
          <w:color w:val="000000" w:themeColor="text1"/>
        </w:rPr>
        <w:tab/>
        <w:t>observă că Agenția a depus eforturi pentru a-și îmbunătăți eficiența și eficacitatea prin automatizarea procedurilor, cu scopul de a reduce semnificativ volumul de muncă administrativă al anumitor membri ai personalului, permițându-le acestora să se concentreze asupra sarcinilor din domenii conexe cu o valoare adăugată mai mare; observă că, în plus, Agenția a inițiat proiecte-pilot pentru semnătura electronică calificată și integrarea instrumentelor instituționale în ARES; invită Agenția să identifice mai multe proceduri interne care ar putea fi fluidizate prin automatizare;</w:t>
      </w:r>
    </w:p>
    <w:p w:rsidR="00F01FE4" w:rsidRPr="00625878" w:rsidRDefault="00F01FE4" w:rsidP="00F01FE4">
      <w:pPr>
        <w:spacing w:after="240"/>
        <w:ind w:left="567" w:hanging="567"/>
        <w:rPr>
          <w:b/>
          <w:i/>
          <w:szCs w:val="24"/>
        </w:rPr>
      </w:pPr>
      <w:r w:rsidRPr="00625878">
        <w:rPr>
          <w:b/>
          <w:i/>
        </w:rPr>
        <w:t>Politica de personal</w:t>
      </w:r>
    </w:p>
    <w:p w:rsidR="00F01FE4" w:rsidRPr="00625878" w:rsidRDefault="00F01FE4" w:rsidP="00F01FE4">
      <w:pPr>
        <w:pStyle w:val="NormalHanging12a"/>
        <w:rPr>
          <w:szCs w:val="24"/>
        </w:rPr>
      </w:pPr>
      <w:r w:rsidRPr="00625878">
        <w:t>12.</w:t>
      </w:r>
      <w:r w:rsidRPr="00625878">
        <w:tab/>
        <w:t>constată că la 31 decembrie 2022 schema de personal era stabilă și completată în proporție de 99,06 %, fiind numiți 210 funcționari și agenți temporari (AT) din totalul de 212 posturi autorizate în bugetul Uniunii (la fel ca în 2021); constată că în 2022 în afară de aceștia la Agenție au mai lucrat 28 de agenți contractuali și 16 experți naționali detașați;</w:t>
      </w:r>
    </w:p>
    <w:p w:rsidR="00F01FE4" w:rsidRPr="00625878" w:rsidRDefault="00F01FE4" w:rsidP="00F01FE4">
      <w:pPr>
        <w:pStyle w:val="NormalHanging12a"/>
      </w:pPr>
      <w:r w:rsidRPr="00625878">
        <w:t>13.</w:t>
      </w:r>
      <w:r w:rsidRPr="00625878">
        <w:tab/>
        <w:t>constată situația dezechilibrată între numărul de bărbați și femei care ocupă posturi de conducere de nivel superior și mediu la Agenție, unde doar 5 persoane din 16 sunt femei (31 %); constată situația dezechilibrată între numărul de bărbați și femei din consiliul de administrație al Agenției, unde doar 10 din cei 57 de membri (18 %) sunt femei; același dezechilibru se observă și la nivelul întregului personal al Agenției, unde femeile ocupă 99 din cele 264 de posturi (38 %); reamintește că este important să se asigure echilibrul între numărul de bărbați și femei și invită Agenția să ia în calcul acest aspect pe viitor când recrutează personal și numește persoane în funcții de nivel superior și mediu; în acest sens, felicită Agenția pentru că a lansat un Plan de acțiune pentru egalitatea între bărbați și femei pentru perioada 2022-2025, axat pe îmbunătățirea echilibrului între numărul de bărbați și femei și a egalității pe termen lung pe criterii de calitate; roagă Comisia și statele membre să aibă în vedere că este important să asigure echilibrul între numărul de bărbați și femei când desemnează membri în consiliul de administrație al Agenției; încurajează, de asemenea, Agenția să adopte „Carta privind diversitatea și incluziunea” și să participe în continuare la inițiative care promovează diversitatea și nediscriminarea la locul de muncă la toate nivelurile ierarhice;</w:t>
      </w:r>
    </w:p>
    <w:p w:rsidR="00F01FE4" w:rsidRPr="00625878" w:rsidRDefault="00F01FE4" w:rsidP="00F01FE4">
      <w:pPr>
        <w:spacing w:after="240"/>
        <w:ind w:left="567" w:hanging="567"/>
      </w:pPr>
      <w:r w:rsidRPr="00625878">
        <w:t>14.</w:t>
      </w:r>
      <w:r w:rsidRPr="00625878">
        <w:tab/>
        <w:t xml:space="preserve">subliniază cât de greu îi este Agenției să atragă și să recruteze experți naționali detașați (END) din statele membre; subliniază că unele cereri de propuneri lansate de Agenție nu au avut succes; propune ca agenților contractuali interni să li se ofere posibilitatea de a avansa în următoarea grupă de funcții printr-o procedură generală de selecție; cât privește creșterea eficienței, reține că Agenția urmărește să amelioreze procedurile și se </w:t>
      </w:r>
      <w:r w:rsidRPr="00625878">
        <w:lastRenderedPageBreak/>
        <w:t>străduiește să își mărească eficiența și eficacitatea pentru o folosire optimă a resurselor umane și financiare;</w:t>
      </w:r>
    </w:p>
    <w:p w:rsidR="00F01FE4" w:rsidRPr="00625878" w:rsidRDefault="00F01FE4" w:rsidP="00F01FE4">
      <w:pPr>
        <w:pStyle w:val="NormalHanging12a"/>
      </w:pPr>
      <w:r w:rsidRPr="00625878">
        <w:t>15.</w:t>
      </w:r>
      <w:r w:rsidRPr="00625878">
        <w:tab/>
        <w:t>consideră demn de apreciat că în contextul prevenirii hărțuirii la locul de muncă, au fost numiți șase noi consilieri confidențiali care au încheiat cu succes o formare obligatorie și acum și-au luat în primire acest rol la Agenție;</w:t>
      </w:r>
    </w:p>
    <w:p w:rsidR="00F01FE4" w:rsidRPr="00625878" w:rsidRDefault="00F01FE4" w:rsidP="00F01FE4">
      <w:pPr>
        <w:pStyle w:val="NormalHanging12a"/>
      </w:pPr>
      <w:r w:rsidRPr="00625878">
        <w:t>16.</w:t>
      </w:r>
      <w:r w:rsidRPr="00625878">
        <w:tab/>
        <w:t>află că Agenția a lansat un proiect de strategie în materie de resurse umane după ce au fost consultați personalul, conducerea și Comitetul pentru personal, un proiect de program online de inițiere pentru nou-veniți, precum și lucrări pregătitoare legate de decizia privind timpul de lucru și munca în regim hibrid, care urmau să fie adoptate în 2023; invită Agenția să informeze autoritatea care acordă descărcarea de gestiune cu privire la progresele înregistrate în acest sens;</w:t>
      </w:r>
    </w:p>
    <w:p w:rsidR="00F01FE4" w:rsidRPr="00625878" w:rsidRDefault="00F01FE4" w:rsidP="00F01FE4">
      <w:pPr>
        <w:pStyle w:val="NormalHanging12a"/>
        <w:rPr>
          <w:b/>
          <w:i/>
          <w:szCs w:val="24"/>
        </w:rPr>
      </w:pPr>
      <w:r w:rsidRPr="00625878">
        <w:rPr>
          <w:b/>
          <w:i/>
        </w:rPr>
        <w:t>Prevenirea și gestionarea conflictelor de interese și transparența</w:t>
      </w:r>
    </w:p>
    <w:p w:rsidR="00F01FE4" w:rsidRPr="00625878" w:rsidRDefault="00F01FE4" w:rsidP="00F01FE4">
      <w:pPr>
        <w:spacing w:after="240"/>
        <w:ind w:left="567" w:hanging="567"/>
        <w:rPr>
          <w:szCs w:val="24"/>
        </w:rPr>
      </w:pPr>
      <w:r w:rsidRPr="00625878">
        <w:t>17.</w:t>
      </w:r>
      <w:r w:rsidRPr="00625878">
        <w:tab/>
        <w:t>atestă faptul că membrii și membrii supleanți în consiliul de administrație al Agenției sunt puși să semneze o declarație de angajament și confidențialitate la numirea lor și anual, să declare orice (potențial) conflict de interese care ar putea fi considerat că afectează negativ tratarea oricărui punct de pe ordinea de zi la începutul fiecărei reuniuni a consiliului de administrație; ține să remarce că întregul personal (inclusiv personalul de conducere de nivel superior implicat în proceduri specifice) trebuie să declare orice (potențial) conflict de interese în diverse proceduri, precum achizițiile publice și recrutarea; ține să menționeze că în cursul anului 2022 un membru al unui comitet de selecție la o procedură de recrutare a declarat un caz de conflict de interese și, după ce a fost analizat conflictul declarat, membrul a fost înlocuit;</w:t>
      </w:r>
    </w:p>
    <w:p w:rsidR="00F01FE4" w:rsidRPr="00625878" w:rsidRDefault="00F01FE4" w:rsidP="00F01FE4">
      <w:pPr>
        <w:spacing w:after="240"/>
        <w:ind w:left="567" w:hanging="567"/>
        <w:rPr>
          <w:szCs w:val="24"/>
        </w:rPr>
      </w:pPr>
      <w:r w:rsidRPr="00625878">
        <w:t>18.</w:t>
      </w:r>
      <w:r w:rsidRPr="00625878">
        <w:tab/>
        <w:t>constată că Agenția a adoptat „Politica privind conflictele de interese din Consiliul de administrație al EMSA”, stabilind principii care să prevadă imparțialitatea și independența membrilor săi și a membrilor supleanți și să definească măsurile prin care să asigure aplicarea lor practică pentru a preveni și a atenua riscurile ca anumite interese trecute, actuale sau viitoare să influențeze într-un sens rău imparțialitatea și independența membrilor Consiliului de administrație în exercițiul sarcinilor lor;</w:t>
      </w:r>
    </w:p>
    <w:p w:rsidR="00F01FE4" w:rsidRPr="00625878" w:rsidRDefault="00F01FE4" w:rsidP="00F01FE4">
      <w:pPr>
        <w:spacing w:after="240"/>
        <w:ind w:left="567" w:hanging="567"/>
        <w:rPr>
          <w:szCs w:val="24"/>
        </w:rPr>
      </w:pPr>
      <w:r w:rsidRPr="00625878">
        <w:t>19.</w:t>
      </w:r>
      <w:r w:rsidRPr="00625878">
        <w:tab/>
        <w:t>ține să remarce că pe site-ul Agenției sunt publicate CV-urile membrilor consiliului de administrație și ale echipei de conducere;</w:t>
      </w:r>
    </w:p>
    <w:p w:rsidR="00F01FE4" w:rsidRPr="00625878" w:rsidRDefault="00F01FE4" w:rsidP="00F01FE4">
      <w:pPr>
        <w:pStyle w:val="Normal12Hanging"/>
        <w:rPr>
          <w:b/>
          <w:i/>
          <w:szCs w:val="24"/>
        </w:rPr>
      </w:pPr>
      <w:r w:rsidRPr="00625878">
        <w:rPr>
          <w:b/>
          <w:i/>
        </w:rPr>
        <w:t>Alte observații</w:t>
      </w:r>
    </w:p>
    <w:p w:rsidR="00F01FE4" w:rsidRPr="00625878" w:rsidRDefault="00F01FE4" w:rsidP="00F01FE4">
      <w:pPr>
        <w:spacing w:after="240"/>
        <w:ind w:left="567" w:hanging="567"/>
        <w:rPr>
          <w:szCs w:val="24"/>
        </w:rPr>
      </w:pPr>
      <w:r w:rsidRPr="00625878">
        <w:t>20.</w:t>
      </w:r>
      <w:r w:rsidRPr="00625878">
        <w:tab/>
        <w:t>apreciază faptul că, în conformitate cu cadrul de gestionare a riscurilor al Agenției, registrul riscurilor a fost complet actualizat și ajustat în 2022 și că, în cursul acestui exercițiu, s-a acordat o atenție deosebită identificării potențialelor riscuri legate de fraudă și a oportunităților generale; salută, de asemenea, faptul că, în urma invaziei Rusiei în Ucraina, au fost identificate și incluse în registrele actualizate ale riscurilor o serie de noi riscuri și oportunități legate de această criză majoră;</w:t>
      </w:r>
    </w:p>
    <w:p w:rsidR="00F01FE4" w:rsidRPr="00625878" w:rsidRDefault="00F01FE4" w:rsidP="00F01FE4">
      <w:pPr>
        <w:spacing w:after="240"/>
        <w:ind w:left="567" w:hanging="567"/>
        <w:rPr>
          <w:szCs w:val="24"/>
        </w:rPr>
      </w:pPr>
      <w:r w:rsidRPr="00625878">
        <w:t>21.</w:t>
      </w:r>
      <w:r w:rsidRPr="00625878">
        <w:tab/>
        <w:t>felicită Agenția pentru că a dezvoltat o serie de produse ad-hoc pentru a ajuta statele membre și Comisia să aplice sancțiunile UE legate de invadarea Ucrainei de Federația Rusă, ca raportarea escalelor navelor în cazul anumitor cargouri și pavilioane; felicită Agenția și pentru că a elaborat și furnizează utilizatorilor relevanți un raport lunar privind impactul evoluțiilor din Ucraina asupra traficului și comerțului maritim;</w:t>
      </w:r>
    </w:p>
    <w:p w:rsidR="00F01FE4" w:rsidRPr="00625878" w:rsidRDefault="00F01FE4" w:rsidP="00F01FE4">
      <w:pPr>
        <w:spacing w:after="240"/>
        <w:ind w:left="567" w:hanging="567"/>
        <w:rPr>
          <w:szCs w:val="24"/>
        </w:rPr>
      </w:pPr>
      <w:r w:rsidRPr="00625878">
        <w:lastRenderedPageBreak/>
        <w:t>22.</w:t>
      </w:r>
      <w:r w:rsidRPr="00625878">
        <w:tab/>
        <w:t>consideră îmbucurător că Agenția a derulat diferite activități de ecologizare în 2022, printre altele o amplă campanie de comunicare despre ecologizare, crearea unei săli pentru consumabile de birou reutilizabile, participarea la Săptămâna Europeană a Mobilității și reducerea temperaturii de bază în clădiri în timpul iernii;</w:t>
      </w:r>
    </w:p>
    <w:p w:rsidR="00F01FE4" w:rsidRPr="00625878" w:rsidRDefault="00F01FE4" w:rsidP="00F01FE4">
      <w:pPr>
        <w:spacing w:after="240"/>
        <w:ind w:left="567" w:hanging="567"/>
        <w:rPr>
          <w:szCs w:val="24"/>
        </w:rPr>
      </w:pPr>
      <w:r w:rsidRPr="00625878">
        <w:t>23.</w:t>
      </w:r>
      <w:r w:rsidRPr="00625878">
        <w:tab/>
        <w:t>reamintește că Agenția a lansat în 2019 proiectul „Înverzirea EMSA”, cu scopul de a introduce managementul de mediu, iar etapa finală, cea a auditului extern de verificare, a avut loc în ianuarie 2022; remarcă că, drept consecință, Agenția a primit eticheta EMAS și și-a publicat declarația de mediu;</w:t>
      </w:r>
    </w:p>
    <w:p w:rsidR="00F01FE4" w:rsidRPr="00625878" w:rsidRDefault="00F01FE4" w:rsidP="00F01FE4">
      <w:pPr>
        <w:spacing w:after="240"/>
        <w:ind w:left="567" w:hanging="567"/>
        <w:rPr>
          <w:szCs w:val="24"/>
        </w:rPr>
      </w:pPr>
      <w:r w:rsidRPr="00625878">
        <w:t>24.</w:t>
      </w:r>
      <w:r w:rsidRPr="00625878">
        <w:tab/>
        <w:t>constată că Agenția și-a intensificat cooperarea cu Agenția Uniunii Europene pentru Securitate Cibernetică participând la proiectul-pilot pentru viitoarea punere în aplicare a Regulamentului privind securitatea cibernetică, care urmează să fie adoptat; constată, de asemenea, că Agenția colaborează mai strâns cu CERT-UE: a reînnoit un acord special privind nivelul serviciilor, care acum cuprinde mai multe acțiuni, de exemplu un număr mai mare de evaluări de securitate, și a autorizat accesul pentru monitorizarea în timp real a evenimentelor de securitate din infrastructura informatică a EMSA; constată, de asemenea, că Agenția efectuează evaluări periodice de securitate împreună cu CERT-UE și cu furnizorul de servicii de securitate interinstituționale al Consiliului;</w:t>
      </w:r>
    </w:p>
    <w:p w:rsidR="00F01FE4" w:rsidRPr="00625878" w:rsidRDefault="00F01FE4" w:rsidP="00F01FE4">
      <w:pPr>
        <w:spacing w:after="240"/>
        <w:ind w:left="567" w:hanging="567"/>
        <w:rPr>
          <w:szCs w:val="24"/>
        </w:rPr>
      </w:pPr>
      <w:r w:rsidRPr="00625878">
        <w:t>25.</w:t>
      </w:r>
      <w:r w:rsidRPr="00625878">
        <w:tab/>
        <w:t>observă că Agenția a lansat diferite măsuri pentru a-și ameliora vizibilitatea publică și prezența online: a găzduit conferințe, a distribuit materiale video care explică principalele activități și competențe ale Agenției, a făcut transmisiuni în direct pe internet și a lansat conceptul de „ziua porților deschise” la EMSA;</w:t>
      </w:r>
    </w:p>
    <w:p w:rsidR="00F01FE4" w:rsidRPr="00625878" w:rsidRDefault="00F01FE4" w:rsidP="00F01FE4">
      <w:pPr>
        <w:pStyle w:val="NormalHanging12a"/>
      </w:pPr>
      <w:r w:rsidRPr="00625878">
        <w:t>26.</w:t>
      </w:r>
      <w:r w:rsidRPr="00625878">
        <w:tab/>
        <w:t>are cuvinte de laudă pentru eforturile Agenției de a comunica în mai multe limbi, astfel încât mesajele sale să devină mai accesibile pentru toți cetățenii europeni; reține că strategia pe cinci ani a Agenției, Raportul privind mediul maritim european și Raportul privind siguranța maritimă europeană sunt acum accesibile în toate cele 24 de limbi ale UE;</w:t>
      </w:r>
    </w:p>
    <w:p w:rsidR="00F01FE4" w:rsidRPr="00625878" w:rsidRDefault="00F01FE4" w:rsidP="00F01FE4">
      <w:pPr>
        <w:spacing w:after="240"/>
        <w:ind w:left="567" w:hanging="567"/>
      </w:pPr>
      <w:r w:rsidRPr="00625878">
        <w:t>27.</w:t>
      </w:r>
      <w:r w:rsidRPr="00625878">
        <w:tab/>
        <w:t xml:space="preserve">subliniază importanța activităților Agenției în domeniul securității maritime și roagă Agenția să ofere în permanență asistență tehnică Comisiei în timpul inspecțiilor în acest cadru în temeiul Regulamentului </w:t>
      </w:r>
      <w:r w:rsidR="00112EE9">
        <w:t xml:space="preserve">(CE) nr. </w:t>
      </w:r>
      <w:r w:rsidRPr="00625878">
        <w:t>725/2004 al Parlamentului European și al Consiliului privind consolidarea securității navelor și a instalațiilor portuare; subliniază creșterea semnificativă a numărului incidentelor de securitate cibernetică din sectorul maritim în ultimii ani;</w:t>
      </w:r>
    </w:p>
    <w:p w:rsidR="00F01FE4" w:rsidRPr="00625878" w:rsidRDefault="00F01FE4" w:rsidP="00F01FE4">
      <w:pPr>
        <w:spacing w:after="240"/>
        <w:ind w:left="567" w:hanging="567"/>
      </w:pPr>
      <w:r w:rsidRPr="00625878">
        <w:t>28.</w:t>
      </w:r>
      <w:r w:rsidRPr="00625878">
        <w:tab/>
        <w:t>cere să se promoveze digitalizarea sectorului maritim prin facilitarea transmiterii electronice a datelor, sprijinind simplificarea și furnizând Comisiei și statelor membre sisteme și servicii integrate de supraveghere maritimă și de redare a situației maritime;</w:t>
      </w:r>
    </w:p>
    <w:p w:rsidR="00F01FE4" w:rsidRPr="00625878" w:rsidRDefault="00F01FE4" w:rsidP="00F01FE4">
      <w:pPr>
        <w:spacing w:after="240"/>
        <w:ind w:left="567" w:hanging="567"/>
      </w:pPr>
      <w:r w:rsidRPr="00625878">
        <w:t>29.</w:t>
      </w:r>
      <w:r w:rsidRPr="00625878">
        <w:tab/>
        <w:t>subliniază că flota UE crește într-un ritm mai lent (atât ca număr de nave, cât și ca tonaj) decât flota mondială; în ultimii cinci ani, flota UE a înregistrat o creștere de 3,4 %, în vreme ce flota mondială se poate lăuda cu o rată de creștere mai substanțială, de 7 %;</w:t>
      </w:r>
    </w:p>
    <w:p w:rsidR="00F01FE4" w:rsidRPr="00625878" w:rsidRDefault="00F01FE4" w:rsidP="00F01FE4">
      <w:pPr>
        <w:spacing w:after="240"/>
        <w:ind w:left="567" w:hanging="567"/>
        <w:jc w:val="center"/>
        <w:rPr>
          <w:szCs w:val="24"/>
        </w:rPr>
      </w:pPr>
      <w:r w:rsidRPr="00625878">
        <w:t>°</w:t>
      </w:r>
    </w:p>
    <w:p w:rsidR="00F01FE4" w:rsidRPr="00625878" w:rsidRDefault="00F01FE4" w:rsidP="00F01FE4">
      <w:pPr>
        <w:pStyle w:val="NormalCenter12a"/>
        <w:rPr>
          <w:szCs w:val="24"/>
        </w:rPr>
      </w:pPr>
      <w:r w:rsidRPr="00625878">
        <w:t>°</w:t>
      </w:r>
      <w:r w:rsidRPr="00625878">
        <w:tab/>
        <w:t>°</w:t>
      </w:r>
    </w:p>
    <w:p w:rsidR="00E365E1" w:rsidRPr="00625878" w:rsidRDefault="00F01FE4" w:rsidP="00655F33">
      <w:pPr>
        <w:widowControl/>
        <w:ind w:left="567" w:hanging="567"/>
      </w:pPr>
      <w:r w:rsidRPr="00625878">
        <w:lastRenderedPageBreak/>
        <w:t>30.</w:t>
      </w:r>
      <w:r w:rsidRPr="00625878">
        <w:tab/>
        <w:t xml:space="preserve">face trimitere, pentru alte observații cu caracter orizontal care însoțesc decizia privind descărcarea de gestiune, la Rezoluția sa din </w:t>
      </w:r>
      <w:r w:rsidR="00655F33" w:rsidRPr="00625878">
        <w:t>11 aprilie 2024</w:t>
      </w:r>
      <w:r w:rsidRPr="00625878">
        <w:rPr>
          <w:rStyle w:val="FootnoteReference"/>
        </w:rPr>
        <w:footnoteReference w:id="12"/>
      </w:r>
      <w:r w:rsidRPr="00625878">
        <w:t xml:space="preserve"> referitoare la performanțele, gestiunea financiară și controlul agențiilor UE.</w:t>
      </w:r>
      <w:bookmarkStart w:id="9" w:name="TextBodyEnd"/>
      <w:bookmarkEnd w:id="9"/>
    </w:p>
    <w:sectPr w:rsidR="00E365E1" w:rsidRPr="00625878" w:rsidSect="007B6B8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E57" w:rsidRPr="007B6B8F" w:rsidRDefault="008A6E57">
      <w:r w:rsidRPr="007B6B8F">
        <w:separator/>
      </w:r>
    </w:p>
  </w:endnote>
  <w:endnote w:type="continuationSeparator" w:id="0">
    <w:p w:rsidR="008A6E57" w:rsidRPr="007B6B8F" w:rsidRDefault="008A6E57">
      <w:r w:rsidRPr="007B6B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FE4" w:rsidRPr="007B6B8F" w:rsidRDefault="00F01FE4" w:rsidP="00397CF7">
    <w:pPr>
      <w:pStyle w:val="EPFooter"/>
    </w:pPr>
    <w:r w:rsidRPr="007B6B8F">
      <w:t>PE</w:t>
    </w:r>
    <w:r w:rsidRPr="007B6B8F">
      <w:rPr>
        <w:rStyle w:val="HideTWBExt"/>
      </w:rPr>
      <w:t>&lt;</w:t>
    </w:r>
    <w:proofErr w:type="spellStart"/>
    <w:r w:rsidRPr="007B6B8F">
      <w:rPr>
        <w:rStyle w:val="HideTWBExt"/>
      </w:rPr>
      <w:t>NoPE</w:t>
    </w:r>
    <w:proofErr w:type="spellEnd"/>
    <w:r w:rsidRPr="007B6B8F">
      <w:rPr>
        <w:rStyle w:val="HideTWBExt"/>
      </w:rPr>
      <w:t>&gt;</w:t>
    </w:r>
    <w:r w:rsidRPr="007B6B8F">
      <w:t>753.526</w:t>
    </w:r>
    <w:r w:rsidRPr="007B6B8F">
      <w:rPr>
        <w:rStyle w:val="HideTWBExt"/>
      </w:rPr>
      <w:t>&lt;/</w:t>
    </w:r>
    <w:proofErr w:type="spellStart"/>
    <w:r w:rsidRPr="007B6B8F">
      <w:rPr>
        <w:rStyle w:val="HideTWBExt"/>
      </w:rPr>
      <w:t>NoPE</w:t>
    </w:r>
    <w:proofErr w:type="spellEnd"/>
    <w:r w:rsidRPr="007B6B8F">
      <w:rPr>
        <w:rStyle w:val="HideTWBExt"/>
      </w:rPr>
      <w:t>&gt;&lt;Version&gt;</w:t>
    </w:r>
    <w:r w:rsidRPr="007B6B8F">
      <w:t>v02-00</w:t>
    </w:r>
    <w:r w:rsidRPr="007B6B8F">
      <w:rPr>
        <w:rStyle w:val="HideTWBExt"/>
      </w:rPr>
      <w:t>&lt;/</w:t>
    </w:r>
    <w:proofErr w:type="spellStart"/>
    <w:r w:rsidRPr="007B6B8F">
      <w:rPr>
        <w:rStyle w:val="HideTWBExt"/>
      </w:rPr>
      <w:t>Version</w:t>
    </w:r>
    <w:proofErr w:type="spellEnd"/>
    <w:r w:rsidRPr="007B6B8F">
      <w:rPr>
        <w:rStyle w:val="HideTWBExt"/>
      </w:rPr>
      <w:t>&gt;</w:t>
    </w:r>
    <w:r w:rsidRPr="007B6B8F">
      <w:tab/>
    </w:r>
    <w:r w:rsidRPr="007B6B8F">
      <w:fldChar w:fldCharType="begin"/>
    </w:r>
    <w:r w:rsidRPr="007B6B8F">
      <w:instrText xml:space="preserve"> PAGE  \* MERGEFORMAT </w:instrText>
    </w:r>
    <w:r w:rsidRPr="007B6B8F">
      <w:fldChar w:fldCharType="separate"/>
    </w:r>
    <w:r w:rsidR="007B6B8F" w:rsidRPr="007B6B8F">
      <w:rPr>
        <w:noProof/>
      </w:rPr>
      <w:t>2</w:t>
    </w:r>
    <w:r w:rsidRPr="007B6B8F">
      <w:fldChar w:fldCharType="end"/>
    </w:r>
    <w:r w:rsidRPr="007B6B8F">
      <w:t>/</w:t>
    </w:r>
    <w:r w:rsidR="004912D6">
      <w:fldChar w:fldCharType="begin"/>
    </w:r>
    <w:r w:rsidR="004912D6">
      <w:instrText xml:space="preserve"> NUMPAGES  \* MERGEFORMAT </w:instrText>
    </w:r>
    <w:r w:rsidR="004912D6">
      <w:fldChar w:fldCharType="separate"/>
    </w:r>
    <w:r w:rsidR="007B6B8F" w:rsidRPr="007B6B8F">
      <w:rPr>
        <w:noProof/>
      </w:rPr>
      <w:t>4</w:t>
    </w:r>
    <w:r w:rsidR="004912D6">
      <w:rPr>
        <w:noProof/>
      </w:rPr>
      <w:fldChar w:fldCharType="end"/>
    </w:r>
    <w:r w:rsidRPr="007B6B8F">
      <w:tab/>
    </w:r>
    <w:r w:rsidRPr="007B6B8F">
      <w:rPr>
        <w:rStyle w:val="HideTWBExt"/>
      </w:rPr>
      <w:t>&lt;PathFdR&gt;</w:t>
    </w:r>
    <w:r w:rsidRPr="007B6B8F">
      <w:t>RR\1298830RO.docx</w:t>
    </w:r>
    <w:r w:rsidRPr="007B6B8F">
      <w:rPr>
        <w:rStyle w:val="HideTWBExt"/>
      </w:rPr>
      <w:t>&lt;/</w:t>
    </w:r>
    <w:proofErr w:type="spellStart"/>
    <w:r w:rsidRPr="007B6B8F">
      <w:rPr>
        <w:rStyle w:val="HideTWBExt"/>
      </w:rPr>
      <w:t>PathFdR</w:t>
    </w:r>
    <w:proofErr w:type="spellEnd"/>
    <w:r w:rsidRPr="007B6B8F">
      <w:rPr>
        <w:rStyle w:val="HideTWBExt"/>
      </w:rPr>
      <w:t>&gt;</w:t>
    </w:r>
  </w:p>
  <w:p w:rsidR="00F01FE4" w:rsidRPr="007B6B8F" w:rsidRDefault="00F01FE4" w:rsidP="00397CF7">
    <w:pPr>
      <w:pStyle w:val="EPFooter2"/>
    </w:pPr>
    <w:r w:rsidRPr="007B6B8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FE4" w:rsidRPr="007B6B8F" w:rsidRDefault="00F01FE4" w:rsidP="00397CF7">
    <w:pPr>
      <w:pStyle w:val="EPFooter"/>
    </w:pPr>
    <w:r w:rsidRPr="007B6B8F">
      <w:rPr>
        <w:rStyle w:val="HideTWBExt"/>
      </w:rPr>
      <w:t>&lt;PathFdR&gt;</w:t>
    </w:r>
    <w:r w:rsidRPr="007B6B8F">
      <w:t>RR\1298830RO.docx</w:t>
    </w:r>
    <w:r w:rsidRPr="007B6B8F">
      <w:rPr>
        <w:rStyle w:val="HideTWBExt"/>
      </w:rPr>
      <w:t>&lt;/</w:t>
    </w:r>
    <w:proofErr w:type="spellStart"/>
    <w:r w:rsidRPr="007B6B8F">
      <w:rPr>
        <w:rStyle w:val="HideTWBExt"/>
      </w:rPr>
      <w:t>PathFdR</w:t>
    </w:r>
    <w:proofErr w:type="spellEnd"/>
    <w:r w:rsidRPr="007B6B8F">
      <w:rPr>
        <w:rStyle w:val="HideTWBExt"/>
      </w:rPr>
      <w:t>&gt;</w:t>
    </w:r>
    <w:r w:rsidRPr="007B6B8F">
      <w:tab/>
    </w:r>
    <w:r w:rsidRPr="007B6B8F">
      <w:tab/>
      <w:t>PE</w:t>
    </w:r>
    <w:r w:rsidRPr="007B6B8F">
      <w:rPr>
        <w:rStyle w:val="HideTWBExt"/>
      </w:rPr>
      <w:t>&lt;</w:t>
    </w:r>
    <w:proofErr w:type="spellStart"/>
    <w:r w:rsidRPr="007B6B8F">
      <w:rPr>
        <w:rStyle w:val="HideTWBExt"/>
      </w:rPr>
      <w:t>NoPE</w:t>
    </w:r>
    <w:proofErr w:type="spellEnd"/>
    <w:r w:rsidRPr="007B6B8F">
      <w:rPr>
        <w:rStyle w:val="HideTWBExt"/>
      </w:rPr>
      <w:t>&gt;</w:t>
    </w:r>
    <w:r w:rsidRPr="007B6B8F">
      <w:t>753.526</w:t>
    </w:r>
    <w:r w:rsidRPr="007B6B8F">
      <w:rPr>
        <w:rStyle w:val="HideTWBExt"/>
      </w:rPr>
      <w:t>&lt;/</w:t>
    </w:r>
    <w:proofErr w:type="spellStart"/>
    <w:r w:rsidRPr="007B6B8F">
      <w:rPr>
        <w:rStyle w:val="HideTWBExt"/>
      </w:rPr>
      <w:t>NoPE</w:t>
    </w:r>
    <w:proofErr w:type="spellEnd"/>
    <w:r w:rsidRPr="007B6B8F">
      <w:rPr>
        <w:rStyle w:val="HideTWBExt"/>
      </w:rPr>
      <w:t>&gt;&lt;Version&gt;</w:t>
    </w:r>
    <w:r w:rsidRPr="007B6B8F">
      <w:t>v02-00</w:t>
    </w:r>
    <w:r w:rsidRPr="007B6B8F">
      <w:rPr>
        <w:rStyle w:val="HideTWBExt"/>
      </w:rPr>
      <w:t>&lt;/</w:t>
    </w:r>
    <w:proofErr w:type="spellStart"/>
    <w:r w:rsidRPr="007B6B8F">
      <w:rPr>
        <w:rStyle w:val="HideTWBExt"/>
      </w:rPr>
      <w:t>Version</w:t>
    </w:r>
    <w:proofErr w:type="spellEnd"/>
    <w:r w:rsidRPr="007B6B8F">
      <w:rPr>
        <w:rStyle w:val="HideTWBExt"/>
      </w:rPr>
      <w:t>&gt;</w:t>
    </w:r>
  </w:p>
  <w:p w:rsidR="00F01FE4" w:rsidRPr="007B6B8F" w:rsidRDefault="00F01FE4" w:rsidP="00397CF7">
    <w:pPr>
      <w:pStyle w:val="EPFooter2"/>
    </w:pPr>
    <w:r w:rsidRPr="007B6B8F">
      <w:t>RO</w:t>
    </w:r>
    <w:r w:rsidRPr="007B6B8F">
      <w:tab/>
    </w:r>
    <w:r w:rsidRPr="007B6B8F">
      <w:rPr>
        <w:b w:val="0"/>
        <w:i/>
        <w:color w:val="C0C0C0"/>
        <w:sz w:val="22"/>
      </w:rPr>
      <w:t>Unită în diversitate</w:t>
    </w:r>
    <w:r w:rsidRPr="007B6B8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E57" w:rsidRPr="007B6B8F" w:rsidRDefault="008A6E57">
      <w:r w:rsidRPr="007B6B8F">
        <w:separator/>
      </w:r>
    </w:p>
  </w:footnote>
  <w:footnote w:type="continuationSeparator" w:id="0">
    <w:p w:rsidR="008A6E57" w:rsidRPr="007B6B8F" w:rsidRDefault="008A6E57">
      <w:r w:rsidRPr="007B6B8F">
        <w:continuationSeparator/>
      </w:r>
    </w:p>
  </w:footnote>
  <w:footnote w:id="1">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C, C/2023/594, 27.10.2023.</w:t>
      </w:r>
    </w:p>
  </w:footnote>
  <w:footnote w:id="2">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C, C/2023/112, 12.10.2023.</w:t>
      </w:r>
    </w:p>
  </w:footnote>
  <w:footnote w:id="3">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193, 30.7.2018, p. 1.</w:t>
      </w:r>
    </w:p>
  </w:footnote>
  <w:footnote w:id="4">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208, 5.8.2002, p. 1.</w:t>
      </w:r>
    </w:p>
  </w:footnote>
  <w:footnote w:id="5">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122, 10.5.2019, p. 1.</w:t>
      </w:r>
    </w:p>
  </w:footnote>
  <w:footnote w:id="6">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C, C/2023/594, 27.10.2023.</w:t>
      </w:r>
    </w:p>
  </w:footnote>
  <w:footnote w:id="7">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C, C/2023/112, 12.10.2023.</w:t>
      </w:r>
    </w:p>
  </w:footnote>
  <w:footnote w:id="8">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193, 30.7.2018, p. 1.</w:t>
      </w:r>
    </w:p>
  </w:footnote>
  <w:footnote w:id="9">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208, 5.8.2002, p. 1.</w:t>
      </w:r>
    </w:p>
  </w:footnote>
  <w:footnote w:id="10">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JO L 122, 10.5.2019, p. 1.</w:t>
      </w:r>
    </w:p>
  </w:footnote>
  <w:footnote w:id="11">
    <w:p w:rsidR="00F01FE4" w:rsidRPr="00625878"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 xml:space="preserve">JO C 73, 28.2.2023, p. </w:t>
      </w:r>
      <w:r w:rsidRPr="00625878">
        <w:rPr>
          <w:sz w:val="24"/>
          <w:lang w:val="ro-RO"/>
        </w:rPr>
        <w:t>9</w:t>
      </w:r>
      <w:r w:rsidR="004912D6">
        <w:rPr>
          <w:sz w:val="24"/>
          <w:lang w:val="ro-RO"/>
        </w:rPr>
        <w:t>1</w:t>
      </w:r>
      <w:bookmarkStart w:id="8" w:name="_GoBack"/>
      <w:bookmarkEnd w:id="8"/>
      <w:r w:rsidRPr="00625878">
        <w:rPr>
          <w:sz w:val="24"/>
          <w:lang w:val="ro-RO"/>
        </w:rPr>
        <w:t>.</w:t>
      </w:r>
    </w:p>
  </w:footnote>
  <w:footnote w:id="12">
    <w:p w:rsidR="00F01FE4" w:rsidRPr="007B6B8F" w:rsidRDefault="00F01FE4" w:rsidP="007B6B8F">
      <w:pPr>
        <w:pStyle w:val="FootnoteText"/>
        <w:ind w:left="567" w:hanging="567"/>
        <w:rPr>
          <w:sz w:val="24"/>
          <w:lang w:val="ro-RO"/>
        </w:rPr>
      </w:pPr>
      <w:r w:rsidRPr="00625878">
        <w:rPr>
          <w:rStyle w:val="FootnoteReference"/>
          <w:sz w:val="24"/>
          <w:lang w:val="ro-RO"/>
        </w:rPr>
        <w:footnoteRef/>
      </w:r>
      <w:r w:rsidR="007B6B8F" w:rsidRPr="00625878">
        <w:rPr>
          <w:sz w:val="24"/>
          <w:lang w:val="ro-RO"/>
        </w:rPr>
        <w:t xml:space="preserve"> </w:t>
      </w:r>
      <w:r w:rsidR="007B6B8F" w:rsidRPr="00625878">
        <w:rPr>
          <w:sz w:val="24"/>
          <w:lang w:val="ro-RO"/>
        </w:rPr>
        <w:tab/>
      </w:r>
      <w:r w:rsidRPr="00625878">
        <w:rPr>
          <w:sz w:val="24"/>
          <w:lang w:val="ro-RO"/>
        </w:rPr>
        <w:t>Texte adoptate la acea dată, P9</w:t>
      </w:r>
      <w:r w:rsidR="00112EE9">
        <w:rPr>
          <w:sz w:val="24"/>
          <w:lang w:val="ro-RO"/>
        </w:rPr>
        <w:t>_</w:t>
      </w:r>
      <w:r w:rsidRPr="00625878">
        <w:rPr>
          <w:sz w:val="24"/>
          <w:lang w:val="ro-RO"/>
        </w:rPr>
        <w:t>TA(2024)</w:t>
      </w:r>
      <w:r w:rsidR="00625878" w:rsidRPr="00625878">
        <w:rPr>
          <w:sz w:val="24"/>
          <w:lang w:val="ro-RO"/>
        </w:rPr>
        <w:t>0280</w:t>
      </w:r>
      <w:r w:rsidRPr="0062587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B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RO"/>
    <w:docVar w:name="dvnumam" w:val="0"/>
    <w:docVar w:name="dvpe" w:val="753.526"/>
    <w:docVar w:name="dvrapporteur" w:val="Raportor: "/>
    <w:docVar w:name="dvtitre" w:val="Decizia Parlamentului European din 11 aprilie 2024 privind descărcarea de gestiune pentru execuția bugetului Agenției Europene pentru Siguranță Maritimă aferent exercițiului financiar 2022(2023/2158(DEC))"/>
  </w:docVars>
  <w:rsids>
    <w:rsidRoot w:val="008A6E57"/>
    <w:rsid w:val="00002272"/>
    <w:rsid w:val="00064002"/>
    <w:rsid w:val="000677B9"/>
    <w:rsid w:val="000831BA"/>
    <w:rsid w:val="000A42CC"/>
    <w:rsid w:val="000E7DD9"/>
    <w:rsid w:val="0010095E"/>
    <w:rsid w:val="00112EE9"/>
    <w:rsid w:val="00125B37"/>
    <w:rsid w:val="0012705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2D6"/>
    <w:rsid w:val="00494A28"/>
    <w:rsid w:val="004C0004"/>
    <w:rsid w:val="004C5D52"/>
    <w:rsid w:val="004F30A3"/>
    <w:rsid w:val="0050519A"/>
    <w:rsid w:val="005072A1"/>
    <w:rsid w:val="00514517"/>
    <w:rsid w:val="00545827"/>
    <w:rsid w:val="00560270"/>
    <w:rsid w:val="005C2568"/>
    <w:rsid w:val="005D567A"/>
    <w:rsid w:val="006037C0"/>
    <w:rsid w:val="00625878"/>
    <w:rsid w:val="00655F33"/>
    <w:rsid w:val="006631B6"/>
    <w:rsid w:val="00680577"/>
    <w:rsid w:val="006F74FA"/>
    <w:rsid w:val="00731ADD"/>
    <w:rsid w:val="00734777"/>
    <w:rsid w:val="00747932"/>
    <w:rsid w:val="00751A4A"/>
    <w:rsid w:val="00756632"/>
    <w:rsid w:val="00762C74"/>
    <w:rsid w:val="00786EC0"/>
    <w:rsid w:val="007B6B8F"/>
    <w:rsid w:val="007D1690"/>
    <w:rsid w:val="007E22AD"/>
    <w:rsid w:val="00817416"/>
    <w:rsid w:val="00842779"/>
    <w:rsid w:val="00865F67"/>
    <w:rsid w:val="00881A7B"/>
    <w:rsid w:val="008840E5"/>
    <w:rsid w:val="00887B3E"/>
    <w:rsid w:val="008A6E5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FE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EE364"/>
  <w15:chartTrackingRefBased/>
  <w15:docId w15:val="{71CDBD95-EB65-4FAD-811B-CD871125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1F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01FE4"/>
    <w:pPr>
      <w:spacing w:before="480" w:after="240"/>
    </w:pPr>
  </w:style>
  <w:style w:type="paragraph" w:customStyle="1" w:styleId="PageHeading">
    <w:name w:val="PageHeading"/>
    <w:basedOn w:val="Normal"/>
    <w:rsid w:val="00F01FE4"/>
    <w:pPr>
      <w:keepNext/>
      <w:spacing w:after="480"/>
      <w:jc w:val="center"/>
    </w:pPr>
    <w:rPr>
      <w:rFonts w:ascii="Arial" w:hAnsi="Arial" w:cs="Arial"/>
      <w:b/>
    </w:rPr>
  </w:style>
  <w:style w:type="paragraph" w:customStyle="1" w:styleId="NormalBold">
    <w:name w:val="NormalBold"/>
    <w:basedOn w:val="Normal"/>
    <w:rsid w:val="00F01FE4"/>
    <w:rPr>
      <w:b/>
    </w:rPr>
  </w:style>
  <w:style w:type="paragraph" w:customStyle="1" w:styleId="NormalHanging12a">
    <w:name w:val="NormalHanging12a"/>
    <w:basedOn w:val="Normal"/>
    <w:link w:val="NormalHanging12aChar"/>
    <w:rsid w:val="00F01FE4"/>
    <w:pPr>
      <w:spacing w:after="240"/>
      <w:ind w:left="567" w:hanging="567"/>
    </w:pPr>
  </w:style>
  <w:style w:type="paragraph" w:customStyle="1" w:styleId="NormalCenter12a">
    <w:name w:val="NormalCenter12a"/>
    <w:basedOn w:val="Normal"/>
    <w:rsid w:val="00F01FE4"/>
    <w:pPr>
      <w:spacing w:after="240"/>
      <w:jc w:val="center"/>
    </w:pPr>
  </w:style>
  <w:style w:type="paragraph" w:styleId="Header">
    <w:name w:val="header"/>
    <w:basedOn w:val="Normal"/>
    <w:link w:val="HeaderChar"/>
    <w:rsid w:val="00F01FE4"/>
    <w:pPr>
      <w:tabs>
        <w:tab w:val="center" w:pos="4513"/>
        <w:tab w:val="right" w:pos="9026"/>
      </w:tabs>
    </w:pPr>
  </w:style>
  <w:style w:type="character" w:customStyle="1" w:styleId="HeaderChar">
    <w:name w:val="Header Char"/>
    <w:basedOn w:val="DefaultParagraphFont"/>
    <w:link w:val="Header"/>
    <w:rsid w:val="00F01FE4"/>
    <w:rPr>
      <w:sz w:val="24"/>
      <w:lang w:val="ro-RO"/>
    </w:rPr>
  </w:style>
  <w:style w:type="paragraph" w:customStyle="1" w:styleId="EPFooter">
    <w:name w:val="EPFooter"/>
    <w:basedOn w:val="Normal"/>
    <w:rsid w:val="00F01FE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01FE4"/>
    <w:rPr>
      <w:sz w:val="24"/>
      <w:lang w:val="ro-RO"/>
    </w:rPr>
  </w:style>
  <w:style w:type="paragraph" w:customStyle="1" w:styleId="Normal12Hanging">
    <w:name w:val="Normal12Hanging"/>
    <w:basedOn w:val="Normal"/>
    <w:rsid w:val="00F01FE4"/>
    <w:pPr>
      <w:spacing w:after="240"/>
      <w:ind w:left="567" w:hanging="567"/>
    </w:pPr>
  </w:style>
  <w:style w:type="paragraph" w:customStyle="1" w:styleId="Normal24a">
    <w:name w:val="Normal24a"/>
    <w:basedOn w:val="Normal"/>
    <w:rsid w:val="00F01FE4"/>
    <w:pPr>
      <w:spacing w:after="480"/>
    </w:pPr>
  </w:style>
  <w:style w:type="paragraph" w:customStyle="1" w:styleId="Normal12a">
    <w:name w:val="Normal12a"/>
    <w:basedOn w:val="Normal"/>
    <w:rsid w:val="00F01FE4"/>
    <w:pPr>
      <w:spacing w:after="240"/>
    </w:pPr>
  </w:style>
  <w:style w:type="paragraph" w:customStyle="1" w:styleId="PageHeadingNotTOC">
    <w:name w:val="PageHeadingNotTOC"/>
    <w:basedOn w:val="Normal"/>
    <w:rsid w:val="00F01FE4"/>
    <w:pPr>
      <w:keepNext/>
      <w:spacing w:after="480"/>
      <w:jc w:val="center"/>
    </w:pPr>
    <w:rPr>
      <w:rFonts w:ascii="Arial" w:hAnsi="Arial" w:cs="Arial"/>
      <w:b/>
    </w:rPr>
  </w:style>
  <w:style w:type="paragraph" w:customStyle="1" w:styleId="RollCallSymbols14pt">
    <w:name w:val="RollCallSymbols14pt"/>
    <w:basedOn w:val="Normal"/>
    <w:rsid w:val="00F01F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01FE4"/>
    <w:pPr>
      <w:tabs>
        <w:tab w:val="center" w:pos="284"/>
        <w:tab w:val="left" w:pos="426"/>
      </w:tabs>
    </w:pPr>
    <w:rPr>
      <w:snapToGrid w:val="0"/>
      <w:lang w:eastAsia="en-US"/>
    </w:rPr>
  </w:style>
  <w:style w:type="paragraph" w:customStyle="1" w:styleId="RollCallVotes">
    <w:name w:val="RollCallVotes"/>
    <w:basedOn w:val="Normal"/>
    <w:rsid w:val="00F01FE4"/>
    <w:pPr>
      <w:spacing w:before="120" w:after="120"/>
      <w:jc w:val="center"/>
    </w:pPr>
    <w:rPr>
      <w:b/>
      <w:bCs/>
      <w:snapToGrid w:val="0"/>
      <w:sz w:val="16"/>
      <w:lang w:eastAsia="en-US"/>
    </w:rPr>
  </w:style>
  <w:style w:type="paragraph" w:customStyle="1" w:styleId="RollCallTable">
    <w:name w:val="RollCallTable"/>
    <w:basedOn w:val="Normal"/>
    <w:rsid w:val="00F01FE4"/>
    <w:pPr>
      <w:spacing w:before="120" w:after="120"/>
    </w:pPr>
    <w:rPr>
      <w:snapToGrid w:val="0"/>
      <w:sz w:val="16"/>
      <w:lang w:eastAsia="en-US"/>
    </w:rPr>
  </w:style>
  <w:style w:type="paragraph" w:styleId="Footer">
    <w:name w:val="footer"/>
    <w:basedOn w:val="Normal"/>
    <w:link w:val="FooterChar"/>
    <w:rsid w:val="005D567A"/>
    <w:pPr>
      <w:tabs>
        <w:tab w:val="center" w:pos="4513"/>
        <w:tab w:val="right" w:pos="9026"/>
      </w:tabs>
    </w:pPr>
  </w:style>
  <w:style w:type="character" w:customStyle="1" w:styleId="FooterChar">
    <w:name w:val="Footer Char"/>
    <w:basedOn w:val="DefaultParagraphFont"/>
    <w:link w:val="Footer"/>
    <w:rsid w:val="005D567A"/>
    <w:rPr>
      <w:sz w:val="24"/>
      <w:lang w:val="ro-RO"/>
    </w:rPr>
  </w:style>
  <w:style w:type="paragraph" w:styleId="BalloonText">
    <w:name w:val="Balloon Text"/>
    <w:basedOn w:val="Normal"/>
    <w:link w:val="BalloonTextChar"/>
    <w:rsid w:val="00655F33"/>
    <w:rPr>
      <w:rFonts w:ascii="Segoe UI" w:hAnsi="Segoe UI" w:cs="Segoe UI"/>
      <w:sz w:val="18"/>
      <w:szCs w:val="18"/>
    </w:rPr>
  </w:style>
  <w:style w:type="character" w:customStyle="1" w:styleId="BalloonTextChar">
    <w:name w:val="Balloon Text Char"/>
    <w:basedOn w:val="DefaultParagraphFont"/>
    <w:link w:val="BalloonText"/>
    <w:rsid w:val="00655F3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8C1C-0184-4726-BB14-2E2412C75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3216</Words>
  <Characters>19132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2024-05-22T13:00:00Z</dcterms:created>
  <dcterms:modified xsi:type="dcterms:W3CDTF">2024-05-22T13:00:00Z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P9_TA(2024)0248_</vt:lpwstr>
  </property>
  <property fmtid="{D5CDD505-2E9C-101B-9397-08002B2CF9AE}" pid="4" name="&lt;Type&gt;">
    <vt:lpwstr>RR</vt:lpwstr>
  </property>
</Properties>
</file>