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1F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F1F5F" w:rsidRDefault="00AB16F5" w:rsidP="0010095E">
            <w:pPr>
              <w:pStyle w:val="EPName"/>
            </w:pPr>
            <w:r w:rsidRPr="003F1F5F">
              <w:t>Európsky parlament</w:t>
            </w:r>
          </w:p>
          <w:p w:rsidR="00751A4A" w:rsidRPr="003F1F5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1F5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F1F5F" w:rsidRDefault="00187494" w:rsidP="0010095E">
            <w:pPr>
              <w:pStyle w:val="EPLogo"/>
            </w:pPr>
            <w:r w:rsidRPr="003F1F5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F1F5F" w:rsidRDefault="00D058B8" w:rsidP="004C5D52">
      <w:pPr>
        <w:pStyle w:val="LineTop"/>
      </w:pPr>
    </w:p>
    <w:p w:rsidR="00680577" w:rsidRPr="003F1F5F" w:rsidRDefault="00AB16F5" w:rsidP="00680577">
      <w:pPr>
        <w:pStyle w:val="EPBodyTA1"/>
      </w:pPr>
      <w:r w:rsidRPr="003F1F5F">
        <w:t>PRIJATÉ TEXTY</w:t>
      </w:r>
    </w:p>
    <w:p w:rsidR="00D058B8" w:rsidRPr="003F1F5F" w:rsidRDefault="00D058B8" w:rsidP="00D058B8">
      <w:pPr>
        <w:pStyle w:val="LineBottom"/>
      </w:pPr>
    </w:p>
    <w:p w:rsidR="00AB16F5" w:rsidRPr="003F1F5F" w:rsidRDefault="00AB16F5" w:rsidP="00AB16F5">
      <w:pPr>
        <w:pStyle w:val="ATHeading1"/>
      </w:pPr>
      <w:bookmarkStart w:id="0" w:name="TANumber"/>
      <w:r w:rsidRPr="003F1F5F">
        <w:t>P9_TA(2024)0</w:t>
      </w:r>
      <w:r w:rsidR="00C00B5C" w:rsidRPr="003F1F5F">
        <w:t>24</w:t>
      </w:r>
      <w:bookmarkEnd w:id="0"/>
      <w:r w:rsidR="00CA2216" w:rsidRPr="003F1F5F">
        <w:t>8</w:t>
      </w:r>
    </w:p>
    <w:p w:rsidR="00AB16F5" w:rsidRPr="003F1F5F" w:rsidRDefault="00AB16F5" w:rsidP="00AB16F5">
      <w:pPr>
        <w:pStyle w:val="ATHeading2"/>
      </w:pPr>
      <w:bookmarkStart w:id="1" w:name="title"/>
      <w:r w:rsidRPr="003F1F5F">
        <w:t>Absolutórium za rok 2022: Európska námorná bezpečnostná agentúra</w:t>
      </w:r>
      <w:bookmarkEnd w:id="1"/>
    </w:p>
    <w:p w:rsidR="00AB16F5" w:rsidRPr="003F1F5F" w:rsidRDefault="00AB16F5" w:rsidP="00AB16F5">
      <w:pPr>
        <w:rPr>
          <w:i/>
          <w:vanish/>
        </w:rPr>
      </w:pPr>
      <w:r w:rsidRPr="003F1F5F">
        <w:rPr>
          <w:i/>
        </w:rPr>
        <w:fldChar w:fldCharType="begin"/>
      </w:r>
      <w:r w:rsidRPr="003F1F5F">
        <w:rPr>
          <w:i/>
        </w:rPr>
        <w:instrText xml:space="preserve"> TC"(</w:instrText>
      </w:r>
      <w:bookmarkStart w:id="2" w:name="DocNumber"/>
      <w:r w:rsidRPr="003F1F5F">
        <w:rPr>
          <w:i/>
        </w:rPr>
        <w:instrText>A9-0107/2024</w:instrText>
      </w:r>
      <w:bookmarkEnd w:id="2"/>
      <w:r w:rsidRPr="003F1F5F">
        <w:rPr>
          <w:i/>
        </w:rPr>
        <w:instrText xml:space="preserve"> - Spravodajca: </w:instrText>
      </w:r>
      <w:proofErr w:type="spellStart"/>
      <w:r w:rsidRPr="003F1F5F">
        <w:rPr>
          <w:i/>
        </w:rPr>
        <w:instrText>Petri</w:instrText>
      </w:r>
      <w:proofErr w:type="spellEnd"/>
      <w:r w:rsidRPr="003F1F5F">
        <w:rPr>
          <w:i/>
        </w:rPr>
        <w:instrText xml:space="preserve"> </w:instrText>
      </w:r>
      <w:proofErr w:type="spellStart"/>
      <w:r w:rsidRPr="003F1F5F">
        <w:rPr>
          <w:i/>
        </w:rPr>
        <w:instrText>Sarvamaa</w:instrText>
      </w:r>
      <w:proofErr w:type="spellEnd"/>
      <w:r w:rsidRPr="003F1F5F">
        <w:rPr>
          <w:i/>
        </w:rPr>
        <w:instrText xml:space="preserve">)"\l3 \n&gt; \* MERGEFORMAT </w:instrText>
      </w:r>
      <w:r w:rsidRPr="003F1F5F">
        <w:rPr>
          <w:i/>
        </w:rPr>
        <w:fldChar w:fldCharType="end"/>
      </w:r>
    </w:p>
    <w:p w:rsidR="00AB16F5" w:rsidRPr="003F1F5F" w:rsidRDefault="00AB16F5" w:rsidP="00AB16F5">
      <w:pPr>
        <w:rPr>
          <w:vanish/>
        </w:rPr>
      </w:pPr>
      <w:bookmarkStart w:id="3" w:name="Commission"/>
      <w:r w:rsidRPr="003F1F5F">
        <w:rPr>
          <w:vanish/>
        </w:rPr>
        <w:t>Výbor pre kontrolu rozpočtu</w:t>
      </w:r>
      <w:bookmarkEnd w:id="3"/>
    </w:p>
    <w:p w:rsidR="00AB16F5" w:rsidRPr="003F1F5F" w:rsidRDefault="00AB16F5" w:rsidP="00AB16F5">
      <w:pPr>
        <w:rPr>
          <w:vanish/>
        </w:rPr>
      </w:pPr>
      <w:bookmarkStart w:id="4" w:name="PE"/>
      <w:r w:rsidRPr="003F1F5F">
        <w:rPr>
          <w:vanish/>
        </w:rPr>
        <w:t>PE753.526</w:t>
      </w:r>
      <w:bookmarkEnd w:id="4"/>
    </w:p>
    <w:p w:rsidR="00AB16F5" w:rsidRPr="003F1F5F" w:rsidRDefault="00AB16F5" w:rsidP="00AB16F5">
      <w:pPr>
        <w:pStyle w:val="ATHeading3"/>
      </w:pPr>
      <w:bookmarkStart w:id="5" w:name="Sujet"/>
      <w:r w:rsidRPr="003F1F5F">
        <w:t>1. Rozhodnutie Európskeho parlamentu z 11. apríla 2024 o absolutóriu za plnenie rozpočtu Európskej námornej bezpečnostnej agentúry za rozpočtový rok 2022</w:t>
      </w:r>
      <w:bookmarkEnd w:id="5"/>
      <w:r w:rsidRPr="003F1F5F">
        <w:t xml:space="preserve"> </w:t>
      </w:r>
      <w:bookmarkStart w:id="6" w:name="References"/>
      <w:r w:rsidRPr="003F1F5F">
        <w:t>(2023/2158(DEC))</w:t>
      </w:r>
      <w:bookmarkEnd w:id="6"/>
    </w:p>
    <w:p w:rsidR="006A4C47" w:rsidRPr="003F1F5F" w:rsidRDefault="006A4C47" w:rsidP="006A4C47">
      <w:pPr>
        <w:pStyle w:val="EPComma"/>
      </w:pPr>
      <w:bookmarkStart w:id="7" w:name="TextBodyBegin"/>
      <w:bookmarkEnd w:id="7"/>
      <w:r w:rsidRPr="003F1F5F">
        <w:rPr>
          <w:i/>
          <w:iCs/>
        </w:rPr>
        <w:t>Európsky parlament</w:t>
      </w:r>
      <w:r w:rsidRPr="003F1F5F">
        <w:t>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konečnú ročnú účtovnú závierku Európskej námornej bezpečnostnej agentúry za rozpočtový rok 2022,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výročnú správu Dvora audítorov o agentúrach EÚ za rozpočtový rok 2022 spolu s odpoveďami agentúr</w:t>
      </w:r>
      <w:r w:rsidRPr="003F1F5F">
        <w:rPr>
          <w:rStyle w:val="FootnoteReference"/>
        </w:rPr>
        <w:footnoteReference w:id="1"/>
      </w:r>
      <w:r w:rsidRPr="003F1F5F">
        <w:t>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vyhlásenie o vierohodnosti</w:t>
      </w:r>
      <w:r w:rsidRPr="003F1F5F">
        <w:rPr>
          <w:rStyle w:val="FootnoteReference"/>
        </w:rPr>
        <w:footnoteReference w:id="2"/>
      </w:r>
      <w:r w:rsidRPr="003F1F5F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odporúčanie Rady z 22. februára 2024 o udelení absolutória agentúre za plnenie rozpočtu za rozpočtový rok 2022 (0</w:t>
      </w:r>
      <w:r w:rsidR="001E2FDA" w:rsidRPr="003F1F5F">
        <w:t>6180</w:t>
      </w:r>
      <w:r w:rsidRPr="003F1F5F">
        <w:t>/2024 – C9</w:t>
      </w:r>
      <w:r w:rsidRPr="003F1F5F">
        <w:noBreakHyphen/>
        <w:t>00</w:t>
      </w:r>
      <w:r w:rsidR="001E2FDA" w:rsidRPr="003F1F5F">
        <w:t>96</w:t>
      </w:r>
      <w:r w:rsidRPr="003F1F5F">
        <w:t>/2024),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článok 319 Zmluvy o fungovaní Európskej únie,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 xml:space="preserve">so zreteľom na nariadenie Európskeho parlamentu a Rady (EÚ, </w:t>
      </w:r>
      <w:proofErr w:type="spellStart"/>
      <w:r w:rsidRPr="003F1F5F">
        <w:t>Euratom</w:t>
      </w:r>
      <w:proofErr w:type="spellEnd"/>
      <w:r w:rsidRPr="003F1F5F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3F1F5F">
        <w:t>Euratom</w:t>
      </w:r>
      <w:proofErr w:type="spellEnd"/>
      <w:r w:rsidRPr="003F1F5F">
        <w:t>) č. 966/2012</w:t>
      </w:r>
      <w:r w:rsidRPr="003F1F5F">
        <w:rPr>
          <w:rStyle w:val="FootnoteReference"/>
        </w:rPr>
        <w:footnoteReference w:id="3"/>
      </w:r>
      <w:r w:rsidRPr="003F1F5F">
        <w:t>, a najmä na jeho článok 70,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nariadenie Európskeho parlamentu a Rady (ES) č. 1406/2002 z 27. júna 2002, ktorým sa ustanovuje Európska námorná bezpečnostná agentúra</w:t>
      </w:r>
      <w:r w:rsidRPr="003F1F5F">
        <w:rPr>
          <w:rStyle w:val="FootnoteReference"/>
        </w:rPr>
        <w:footnoteReference w:id="4"/>
      </w:r>
      <w:r w:rsidRPr="003F1F5F">
        <w:t xml:space="preserve">, a najmä na jeho </w:t>
      </w:r>
      <w:r w:rsidRPr="003F1F5F">
        <w:lastRenderedPageBreak/>
        <w:t>článok 19,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3F1F5F">
        <w:t>Euratome</w:t>
      </w:r>
      <w:proofErr w:type="spellEnd"/>
      <w:r w:rsidRPr="003F1F5F">
        <w:t xml:space="preserve"> a uvedené v článku 70 nariadenia Európskeho parlamentu a Rady (EÚ, </w:t>
      </w:r>
      <w:proofErr w:type="spellStart"/>
      <w:r w:rsidRPr="003F1F5F">
        <w:t>Euratom</w:t>
      </w:r>
      <w:proofErr w:type="spellEnd"/>
      <w:r w:rsidRPr="003F1F5F">
        <w:t>) 2018/1046</w:t>
      </w:r>
      <w:r w:rsidRPr="003F1F5F">
        <w:rPr>
          <w:rStyle w:val="FootnoteReference"/>
        </w:rPr>
        <w:footnoteReference w:id="5"/>
      </w:r>
      <w:r w:rsidRPr="003F1F5F">
        <w:t>, a najmä na jeho článok 105,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článok 100 a prílohu V</w:t>
      </w:r>
      <w:r w:rsidR="009A0828" w:rsidRPr="003F1F5F">
        <w:t xml:space="preserve"> k </w:t>
      </w:r>
      <w:r w:rsidRPr="003F1F5F">
        <w:t>rokovacie</w:t>
      </w:r>
      <w:r w:rsidR="009A0828" w:rsidRPr="003F1F5F">
        <w:t>mu</w:t>
      </w:r>
      <w:r w:rsidRPr="003F1F5F">
        <w:t xml:space="preserve"> poriadku,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stanovisko Výboru pre dopravu a cestovný ruch,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správu Výboru pre kontrolu rozpočtu (A9-0107/2024),</w:t>
      </w:r>
    </w:p>
    <w:p w:rsidR="006A4C47" w:rsidRPr="003F1F5F" w:rsidRDefault="006A4C47" w:rsidP="006A4C47">
      <w:pPr>
        <w:pStyle w:val="NormalHanging12a"/>
      </w:pPr>
      <w:r w:rsidRPr="003F1F5F">
        <w:t>1.</w:t>
      </w:r>
      <w:r w:rsidRPr="003F1F5F">
        <w:tab/>
        <w:t>udeľuje absolutórium výkonnej riaditeľke Európskej námornej bezpečnostnej agentúry za plnenie rozpočtu agentúry za rozpočtový rok 2022;</w:t>
      </w:r>
    </w:p>
    <w:p w:rsidR="006A4C47" w:rsidRPr="003F1F5F" w:rsidRDefault="006A4C47" w:rsidP="006A4C47">
      <w:pPr>
        <w:pStyle w:val="NormalHanging12a"/>
      </w:pPr>
      <w:r w:rsidRPr="003F1F5F">
        <w:t>2.</w:t>
      </w:r>
      <w:r w:rsidRPr="003F1F5F">
        <w:tab/>
        <w:t>uvádza svoje poznámky v priloženom uznesení;</w:t>
      </w:r>
    </w:p>
    <w:p w:rsidR="006A4C47" w:rsidRPr="003F1F5F" w:rsidRDefault="006A4C47" w:rsidP="006A4C47">
      <w:pPr>
        <w:pStyle w:val="NormalHanging12a"/>
      </w:pPr>
      <w:r w:rsidRPr="003F1F5F">
        <w:t>3.</w:t>
      </w:r>
      <w:r w:rsidRPr="003F1F5F">
        <w:tab/>
        <w:t xml:space="preserve">poveruje svoju predsedníčku, aby postúpila toto rozhodnutie a uznesenie, ktoré je jeho neoddeliteľnou súčasťou, výkonnej riaditeľke Európskej námornej bezpečnostnej agentúry, Rade, Komisii a Dvoru audítorov a aby zabezpečila ich uverejnenie v </w:t>
      </w:r>
      <w:r w:rsidRPr="003F1F5F">
        <w:rPr>
          <w:i/>
          <w:iCs/>
        </w:rPr>
        <w:t>Úradnom vestníku Európskej únie</w:t>
      </w:r>
      <w:r w:rsidRPr="003F1F5F">
        <w:t xml:space="preserve"> (v sérii L).</w:t>
      </w:r>
    </w:p>
    <w:p w:rsidR="006A4C47" w:rsidRPr="003F1F5F" w:rsidRDefault="006A4C47" w:rsidP="006A4C47"/>
    <w:p w:rsidR="006A4C47" w:rsidRPr="003F1F5F" w:rsidRDefault="006A4C47" w:rsidP="006A4C47">
      <w:pPr>
        <w:widowControl/>
        <w:rPr>
          <w:rFonts w:ascii="Arial" w:hAnsi="Arial" w:cs="Arial"/>
          <w:b/>
        </w:rPr>
        <w:sectPr w:rsidR="006A4C47" w:rsidRPr="003F1F5F" w:rsidSect="009A0A44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6A4C47" w:rsidRPr="003F1F5F" w:rsidRDefault="00582C7F" w:rsidP="006A4C47">
      <w:pPr>
        <w:pStyle w:val="NormalBold"/>
      </w:pPr>
      <w:r w:rsidRPr="003F1F5F">
        <w:lastRenderedPageBreak/>
        <w:t xml:space="preserve">2. Rozhodnutie Európskeho parlamentu z 11. apríla 2024 </w:t>
      </w:r>
      <w:r w:rsidR="006A4C47" w:rsidRPr="003F1F5F">
        <w:t>o účtovnej závierke Európskej námornej bezpečnostnej agentúry za rozpočtový rok 2022</w:t>
      </w:r>
      <w:r w:rsidRPr="003F1F5F">
        <w:t xml:space="preserve"> </w:t>
      </w:r>
      <w:r w:rsidR="006A4C47" w:rsidRPr="003F1F5F">
        <w:t>(2023/2158(DEC))</w:t>
      </w:r>
    </w:p>
    <w:p w:rsidR="006A4C47" w:rsidRPr="003F1F5F" w:rsidRDefault="006A4C47" w:rsidP="006A4C47">
      <w:pPr>
        <w:pStyle w:val="EPComma"/>
      </w:pPr>
      <w:r w:rsidRPr="003F1F5F">
        <w:rPr>
          <w:i/>
          <w:iCs/>
        </w:rPr>
        <w:t>Európsky parlament</w:t>
      </w:r>
      <w:r w:rsidRPr="003F1F5F">
        <w:t>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konečnú ročnú účtovnú závierku Európskej námornej bezpečnostnej agentúry za rozpočtový rok 2022,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výročnú správu Dvora audítorov o agentúrach EÚ za rozpočtový rok 2022 spolu s odpoveďami agentúr</w:t>
      </w:r>
      <w:r w:rsidRPr="003F1F5F">
        <w:rPr>
          <w:rStyle w:val="FootnoteReference"/>
        </w:rPr>
        <w:footnoteReference w:id="6"/>
      </w:r>
      <w:r w:rsidRPr="003F1F5F">
        <w:t>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vyhlásenie o vierohodnosti</w:t>
      </w:r>
      <w:r w:rsidRPr="003F1F5F">
        <w:rPr>
          <w:rStyle w:val="FootnoteReference"/>
        </w:rPr>
        <w:footnoteReference w:id="7"/>
      </w:r>
      <w:r w:rsidRPr="003F1F5F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odporúčanie Rady z 22. februára 2024 o udelení absolutória agentúre za plnenie rozpočtu za rozpočtový rok 2022 (0</w:t>
      </w:r>
      <w:r w:rsidR="00AB4AFF" w:rsidRPr="003F1F5F">
        <w:t>6180</w:t>
      </w:r>
      <w:r w:rsidRPr="003F1F5F">
        <w:t>/2024 – C9</w:t>
      </w:r>
      <w:r w:rsidRPr="003F1F5F">
        <w:noBreakHyphen/>
        <w:t>00</w:t>
      </w:r>
      <w:r w:rsidR="00AB4AFF" w:rsidRPr="003F1F5F">
        <w:t>96</w:t>
      </w:r>
      <w:r w:rsidRPr="003F1F5F">
        <w:t>/2024),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článok 319 Zmluvy o fungovaní Európskej únie,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 xml:space="preserve">so zreteľom na nariadenie Európskeho parlamentu a Rady (EÚ, </w:t>
      </w:r>
      <w:proofErr w:type="spellStart"/>
      <w:r w:rsidRPr="003F1F5F">
        <w:t>Euratom</w:t>
      </w:r>
      <w:proofErr w:type="spellEnd"/>
      <w:r w:rsidRPr="003F1F5F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3F1F5F">
        <w:t>Euratom</w:t>
      </w:r>
      <w:proofErr w:type="spellEnd"/>
      <w:r w:rsidRPr="003F1F5F">
        <w:t>) č. 966/2012</w:t>
      </w:r>
      <w:r w:rsidRPr="003F1F5F">
        <w:rPr>
          <w:rStyle w:val="FootnoteReference"/>
        </w:rPr>
        <w:footnoteReference w:id="8"/>
      </w:r>
      <w:r w:rsidRPr="003F1F5F">
        <w:t>, a najmä na jeho článok 70,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nariadenie Európskeho parlamentu a Rady (ES) č. 1406/2002 z 27. júna 2002, ktorým sa ustanovuje Európska námorná bezpečnostná agentúra</w:t>
      </w:r>
      <w:r w:rsidRPr="003F1F5F">
        <w:rPr>
          <w:rStyle w:val="FootnoteReference"/>
        </w:rPr>
        <w:footnoteReference w:id="9"/>
      </w:r>
      <w:r w:rsidRPr="003F1F5F">
        <w:t>, a najmä na jeho článok 19,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3F1F5F">
        <w:t>Euratome</w:t>
      </w:r>
      <w:proofErr w:type="spellEnd"/>
      <w:r w:rsidRPr="003F1F5F">
        <w:t xml:space="preserve"> a uvedené v článku 70 nariadenia Európskeho parlamentu a Rady (EÚ, </w:t>
      </w:r>
      <w:proofErr w:type="spellStart"/>
      <w:r w:rsidRPr="003F1F5F">
        <w:t>Euratom</w:t>
      </w:r>
      <w:proofErr w:type="spellEnd"/>
      <w:r w:rsidRPr="003F1F5F">
        <w:t>) 2018/1046</w:t>
      </w:r>
      <w:r w:rsidRPr="003F1F5F">
        <w:rPr>
          <w:rStyle w:val="FootnoteReference"/>
        </w:rPr>
        <w:footnoteReference w:id="10"/>
      </w:r>
      <w:r w:rsidRPr="003F1F5F">
        <w:t>, a najmä na jeho článok 105,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článok 100 a prílohu V</w:t>
      </w:r>
      <w:r w:rsidR="009A0828" w:rsidRPr="003F1F5F">
        <w:t xml:space="preserve"> k </w:t>
      </w:r>
      <w:r w:rsidRPr="003F1F5F">
        <w:t>rokovacie</w:t>
      </w:r>
      <w:r w:rsidR="009A0828" w:rsidRPr="003F1F5F">
        <w:t>mu</w:t>
      </w:r>
      <w:r w:rsidRPr="003F1F5F">
        <w:t xml:space="preserve"> poriadku,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stanovisko Výboru pre dopravu a cestovný ruch,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správu Výboru pre kontrolu rozpočtu (A9-0107/2024),</w:t>
      </w:r>
    </w:p>
    <w:p w:rsidR="006A4C47" w:rsidRPr="003F1F5F" w:rsidRDefault="006A4C47" w:rsidP="006A4C47">
      <w:pPr>
        <w:pStyle w:val="NormalHanging12a"/>
      </w:pPr>
      <w:r w:rsidRPr="003F1F5F">
        <w:t>1.</w:t>
      </w:r>
      <w:r w:rsidRPr="003F1F5F">
        <w:tab/>
        <w:t>schvaľuje účtovnú závierku Európskej námornej bezpečnostnej agentúry za rozpočtový rok 2022;</w:t>
      </w:r>
    </w:p>
    <w:p w:rsidR="006A4C47" w:rsidRPr="003F1F5F" w:rsidRDefault="006A4C47" w:rsidP="006A4C47">
      <w:pPr>
        <w:pStyle w:val="NormalHanging12a"/>
      </w:pPr>
      <w:r w:rsidRPr="003F1F5F">
        <w:t>2.</w:t>
      </w:r>
      <w:r w:rsidRPr="003F1F5F">
        <w:tab/>
        <w:t xml:space="preserve">poveruje svoju predsedníčku, aby postúpila toto rozhodnutie výkonnej riaditeľke Európskej námornej bezpečnostnej agentúry, Rade, Komisii a Dvoru audítorov a aby </w:t>
      </w:r>
      <w:r w:rsidRPr="003F1F5F">
        <w:lastRenderedPageBreak/>
        <w:t xml:space="preserve">zabezpečila jeho uverejnenie v </w:t>
      </w:r>
      <w:r w:rsidRPr="003F1F5F">
        <w:rPr>
          <w:i/>
          <w:iCs/>
        </w:rPr>
        <w:t>Úradnom vestníku Európskej únie</w:t>
      </w:r>
      <w:r w:rsidRPr="003F1F5F">
        <w:t xml:space="preserve"> (v sérii L).</w:t>
      </w:r>
    </w:p>
    <w:p w:rsidR="006A4C47" w:rsidRPr="003F1F5F" w:rsidRDefault="006A4C47" w:rsidP="006A4C47"/>
    <w:p w:rsidR="006A4C47" w:rsidRPr="003F1F5F" w:rsidRDefault="006A4C47" w:rsidP="006A4C47">
      <w:pPr>
        <w:widowControl/>
        <w:rPr>
          <w:rFonts w:ascii="Arial" w:hAnsi="Arial" w:cs="Arial"/>
          <w:b/>
        </w:rPr>
        <w:sectPr w:rsidR="006A4C47" w:rsidRPr="003F1F5F" w:rsidSect="009A0A44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6A4C47" w:rsidRPr="003F1F5F" w:rsidRDefault="00582C7F" w:rsidP="006A4C47">
      <w:pPr>
        <w:pStyle w:val="NormalBold"/>
      </w:pPr>
      <w:r w:rsidRPr="003F1F5F">
        <w:lastRenderedPageBreak/>
        <w:t xml:space="preserve">3. Uznesenie Európskeho parlamentu z 11. apríla 2024 </w:t>
      </w:r>
      <w:r w:rsidR="006A4C47" w:rsidRPr="003F1F5F">
        <w:t xml:space="preserve">s poznámkami, ktoré </w:t>
      </w:r>
      <w:r w:rsidR="009A0828" w:rsidRPr="003F1F5F">
        <w:t>je</w:t>
      </w:r>
      <w:r w:rsidR="006A4C47" w:rsidRPr="003F1F5F">
        <w:t xml:space="preserve"> neoddeliteľnou súčasťou rozhodnutia o absolutóriu za plnenie rozpočtu Európskej námornej bezpečnostnej agentúry za rozpočtový rok 2022</w:t>
      </w:r>
      <w:r w:rsidRPr="003F1F5F">
        <w:t xml:space="preserve"> </w:t>
      </w:r>
      <w:r w:rsidR="006A4C47" w:rsidRPr="003F1F5F">
        <w:t>(2023/2158(DEC))</w:t>
      </w:r>
    </w:p>
    <w:p w:rsidR="006A4C47" w:rsidRPr="003F1F5F" w:rsidRDefault="006A4C47" w:rsidP="006A4C47">
      <w:pPr>
        <w:pStyle w:val="EPComma"/>
      </w:pPr>
      <w:r w:rsidRPr="003F1F5F">
        <w:rPr>
          <w:i/>
          <w:iCs/>
        </w:rPr>
        <w:t>Európsky parlament</w:t>
      </w:r>
      <w:r w:rsidRPr="003F1F5F">
        <w:t>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svoje rozhodnutie o absolutóriu za plnenie rozpočtu Európskej námornej bezpečnostnej agentúry za rozpočtový rok 2022,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článok 100 a prílohu V</w:t>
      </w:r>
      <w:r w:rsidR="009A0828" w:rsidRPr="003F1F5F">
        <w:t xml:space="preserve"> k</w:t>
      </w:r>
      <w:r w:rsidRPr="003F1F5F">
        <w:t xml:space="preserve"> rokovacie</w:t>
      </w:r>
      <w:r w:rsidR="009A0828" w:rsidRPr="003F1F5F">
        <w:t>mu</w:t>
      </w:r>
      <w:r w:rsidRPr="003F1F5F">
        <w:t xml:space="preserve"> poriadku,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stanovisko Výboru pre dopravu a cestovný ruch,</w:t>
      </w:r>
    </w:p>
    <w:p w:rsidR="006A4C47" w:rsidRPr="003F1F5F" w:rsidRDefault="006A4C47" w:rsidP="006A4C47">
      <w:pPr>
        <w:pStyle w:val="NormalHanging12a"/>
      </w:pPr>
      <w:r w:rsidRPr="003F1F5F">
        <w:t>–</w:t>
      </w:r>
      <w:r w:rsidRPr="003F1F5F">
        <w:tab/>
        <w:t>so zreteľom na správu Výboru pre kontrolu rozpočtu (A9-0107/2024),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A.</w:t>
      </w:r>
      <w:r w:rsidRPr="003F1F5F">
        <w:tab/>
        <w:t>keďže podľa výkazu príjmov a výdavkov</w:t>
      </w:r>
      <w:r w:rsidRPr="003F1F5F">
        <w:rPr>
          <w:rStyle w:val="FootnoteReference"/>
          <w:szCs w:val="24"/>
        </w:rPr>
        <w:footnoteReference w:id="11"/>
      </w:r>
      <w:r w:rsidRPr="003F1F5F">
        <w:t xml:space="preserve"> bol konečný rozpočet Európskej námornej bezpečnostnej agentúry (ďalej len „agentúra“) za rozpočtový rok 2022 na úrovni 115 807 269,88 EUR, čo v porovnaní s rokom 2021 predstavuje nárast o 9,48 %; keďže rozpočet agentúry pochádza z rozpočtu Únie a prevádzkových príjmov;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B.</w:t>
      </w:r>
      <w:r w:rsidRPr="003F1F5F">
        <w:tab/>
        <w:t>keďže Dvor audítorov vo svojej správe o overení ročnej účtovnej závierky agentúry za rozpočtový rok 2022 (ďalej len „správa Dvora audítorov“) uvádza, že získal primeranú istotu o tom, že ročná účtovná závierka agentúry je spoľahlivá a že príslušné operácie sú zákonné a správne;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C.</w:t>
      </w:r>
      <w:r w:rsidRPr="003F1F5F">
        <w:tab/>
        <w:t>keďže pokiaľ ide o oblasť obstarávania agentúry, v roku 2022 neboli hlásené žiadne problémy, ktoré by si vyžadovali nápravné opatrenia, neprebiehajú žiadne nápravné opatrenia z auditov a posúdení z predchádzajúcich rokov a nie sú žiadne nápravné opatrenia, ktoré by boli nevyriešené;</w:t>
      </w:r>
    </w:p>
    <w:p w:rsidR="006A4C47" w:rsidRPr="003F1F5F" w:rsidRDefault="006A4C47" w:rsidP="006A4C47">
      <w:pPr>
        <w:widowControl/>
        <w:spacing w:after="240"/>
        <w:ind w:left="567" w:hanging="567"/>
        <w:rPr>
          <w:szCs w:val="24"/>
        </w:rPr>
      </w:pPr>
      <w:r w:rsidRPr="003F1F5F">
        <w:t>D.</w:t>
      </w:r>
      <w:r w:rsidRPr="003F1F5F">
        <w:tab/>
        <w:t>keďže pokiaľ ide o oblasť systémov vnútornej kontroly agentúry, v roku 2022 neboli hlásené žiadne problémy, ktoré by si vyžadovali nápravné opatrenia, neprebiehajú žiadne nápravné opatrenia z auditov a posúdení z predchádzajúcich rokov a nie sú žiadne nápravné opatrenia, ktoré by boli nevyriešené;</w:t>
      </w:r>
    </w:p>
    <w:p w:rsidR="006A4C47" w:rsidRPr="003F1F5F" w:rsidRDefault="006A4C47" w:rsidP="006A4C47">
      <w:pPr>
        <w:spacing w:after="240"/>
        <w:ind w:left="567" w:hanging="567"/>
        <w:rPr>
          <w:b/>
          <w:i/>
          <w:szCs w:val="24"/>
        </w:rPr>
      </w:pPr>
      <w:r w:rsidRPr="003F1F5F">
        <w:rPr>
          <w:b/>
          <w:i/>
        </w:rPr>
        <w:t>Rozpočtové a finančné riadenie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1.</w:t>
      </w:r>
      <w:r w:rsidRPr="003F1F5F">
        <w:tab/>
        <w:t>s uznaním konštatuje, že úsilie o monitorovanie rozpočtu v priebehu rozpočtového roka 2022 prinieslo mieru plnenia rozpočtu viazaných rozpočtových prostriedkov v bežnom roku vo výške 99,80 %, čo v porovnaní s rokom 2021 predstavuje mierne zvýšenie o 0,14 %, a miera plnenia platobných rozpočtových prostriedkov v bežnom roku dosiahla 98,42 %, čo predstavuje zvýšenie o 1,10 %;</w:t>
      </w:r>
    </w:p>
    <w:p w:rsidR="006A4C47" w:rsidRPr="003F1F5F" w:rsidRDefault="006A4C47" w:rsidP="006A4C47">
      <w:pPr>
        <w:spacing w:after="240"/>
        <w:ind w:left="567" w:hanging="567"/>
        <w:rPr>
          <w:b/>
          <w:i/>
          <w:szCs w:val="24"/>
        </w:rPr>
      </w:pPr>
      <w:r w:rsidRPr="003F1F5F">
        <w:rPr>
          <w:b/>
          <w:i/>
        </w:rPr>
        <w:t>Výkonnosť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2.</w:t>
      </w:r>
      <w:r w:rsidRPr="003F1F5F">
        <w:tab/>
        <w:t xml:space="preserve">víta, že agentúra používa kľúčové ukazovatele výkonnosti (KPI) na meranie vykonávania svojho ročného pracovného programu v kľúčových oblastiach, ku ktorým agentúra prispieva, a svojich horizontálnych činností (udržateľnosť, dohľad, bezpečnosť a ochrana, zjednodušenie, digitalizácia, technická pomoc, budovanie kapacít a </w:t>
      </w:r>
      <w:r w:rsidRPr="003F1F5F">
        <w:lastRenderedPageBreak/>
        <w:t>strategická podpora); oceňuje, že ciele sa celkovo dosiahli, pričom len veľmi málo z nich nebolo splnených, najmä z opodstatnených dôvodov; ďalej konštatuje, že agentúra dosiahla svoje ciele na rok 2022 v súlade s ročným pracovným programom a viacročným strategickým rámcom;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3.</w:t>
      </w:r>
      <w:r w:rsidRPr="003F1F5F">
        <w:tab/>
        <w:t xml:space="preserve">berie na vedomie, že agentúra sa aktívne zapájala do viacerých iniciatív súvisiacich s Európskou zelenou dohodou a poskytovala podporu a údaje Komisii a členským štátom s osobitným dôrazom na rôzne návrhy v rámci balíka Fit </w:t>
      </w:r>
      <w:proofErr w:type="spellStart"/>
      <w:r w:rsidRPr="003F1F5F">
        <w:t>for</w:t>
      </w:r>
      <w:proofErr w:type="spellEnd"/>
      <w:r w:rsidRPr="003F1F5F">
        <w:t xml:space="preserve"> 55, napríklad iniciatívu </w:t>
      </w:r>
      <w:proofErr w:type="spellStart"/>
      <w:r w:rsidRPr="003F1F5F">
        <w:t>FuelEU</w:t>
      </w:r>
      <w:proofErr w:type="spellEnd"/>
      <w:r w:rsidRPr="003F1F5F">
        <w:t xml:space="preserve"> </w:t>
      </w:r>
      <w:proofErr w:type="spellStart"/>
      <w:r w:rsidRPr="003F1F5F">
        <w:t>Maritime</w:t>
      </w:r>
      <w:proofErr w:type="spellEnd"/>
      <w:r w:rsidRPr="003F1F5F">
        <w:t xml:space="preserve"> a návrh zameraný na rozšírenie systému obchodovania s emisiami na námornú dopravu;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4.</w:t>
      </w:r>
      <w:r w:rsidRPr="003F1F5F">
        <w:tab/>
        <w:t>víta, že agentúra sa stala dôležitým aktérom, pokiaľ ide o monitorovanie a nahlasovanie plavidiel, ktoré sú predmetom záujmu, po nezákonnej a nevyprovokovanej ruskej invázii na Ukrajinu vo februári 2022; v tejto súvislosti konštatuje, že služba námornej podpory (MSS) informovala členské štáty a Komisiu o plavidlách plaviacich sa pod ruskou vlajkou, konkrétnym členským štátom a Komisii poskytovala informácie o zastaveniach lodí v prístavoch EÚ a informovala aj o zastaveniach lodí v súvislosti so sankciami (napr. dovoz uhlia);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5.</w:t>
      </w:r>
      <w:r w:rsidRPr="003F1F5F">
        <w:tab/>
        <w:t xml:space="preserve">konštatuje, že služby agentúry pre pozorovanie Zeme pokračovali vo vývoji a poskytovaní spôsobilostí dohľadu s dôrazom na </w:t>
      </w:r>
      <w:proofErr w:type="spellStart"/>
      <w:r w:rsidRPr="003F1F5F">
        <w:t>CleanSeaNet</w:t>
      </w:r>
      <w:proofErr w:type="spellEnd"/>
      <w:r w:rsidRPr="003F1F5F">
        <w:t xml:space="preserve">, námorný dohľad programu </w:t>
      </w:r>
      <w:proofErr w:type="spellStart"/>
      <w:r w:rsidRPr="003F1F5F">
        <w:t>Copernicus</w:t>
      </w:r>
      <w:proofErr w:type="spellEnd"/>
      <w:r w:rsidRPr="003F1F5F">
        <w:t xml:space="preserve"> pre agentúru </w:t>
      </w:r>
      <w:proofErr w:type="spellStart"/>
      <w:r w:rsidRPr="003F1F5F">
        <w:t>Frontex</w:t>
      </w:r>
      <w:proofErr w:type="spellEnd"/>
      <w:r w:rsidRPr="003F1F5F">
        <w:t xml:space="preserve"> a podporu núdzových námorných situácií na mori v kontexte pohotovostného plánu agentúry;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6.</w:t>
      </w:r>
      <w:r w:rsidRPr="003F1F5F">
        <w:tab/>
        <w:t>víta, že agentúra poskytovala technickú podporu Komisii a Dozornému úradu EZVO tým, že sa zúčastňovala na inšpekciách, ktoré organizovali s cieľom posúdiť a overiť vykonávanie a presadzovanie právnych predpisov EÚ v oblasti námornej bezpečnosti v členských štátoch;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7.</w:t>
      </w:r>
      <w:r w:rsidRPr="003F1F5F">
        <w:tab/>
        <w:t>konštatuje, že v roku 2022 agentúra poskytla Agentúre Európskej únie pre spoluprácu v oblasti presadzovania práva (EUROPOL) prístup k námorným informačným službám a informačným službám dohľadu s cieľom podporiť ich v oblasti presadzovania práva a organizovanej trestnej činnosti na mori;</w:t>
      </w:r>
    </w:p>
    <w:p w:rsidR="006A4C47" w:rsidRPr="003F1F5F" w:rsidRDefault="006A4C47" w:rsidP="006A4C47">
      <w:pPr>
        <w:spacing w:after="240"/>
        <w:ind w:left="567" w:hanging="567"/>
        <w:rPr>
          <w:i/>
          <w:szCs w:val="24"/>
        </w:rPr>
      </w:pPr>
      <w:r w:rsidRPr="003F1F5F">
        <w:t>8.</w:t>
      </w:r>
      <w:r w:rsidRPr="003F1F5F">
        <w:tab/>
        <w:t xml:space="preserve">konštatuje, že agentúra si v roku 2022 ponechala svoju úlohu centra </w:t>
      </w:r>
      <w:proofErr w:type="spellStart"/>
      <w:r w:rsidRPr="003F1F5F">
        <w:t>excelentnosti</w:t>
      </w:r>
      <w:proofErr w:type="spellEnd"/>
      <w:r w:rsidRPr="003F1F5F">
        <w:t xml:space="preserve"> pre budovanie kapacít, vykonávanie projektu IPA II a dokončovanie projektov technickej pomoci v Stredozemnom (SAFEMED IV) a Čiernom a Kaspickom mori (BCSEA);</w:t>
      </w:r>
    </w:p>
    <w:p w:rsidR="006A4C47" w:rsidRPr="003F1F5F" w:rsidRDefault="006A4C47" w:rsidP="006A4C47">
      <w:pPr>
        <w:spacing w:after="240"/>
        <w:ind w:left="567" w:hanging="567"/>
      </w:pPr>
      <w:r w:rsidRPr="003F1F5F">
        <w:t>9.</w:t>
      </w:r>
      <w:r w:rsidRPr="003F1F5F">
        <w:tab/>
        <w:t>víta podporu, ktorú agentúra poskytuje Komisii v IMO, najmä na fórach, ako sú MEPC, PPR a CCC; táto podpora sa týka kľúčových oblastí prevencie znečistenia a udržateľnosti vrátane stratégie IMO na zníženie emisií skleníkových plynov, uhlíkovej náročnosti lodnej dopravy, bezpečnosti, hodnotenia, zavádzania a využívania udržateľných alternatívnych palív a technológií, morského odpadu a podmorského hluku; zdôrazňuje, že nadchádzajúca práca IMO na vypracovaní príslušných požiadaviek a noriem pre používanie nových palív a technológií bude mať kľúčový význam pre ich zavádzanie na celosvetovej úrovni, ako aj na úrovni EÚ;</w:t>
      </w:r>
    </w:p>
    <w:p w:rsidR="006A4C47" w:rsidRPr="003F1F5F" w:rsidRDefault="006A4C47" w:rsidP="006A4C47">
      <w:pPr>
        <w:pStyle w:val="NormalHanging12a"/>
        <w:rPr>
          <w:b/>
          <w:i/>
          <w:color w:val="000000" w:themeColor="text1"/>
          <w:szCs w:val="24"/>
        </w:rPr>
      </w:pPr>
      <w:r w:rsidRPr="003F1F5F">
        <w:rPr>
          <w:b/>
          <w:i/>
          <w:color w:val="000000" w:themeColor="text1"/>
        </w:rPr>
        <w:t>Efektívnosť a zisky</w:t>
      </w:r>
    </w:p>
    <w:p w:rsidR="006A4C47" w:rsidRPr="003F1F5F" w:rsidRDefault="006A4C47" w:rsidP="006A4C47">
      <w:pPr>
        <w:widowControl/>
        <w:spacing w:after="240"/>
        <w:ind w:left="567" w:hanging="567"/>
        <w:rPr>
          <w:szCs w:val="24"/>
        </w:rPr>
      </w:pPr>
      <w:r w:rsidRPr="003F1F5F">
        <w:rPr>
          <w:color w:val="000000" w:themeColor="text1"/>
        </w:rPr>
        <w:t>10.</w:t>
      </w:r>
      <w:r w:rsidRPr="003F1F5F">
        <w:rPr>
          <w:color w:val="000000" w:themeColor="text1"/>
        </w:rPr>
        <w:tab/>
      </w:r>
      <w:r w:rsidRPr="003F1F5F">
        <w:t xml:space="preserve">konštatuje, že v rámci nového mandátu pre európsku spoluprácu pri činnostiach pobrežnej stráže si agentúra vymieňala informácie, odborné znalosti, postupy, materiály </w:t>
      </w:r>
      <w:r w:rsidRPr="003F1F5F">
        <w:lastRenderedPageBreak/>
        <w:t xml:space="preserve">odbornej prípravy a nástroje s Európskou agentúrou pre kontrolu rybárstva (EFCA) a agentúrou </w:t>
      </w:r>
      <w:proofErr w:type="spellStart"/>
      <w:r w:rsidRPr="003F1F5F">
        <w:t>Frontex</w:t>
      </w:r>
      <w:proofErr w:type="spellEnd"/>
      <w:r w:rsidRPr="003F1F5F">
        <w:t>;</w:t>
      </w:r>
      <w:r w:rsidRPr="003F1F5F">
        <w:rPr>
          <w:color w:val="000000" w:themeColor="text1"/>
        </w:rPr>
        <w:t xml:space="preserve"> ďalej berie na vedomie, že agentúra naďalej úzko spolupracuje s Európskym monitorovacím centrom pre drogy a drogovú závislosť (EMCCDA) s cieľom zvýšiť efektívnosť a ušetriť náklady vďaka geografickej blízkosti oboch agentúr; víta, že agentúra poskytovala centru EMCCDA podporu výmenou poznatkov v súvislosti s registráciou EMAS a s agentúrou EFCA pokračovala v zabezpečovaní vzájomného záložného mechanizmu pre účtovnú funkciu v oboch agentúrach; </w:t>
      </w:r>
      <w:r w:rsidRPr="003F1F5F">
        <w:t>poukazuje na horizontálne prínosy spolupráce a prispôsobovania najlepších postupov a tiež na to, že vďaka spoločným iniciatívam sa spájajú rôzne perspektívy, znižuje sa duplicita úsilia, rozširuje sa vzdelávanie a posilňujú vzťahy medzi účastníkmi;</w:t>
      </w:r>
    </w:p>
    <w:p w:rsidR="006A4C47" w:rsidRPr="003F1F5F" w:rsidRDefault="006A4C47" w:rsidP="006A4C47">
      <w:pPr>
        <w:pStyle w:val="NormalHanging12a"/>
        <w:rPr>
          <w:color w:val="000000" w:themeColor="text1"/>
          <w:szCs w:val="24"/>
        </w:rPr>
      </w:pPr>
      <w:r w:rsidRPr="003F1F5F">
        <w:rPr>
          <w:color w:val="000000" w:themeColor="text1"/>
        </w:rPr>
        <w:t>11.</w:t>
      </w:r>
      <w:r w:rsidRPr="003F1F5F">
        <w:rPr>
          <w:color w:val="000000" w:themeColor="text1"/>
        </w:rPr>
        <w:tab/>
        <w:t>konštatuje, že agentúra sa usilovala zvýšiť svoju efektívnosť a účinnosť automatizáciou postupov, aby výrazne znížila administratívne zaťaženie konkrétnych zamestnancov, vďaka čomu by sa mohli zamerať na úlohy v súvisiacich oblastiach s vyššou pridanou hodnotou; konštatuje, že agentúra okrem toho iniciovala pilotné projekty v oblasti kvalifikovaného elektronického podpisu a integrácie podnikových nástrojov do systému ARES; vyzýva agentúru, aby identifikovala ďalšie interné postupy, ktoré by sa mohli zjednodušiť prostredníctvom automatizácie;</w:t>
      </w:r>
    </w:p>
    <w:p w:rsidR="006A4C47" w:rsidRPr="003F1F5F" w:rsidRDefault="006A4C47" w:rsidP="006A4C47">
      <w:pPr>
        <w:spacing w:after="240"/>
        <w:ind w:left="567" w:hanging="567"/>
        <w:rPr>
          <w:b/>
          <w:i/>
          <w:szCs w:val="24"/>
        </w:rPr>
      </w:pPr>
      <w:r w:rsidRPr="003F1F5F">
        <w:rPr>
          <w:b/>
          <w:i/>
        </w:rPr>
        <w:t>Personálna politika</w:t>
      </w:r>
    </w:p>
    <w:p w:rsidR="006A4C47" w:rsidRPr="003F1F5F" w:rsidRDefault="006A4C47" w:rsidP="006A4C47">
      <w:pPr>
        <w:pStyle w:val="NormalHanging12a"/>
        <w:rPr>
          <w:szCs w:val="24"/>
        </w:rPr>
      </w:pPr>
      <w:r w:rsidRPr="003F1F5F">
        <w:t>12.</w:t>
      </w:r>
      <w:r w:rsidRPr="003F1F5F">
        <w:tab/>
        <w:t>ko</w:t>
      </w:r>
      <w:r w:rsidR="00961298">
        <w:t>nštatuje, že k 31. decembru 2022</w:t>
      </w:r>
      <w:r w:rsidRPr="003F1F5F">
        <w:t xml:space="preserve"> bol plán pracovných miest stabilný, naplnený na 99,06 %, pričom z 212 zamestnancov povolených v rámci rozpočtu Únie (rovnaký počet ako v roku 2021) bolo vymenovaných 210 úradníkov a dočasných zamestnancov; poznamenáva, že v roku 2022 agentúra okrem toho zamestnávala 28 zmluvných zamestnancov a 16 vyslaných národných expertov;</w:t>
      </w:r>
    </w:p>
    <w:p w:rsidR="006A4C47" w:rsidRPr="003F1F5F" w:rsidRDefault="006A4C47" w:rsidP="006A4C47">
      <w:pPr>
        <w:pStyle w:val="NormalHanging12a"/>
      </w:pPr>
      <w:r w:rsidRPr="003F1F5F">
        <w:t>13.</w:t>
      </w:r>
      <w:r w:rsidRPr="003F1F5F">
        <w:tab/>
        <w:t>konštatuje neexistenciu rodovej rovnováhy v rámci vrcholového a stredného manažmentu agentúry, kde je zo 16 manažérov päť žien (31 %); konštatuje neexistenciu rodovej rovnováhy medzi členmi správnej rady agentúry, kde 10 zo 57 členov (18 %) sú ženy; ďalej konštatuje neexistenciu rodovej rovnováhy medzi zamestnancami agentúry celkovo, kde 99 z 264 zamestnancov (38 %) sú ženy; pripomína, že je dôležité zabezpečiť rodovú rovnováhu, a vyzýva agentúru, aby tento aspekt zohľadnila pri budúcom prijímaní zamestnancov a menovaní do vyššieho a stredného manažmentu; víta v tomto ohľade, že agentúra prijala akčný plán pre rodovú rovnosť na roky 2022 – 2025 zameraný na zlepšenie rodovej rovnováhy a rovnosti z dlhodobého hľadiska na základe kvality; žiada Komisiu a členské štáty, aby zohľadnili význam zabezpečenia rodovej rovnováhy pri predkladaní ich nominácií na členov správnej rady agentúry; nabáda agentúru, aby prijala aj tzv. chartu o vývoji a inováciách a naďalej sa zúčastňovala na iniciatívach podporujúcich rozmanitosť a začleňovanie na pracovisku na všetkých úrovniach hierarchie;</w:t>
      </w:r>
    </w:p>
    <w:p w:rsidR="006A4C47" w:rsidRPr="003F1F5F" w:rsidRDefault="006A4C47" w:rsidP="006A4C47">
      <w:pPr>
        <w:spacing w:after="240"/>
        <w:ind w:left="567" w:hanging="567"/>
      </w:pPr>
      <w:r w:rsidRPr="003F1F5F">
        <w:t>14.</w:t>
      </w:r>
      <w:r w:rsidRPr="003F1F5F">
        <w:tab/>
        <w:t>zdôrazňuje pretrvávajúcu výzvu pri nábore vyslaných národných expertov vzhľadom na ťažkosti prilákať odborníkov z členských štátov; poukazuje na to, že agentúra mala niekoľko neúspešných výziev; navrhuje, aby interní zmluvní zamestnanci mali možnosť postúpiť do ďalšej funkčnej skupiny na základe všeobecného výberového konania; pokiaľ ide o zvýšenie efektivity konštatuje, že agentúra sa snaží a pracuje na zlepšení svojich postupov s cieľom zvýšiť ich účinnosť a efektívnosť, aby sa optimalizovalo využívanie ľudských a finančných zdrojov;</w:t>
      </w:r>
    </w:p>
    <w:p w:rsidR="006A4C47" w:rsidRPr="003F1F5F" w:rsidRDefault="006A4C47" w:rsidP="006A4C47">
      <w:pPr>
        <w:pStyle w:val="NormalHanging12a"/>
      </w:pPr>
      <w:r w:rsidRPr="003F1F5F">
        <w:t>15.</w:t>
      </w:r>
      <w:r w:rsidRPr="003F1F5F">
        <w:tab/>
        <w:t xml:space="preserve">víta, že v súvislosti s predchádzaním obťažovaniu na pracovisku bolo po úspešnom </w:t>
      </w:r>
      <w:r w:rsidRPr="003F1F5F">
        <w:lastRenderedPageBreak/>
        <w:t>ukončení povinnej odbornej prípravy vymenovaných šesť nových dôverných poradcov, ktorí už v súčasnosti vykonávajú túto úlohu v agentúre;</w:t>
      </w:r>
    </w:p>
    <w:p w:rsidR="006A4C47" w:rsidRPr="003F1F5F" w:rsidRDefault="006A4C47" w:rsidP="006A4C47">
      <w:pPr>
        <w:pStyle w:val="NormalHanging12a"/>
      </w:pPr>
      <w:r w:rsidRPr="003F1F5F">
        <w:t>16.</w:t>
      </w:r>
      <w:r w:rsidRPr="003F1F5F">
        <w:tab/>
        <w:t>konštatuje, že agentúra spustila projekt stratégie v oblasti ľudských zdrojov s konzultáciami so zamestnancami, manažmentom a výborom zamestnancov, projekt na vytvorenie online úvodného programu pre nových zamestnancov a prípravné práce súvisiace s rozhodnutím o pracovnom čase a hybridnej práci, ktorých prijatie sa očakávalo v roku 2023; žiada agentúru, aby orgán udeľujúci absolutórium priebežne informovala o pokroku v tejto veci;</w:t>
      </w:r>
    </w:p>
    <w:p w:rsidR="006A4C47" w:rsidRPr="003F1F5F" w:rsidRDefault="006A4C47" w:rsidP="006A4C47">
      <w:pPr>
        <w:pStyle w:val="NormalHanging12a"/>
        <w:rPr>
          <w:b/>
          <w:i/>
          <w:szCs w:val="24"/>
        </w:rPr>
      </w:pPr>
      <w:r w:rsidRPr="003F1F5F">
        <w:rPr>
          <w:b/>
          <w:i/>
        </w:rPr>
        <w:t>Prevencia, riešenie konfliktov záujmov a transparentnosť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17.</w:t>
      </w:r>
      <w:r w:rsidRPr="003F1F5F">
        <w:tab/>
        <w:t>berie na vedomie, že od členov a náhradníkov správnej rady agentúry sa požaduje, aby pri svojom vymenovaní podpísali vyhlásenie o záväzkoch a dôvernosti a aby každoročne deklarovali akýkoľvek (potenciálny) konflikt záujmov, ktorý by sa mohol považovať za škodlivý pre zaobchádzanie s ktorýmkoľvek bodom programu na začiatku každého zasadnutia správnej rady; konštatuje, že všetci zamestnanci (vrátane vyššieho manažmentu zapojeného do osobitných postupov) sú povinní deklarovať (potenciáln</w:t>
      </w:r>
      <w:r w:rsidR="00AB4AFF" w:rsidRPr="003F1F5F">
        <w:t>e</w:t>
      </w:r>
      <w:r w:rsidRPr="003F1F5F">
        <w:t>) konflikt</w:t>
      </w:r>
      <w:r w:rsidR="00AB4AFF" w:rsidRPr="003F1F5F">
        <w:t>y</w:t>
      </w:r>
      <w:r w:rsidRPr="003F1F5F">
        <w:t xml:space="preserve"> záujmov v rôznych postupoch, ako sú verejné obstarávanie a prijímanie zamestnancov; berie na vedomie, že v priebehu roka 2022 člen výberovej komisie vyhlásil jeden prípad konfliktu záujmov v rámci výberového konania a po analýze nahláseného konfliktu bol člen nahradený;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18.</w:t>
      </w:r>
      <w:r w:rsidRPr="003F1F5F">
        <w:tab/>
        <w:t>konštatuje, že agentúra prijala politiku v oblasti konfliktu záujmov pre členov svojej správnej rady, v ktorej sú stanovené zásady riadenia nestrannosti a nezávislosti jej členov a ich náhradníkov a vymedzujú sa opatrenia na zabezpečenie ich praktického uplatňovania, aby sa predišlo nevhodnému ovplyvňovaniu nestrannosti a nezávislosti členov rady počas výkonu ich povinností minulými, súčasnými alebo budúcimi záujmami a zmiernilo sa riziko, že by k tomu mohlo dôjsť;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19.</w:t>
      </w:r>
      <w:r w:rsidRPr="003F1F5F">
        <w:tab/>
        <w:t>berie na vedomie, že životopisy členov správnej rady a riadiacich pracovníkov sú uverejnené na webovom sídle agentúry;</w:t>
      </w:r>
    </w:p>
    <w:p w:rsidR="006A4C47" w:rsidRPr="003F1F5F" w:rsidRDefault="006A4C47" w:rsidP="006A4C47">
      <w:pPr>
        <w:pStyle w:val="Normal12Hanging"/>
        <w:rPr>
          <w:b/>
          <w:i/>
          <w:szCs w:val="24"/>
        </w:rPr>
      </w:pPr>
      <w:r w:rsidRPr="003F1F5F">
        <w:rPr>
          <w:b/>
          <w:i/>
        </w:rPr>
        <w:t>Ďalšie pripomienky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20.</w:t>
      </w:r>
      <w:r w:rsidRPr="003F1F5F">
        <w:tab/>
        <w:t>oceňuje, že v súlade s rámcom riadenia rizík agentúry bol register rizík v roku 2022 plne aktualizovaný a doladený a že počas tohto procesu sa osobitná pozornosť venovala identifikácii potenciálnych rizík súvisiacich s podvodmi a celkovým príležitostiam; ďalej víta, že v nadväznosti na inváziu Ruska na Ukrajinu bolo odhalených niekoľko nových rizík a príležitostí súvisiacich s touto závažnou krízou, ktoré boli zahrnuté do aktualizovaných registrov rizík;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21.</w:t>
      </w:r>
      <w:r w:rsidRPr="003F1F5F">
        <w:tab/>
        <w:t>vyslovuje blahoželanie, že agentúra vyvinula viacero ad hoc produktov na pomoc členským štátom a Komisii pri vykonávaní sankcií EÚ v súvislosti s inváziou Ruskej federácie na Ukrajinu, ako je nahlasovanie zastavení lodí s konkrétnym nákladom a pod konkrétnymi vlajkami v prístavoch; ďalej víta, že agentúra vypracovala a príslušným zainteresovaným stranám predkladá mesačnú správu o vplyve vývoja na Ukrajine na námornú dopravu a obchod;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22.</w:t>
      </w:r>
      <w:r w:rsidRPr="003F1F5F">
        <w:tab/>
        <w:t xml:space="preserve">víta, že agentúra v roku 2022 vykonala rôzne </w:t>
      </w:r>
      <w:proofErr w:type="spellStart"/>
      <w:r w:rsidRPr="003F1F5F">
        <w:t>ekologizačné</w:t>
      </w:r>
      <w:proofErr w:type="spellEnd"/>
      <w:r w:rsidRPr="003F1F5F">
        <w:t xml:space="preserve"> činnosti, okrem iného realizovala napríklad rozsiahlu </w:t>
      </w:r>
      <w:proofErr w:type="spellStart"/>
      <w:r w:rsidRPr="003F1F5F">
        <w:t>ekologizačnú</w:t>
      </w:r>
      <w:proofErr w:type="spellEnd"/>
      <w:r w:rsidRPr="003F1F5F">
        <w:t xml:space="preserve"> komunikačnú kampaň, zriadila opätovne </w:t>
      </w:r>
      <w:r w:rsidRPr="003F1F5F">
        <w:lastRenderedPageBreak/>
        <w:t>použiteľnú stacionárnu miestnosť, zúčastnila sa na Európskom týždni mobility a znížila všeobecnú teplotu vo svojich priestoroch počas zimnej sezóny;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23.</w:t>
      </w:r>
      <w:r w:rsidRPr="003F1F5F">
        <w:tab/>
        <w:t>pripomína, že agentúra začala v roku 2019 projekt ekologizácie s cieľom zaviesť environmentálne manažérstvo, pričom posledná etapa projektu uzavretá externým overovacím auditom prebehla v januári 2022; berie na vedomie, že agentúra získala následne značku EMAS a uverejnila svoje environmentálne vyhlásenie;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24.</w:t>
      </w:r>
      <w:r w:rsidRPr="003F1F5F">
        <w:tab/>
        <w:t xml:space="preserve">konštatuje, že agentúra zintenzívnila spoluprácu s Agentúrou Európskej únie pre kybernetickú bezpečnosť tým, že sa zúčastnila na pilotnom projekte budúceho vykonávania pripravovaného nariadenia o kybernetickej bezpečnosti; ďalej konštatuje, že agentúra posilnila svoju spoluprácu s tímom CERT EU tým, že predĺžila platnosť osobitnej dohody o úrovni poskytovaných služieb, ktorá teraz zahŕňa viac opatrení, napríklad zvýšený počet posúdení bezpečnosti, a umožnila monitorovanie bezpečnostných udalostí v rámci IT infraštruktúry EMSA v reálnom čase;  ďalej konštatuje, že agentúra vykonáva pravidelné hodnotenia bezpečnosti s tímom CERT EU a poskytovateľom </w:t>
      </w:r>
      <w:proofErr w:type="spellStart"/>
      <w:r w:rsidRPr="003F1F5F">
        <w:t>medziinštitucionálnych</w:t>
      </w:r>
      <w:proofErr w:type="spellEnd"/>
      <w:r w:rsidRPr="003F1F5F">
        <w:t xml:space="preserve"> bezpečnostných služieb Rady;</w:t>
      </w:r>
    </w:p>
    <w:p w:rsidR="006A4C47" w:rsidRPr="003F1F5F" w:rsidRDefault="006A4C47" w:rsidP="006A4C47">
      <w:pPr>
        <w:spacing w:after="240"/>
        <w:ind w:left="567" w:hanging="567"/>
        <w:rPr>
          <w:szCs w:val="24"/>
        </w:rPr>
      </w:pPr>
      <w:r w:rsidRPr="003F1F5F">
        <w:t>25.</w:t>
      </w:r>
      <w:r w:rsidRPr="003F1F5F">
        <w:tab/>
        <w:t>konštatuje, že agentúra zaviedla rôzne opatrenia s cieľom zvýšiť svoju viditeľnosť a prítomnosť na internete, ako sú usporadúvanie konferencií, zdieľanie videí vysvetľujúcich hlavné činnosti a právomoci agentúry, živé vysielanie a prijatie koncepcie dňa otvorených dverí EMSA;</w:t>
      </w:r>
    </w:p>
    <w:p w:rsidR="006A4C47" w:rsidRPr="003F1F5F" w:rsidRDefault="006A4C47" w:rsidP="006A4C47">
      <w:pPr>
        <w:pStyle w:val="NormalHanging12a"/>
      </w:pPr>
      <w:r w:rsidRPr="003F1F5F">
        <w:t>26.</w:t>
      </w:r>
      <w:r w:rsidRPr="003F1F5F">
        <w:tab/>
        <w:t>oceňuje záväzok agentúry zlepšiť viacjazyčnú komunikáciu, čím sa zabezpečí väčšia dostupnosť pre všetkých európskych občanov; konštatuje, že päťročná stratégia agentúry, správy o európskom námornom prostredí a správy o európskej námornej bezpečnosti sú teraz prístupné vo všetkých 24 jazykoch EÚ;</w:t>
      </w:r>
    </w:p>
    <w:p w:rsidR="006A4C47" w:rsidRPr="003F1F5F" w:rsidRDefault="006A4C47" w:rsidP="006A4C47">
      <w:pPr>
        <w:spacing w:after="240"/>
        <w:ind w:left="567" w:hanging="567"/>
      </w:pPr>
      <w:r w:rsidRPr="003F1F5F">
        <w:t>27.</w:t>
      </w:r>
      <w:r w:rsidRPr="003F1F5F">
        <w:tab/>
        <w:t>zdôrazňuje význam činností agentúry v oblasti námornej bezpečnosti a žiada, aby naďalej poskytovala technickú pomoc Komisii počas inšpekcií v tomto rámci podľa nariadenia Európskeho parlamentu a</w:t>
      </w:r>
      <w:r w:rsidR="00961298">
        <w:t> </w:t>
      </w:r>
      <w:r w:rsidRPr="003F1F5F">
        <w:t>Rady</w:t>
      </w:r>
      <w:r w:rsidR="00961298">
        <w:t xml:space="preserve"> (ES)</w:t>
      </w:r>
      <w:r w:rsidRPr="003F1F5F">
        <w:t xml:space="preserve"> č. 725/2004 o zvýšení bezpečnosti lodí a prístavných zariadení; zdôrazňuje výrazný nárast kybernetických incidentov v námornom odvetví v posledných rokoch;</w:t>
      </w:r>
    </w:p>
    <w:p w:rsidR="006A4C47" w:rsidRPr="003F1F5F" w:rsidRDefault="006A4C47" w:rsidP="006A4C47">
      <w:pPr>
        <w:spacing w:after="240"/>
        <w:ind w:left="567" w:hanging="567"/>
      </w:pPr>
      <w:r w:rsidRPr="003F1F5F">
        <w:t>28.</w:t>
      </w:r>
      <w:r w:rsidRPr="003F1F5F">
        <w:tab/>
        <w:t>vyzýva na podporu digitalizácie odvetvia námornej dopravy uľahčením elektronického prenosu údajov, podporou zjednodušenia a poskytovania systémov a služieb integrovaného námorného dozoru a informovanosti o námornej situácii Komisii a členským štátom;</w:t>
      </w:r>
    </w:p>
    <w:p w:rsidR="006A4C47" w:rsidRPr="003F1F5F" w:rsidRDefault="006A4C47" w:rsidP="006A4C47">
      <w:pPr>
        <w:spacing w:after="240"/>
        <w:ind w:left="567" w:hanging="567"/>
      </w:pPr>
      <w:r w:rsidRPr="003F1F5F">
        <w:t>29.</w:t>
      </w:r>
      <w:r w:rsidRPr="003F1F5F">
        <w:tab/>
        <w:t>zdôrazňuje, že rast flotily EÚ (z hľadiska lodí aj tonáže) je v porovnaní s rastom celosvetovej flotily pomalší; za posledných päť rokov zaznamenala flotila EÚ nárast o 3,4 % na rozdiel od globálnej flotily, ktorá vykazovala výraznejší nárast o 7 %;</w:t>
      </w:r>
    </w:p>
    <w:p w:rsidR="006A4C47" w:rsidRPr="003F1F5F" w:rsidRDefault="006A4C47" w:rsidP="006A4C47">
      <w:pPr>
        <w:spacing w:after="240"/>
        <w:ind w:left="567" w:hanging="567"/>
        <w:jc w:val="center"/>
        <w:rPr>
          <w:szCs w:val="24"/>
        </w:rPr>
      </w:pPr>
      <w:r w:rsidRPr="003F1F5F">
        <w:t>°</w:t>
      </w:r>
    </w:p>
    <w:p w:rsidR="006A4C47" w:rsidRPr="003F1F5F" w:rsidRDefault="006A4C47" w:rsidP="006A4C47">
      <w:pPr>
        <w:pStyle w:val="NormalCenter12a"/>
        <w:rPr>
          <w:szCs w:val="24"/>
        </w:rPr>
      </w:pPr>
      <w:r w:rsidRPr="003F1F5F">
        <w:t>°</w:t>
      </w:r>
      <w:r w:rsidRPr="003F1F5F">
        <w:tab/>
        <w:t>°</w:t>
      </w:r>
    </w:p>
    <w:p w:rsidR="006A4C47" w:rsidRPr="003F1F5F" w:rsidRDefault="006A4C47" w:rsidP="006A4C47">
      <w:pPr>
        <w:widowControl/>
        <w:ind w:left="567" w:hanging="567"/>
        <w:rPr>
          <w:szCs w:val="24"/>
        </w:rPr>
      </w:pPr>
      <w:r w:rsidRPr="003F1F5F">
        <w:t>30.</w:t>
      </w:r>
      <w:r w:rsidRPr="003F1F5F">
        <w:tab/>
        <w:t>pokiaľ ide o ďalšie poznámky prierezovej povahy, ktoré sú súčasťou rozhodnutia o absolutóriu, odvoláva sa na svoje uznesenie z</w:t>
      </w:r>
      <w:r w:rsidR="009A0828" w:rsidRPr="003F1F5F">
        <w:t> 11. apríla 2024</w:t>
      </w:r>
      <w:r w:rsidRPr="003F1F5F">
        <w:rPr>
          <w:rStyle w:val="FootnoteReference"/>
        </w:rPr>
        <w:footnoteReference w:id="12"/>
      </w:r>
      <w:r w:rsidRPr="003F1F5F">
        <w:t xml:space="preserve"> o výkonnosti, finančnom hospodárení a kontrole agentúr.</w:t>
      </w:r>
    </w:p>
    <w:sectPr w:rsidR="006A4C47" w:rsidRPr="003F1F5F" w:rsidSect="009A0A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6F5" w:rsidRPr="009A0A44" w:rsidRDefault="00AB16F5">
      <w:r w:rsidRPr="009A0A44">
        <w:separator/>
      </w:r>
    </w:p>
  </w:endnote>
  <w:endnote w:type="continuationSeparator" w:id="0">
    <w:p w:rsidR="00AB16F5" w:rsidRPr="009A0A44" w:rsidRDefault="00AB16F5">
      <w:r w:rsidRPr="009A0A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C47" w:rsidRPr="009A0A44" w:rsidRDefault="006A4C47" w:rsidP="00D11A99">
    <w:pPr>
      <w:pStyle w:val="EPFooter"/>
    </w:pPr>
    <w:r w:rsidRPr="009A0A44">
      <w:t>PE</w:t>
    </w:r>
    <w:r w:rsidRPr="009A0A44">
      <w:rPr>
        <w:rStyle w:val="HideTWBExt"/>
      </w:rPr>
      <w:t>&lt;</w:t>
    </w:r>
    <w:proofErr w:type="spellStart"/>
    <w:r w:rsidRPr="009A0A44">
      <w:rPr>
        <w:rStyle w:val="HideTWBExt"/>
      </w:rPr>
      <w:t>NoPE</w:t>
    </w:r>
    <w:proofErr w:type="spellEnd"/>
    <w:r w:rsidRPr="009A0A44">
      <w:rPr>
        <w:rStyle w:val="HideTWBExt"/>
      </w:rPr>
      <w:t>&gt;</w:t>
    </w:r>
    <w:r w:rsidRPr="009A0A44">
      <w:t>753.526</w:t>
    </w:r>
    <w:r w:rsidRPr="009A0A44">
      <w:rPr>
        <w:rStyle w:val="HideTWBExt"/>
      </w:rPr>
      <w:t>&lt;/</w:t>
    </w:r>
    <w:proofErr w:type="spellStart"/>
    <w:r w:rsidRPr="009A0A44">
      <w:rPr>
        <w:rStyle w:val="HideTWBExt"/>
      </w:rPr>
      <w:t>NoPE</w:t>
    </w:r>
    <w:proofErr w:type="spellEnd"/>
    <w:r w:rsidRPr="009A0A44">
      <w:rPr>
        <w:rStyle w:val="HideTWBExt"/>
      </w:rPr>
      <w:t>&gt;&lt;Version&gt;</w:t>
    </w:r>
    <w:r w:rsidRPr="009A0A44">
      <w:t>v02-00</w:t>
    </w:r>
    <w:r w:rsidRPr="009A0A44">
      <w:rPr>
        <w:rStyle w:val="HideTWBExt"/>
      </w:rPr>
      <w:t>&lt;/</w:t>
    </w:r>
    <w:proofErr w:type="spellStart"/>
    <w:r w:rsidRPr="009A0A44">
      <w:rPr>
        <w:rStyle w:val="HideTWBExt"/>
      </w:rPr>
      <w:t>Version</w:t>
    </w:r>
    <w:proofErr w:type="spellEnd"/>
    <w:r w:rsidRPr="009A0A44">
      <w:rPr>
        <w:rStyle w:val="HideTWBExt"/>
      </w:rPr>
      <w:t>&gt;</w:t>
    </w:r>
    <w:r w:rsidRPr="009A0A44">
      <w:tab/>
    </w:r>
    <w:r w:rsidRPr="009A0A44">
      <w:fldChar w:fldCharType="begin"/>
    </w:r>
    <w:r w:rsidRPr="009A0A44">
      <w:instrText xml:space="preserve"> PAGE  \* MERGEFORMAT </w:instrText>
    </w:r>
    <w:r w:rsidRPr="009A0A44">
      <w:fldChar w:fldCharType="separate"/>
    </w:r>
    <w:r w:rsidRPr="009A0A44">
      <w:rPr>
        <w:noProof/>
      </w:rPr>
      <w:t>4</w:t>
    </w:r>
    <w:r w:rsidRPr="009A0A44">
      <w:fldChar w:fldCharType="end"/>
    </w:r>
    <w:r w:rsidRPr="009A0A44">
      <w:t>/</w:t>
    </w:r>
    <w:fldSimple w:instr=" NUMPAGES  \* MERGEFORMAT ">
      <w:r w:rsidRPr="009A0A44">
        <w:rPr>
          <w:noProof/>
        </w:rPr>
        <w:t>4</w:t>
      </w:r>
    </w:fldSimple>
    <w:r w:rsidRPr="009A0A44">
      <w:tab/>
    </w:r>
    <w:r w:rsidRPr="009A0A44">
      <w:rPr>
        <w:rStyle w:val="HideTWBExt"/>
      </w:rPr>
      <w:t>&lt;PathFdR&gt;</w:t>
    </w:r>
    <w:r w:rsidRPr="009A0A44">
      <w:t>RR\1298830SK.docx</w:t>
    </w:r>
    <w:r w:rsidRPr="009A0A44">
      <w:rPr>
        <w:rStyle w:val="HideTWBExt"/>
      </w:rPr>
      <w:t>&lt;/</w:t>
    </w:r>
    <w:proofErr w:type="spellStart"/>
    <w:r w:rsidRPr="009A0A44">
      <w:rPr>
        <w:rStyle w:val="HideTWBExt"/>
      </w:rPr>
      <w:t>PathFdR</w:t>
    </w:r>
    <w:proofErr w:type="spellEnd"/>
    <w:r w:rsidRPr="009A0A44">
      <w:rPr>
        <w:rStyle w:val="HideTWBExt"/>
      </w:rPr>
      <w:t>&gt;</w:t>
    </w:r>
  </w:p>
  <w:p w:rsidR="006A4C47" w:rsidRPr="009A0A44" w:rsidRDefault="006A4C47" w:rsidP="00D11A99">
    <w:pPr>
      <w:pStyle w:val="EPFooter2"/>
    </w:pPr>
    <w:r w:rsidRPr="009A0A44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C47" w:rsidRPr="009A0A44" w:rsidRDefault="006A4C47" w:rsidP="00D11A99">
    <w:pPr>
      <w:pStyle w:val="EPFooter"/>
    </w:pPr>
    <w:r w:rsidRPr="009A0A44">
      <w:rPr>
        <w:rStyle w:val="HideTWBExt"/>
      </w:rPr>
      <w:t>&lt;PathFdR&gt;</w:t>
    </w:r>
    <w:r w:rsidRPr="009A0A44">
      <w:t>RR\1298830SK.docx</w:t>
    </w:r>
    <w:r w:rsidRPr="009A0A44">
      <w:rPr>
        <w:rStyle w:val="HideTWBExt"/>
      </w:rPr>
      <w:t>&lt;/</w:t>
    </w:r>
    <w:proofErr w:type="spellStart"/>
    <w:r w:rsidRPr="009A0A44">
      <w:rPr>
        <w:rStyle w:val="HideTWBExt"/>
      </w:rPr>
      <w:t>PathFdR</w:t>
    </w:r>
    <w:proofErr w:type="spellEnd"/>
    <w:r w:rsidRPr="009A0A44">
      <w:rPr>
        <w:rStyle w:val="HideTWBExt"/>
      </w:rPr>
      <w:t>&gt;</w:t>
    </w:r>
    <w:r w:rsidRPr="009A0A44">
      <w:tab/>
    </w:r>
    <w:r w:rsidRPr="009A0A44">
      <w:tab/>
      <w:t>PE</w:t>
    </w:r>
    <w:r w:rsidRPr="009A0A44">
      <w:rPr>
        <w:rStyle w:val="HideTWBExt"/>
      </w:rPr>
      <w:t>&lt;</w:t>
    </w:r>
    <w:proofErr w:type="spellStart"/>
    <w:r w:rsidRPr="009A0A44">
      <w:rPr>
        <w:rStyle w:val="HideTWBExt"/>
      </w:rPr>
      <w:t>NoPE</w:t>
    </w:r>
    <w:proofErr w:type="spellEnd"/>
    <w:r w:rsidRPr="009A0A44">
      <w:rPr>
        <w:rStyle w:val="HideTWBExt"/>
      </w:rPr>
      <w:t>&gt;</w:t>
    </w:r>
    <w:r w:rsidRPr="009A0A44">
      <w:t>753.526</w:t>
    </w:r>
    <w:r w:rsidRPr="009A0A44">
      <w:rPr>
        <w:rStyle w:val="HideTWBExt"/>
      </w:rPr>
      <w:t>&lt;/</w:t>
    </w:r>
    <w:proofErr w:type="spellStart"/>
    <w:r w:rsidRPr="009A0A44">
      <w:rPr>
        <w:rStyle w:val="HideTWBExt"/>
      </w:rPr>
      <w:t>NoPE</w:t>
    </w:r>
    <w:proofErr w:type="spellEnd"/>
    <w:r w:rsidRPr="009A0A44">
      <w:rPr>
        <w:rStyle w:val="HideTWBExt"/>
      </w:rPr>
      <w:t>&gt;&lt;Version&gt;</w:t>
    </w:r>
    <w:r w:rsidRPr="009A0A44">
      <w:t>v02-00</w:t>
    </w:r>
    <w:r w:rsidRPr="009A0A44">
      <w:rPr>
        <w:rStyle w:val="HideTWBExt"/>
      </w:rPr>
      <w:t>&lt;/</w:t>
    </w:r>
    <w:proofErr w:type="spellStart"/>
    <w:r w:rsidRPr="009A0A44">
      <w:rPr>
        <w:rStyle w:val="HideTWBExt"/>
      </w:rPr>
      <w:t>Version</w:t>
    </w:r>
    <w:proofErr w:type="spellEnd"/>
    <w:r w:rsidRPr="009A0A44">
      <w:rPr>
        <w:rStyle w:val="HideTWBExt"/>
      </w:rPr>
      <w:t>&gt;</w:t>
    </w:r>
  </w:p>
  <w:p w:rsidR="006A4C47" w:rsidRPr="009A0A44" w:rsidRDefault="006A4C47" w:rsidP="00D11A99">
    <w:pPr>
      <w:pStyle w:val="EPFooter2"/>
    </w:pPr>
    <w:r w:rsidRPr="009A0A44">
      <w:t>SK</w:t>
    </w:r>
    <w:r w:rsidRPr="009A0A44">
      <w:tab/>
    </w:r>
    <w:r w:rsidRPr="009A0A44">
      <w:rPr>
        <w:b w:val="0"/>
        <w:i/>
        <w:color w:val="C0C0C0"/>
        <w:sz w:val="22"/>
      </w:rPr>
      <w:t>Zjednotení v rozmanitosti</w:t>
    </w:r>
    <w:r w:rsidRPr="009A0A44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4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4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6F5" w:rsidRPr="009A0A44" w:rsidRDefault="00AB16F5">
      <w:r w:rsidRPr="009A0A44">
        <w:separator/>
      </w:r>
    </w:p>
  </w:footnote>
  <w:footnote w:type="continuationSeparator" w:id="0">
    <w:p w:rsidR="00AB16F5" w:rsidRPr="009A0A44" w:rsidRDefault="00AB16F5">
      <w:r w:rsidRPr="009A0A44">
        <w:continuationSeparator/>
      </w:r>
    </w:p>
  </w:footnote>
  <w:footnote w:id="1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Pr="009A0A44">
        <w:rPr>
          <w:sz w:val="24"/>
          <w:lang w:val="sk-SK"/>
        </w:rPr>
        <w:t>Ú. v. EÚ C, C/2023/594, 27.10.2023.</w:t>
      </w:r>
    </w:p>
  </w:footnote>
  <w:footnote w:id="2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Pr="009A0A44">
        <w:rPr>
          <w:sz w:val="24"/>
          <w:lang w:val="sk-SK"/>
        </w:rPr>
        <w:t>Ú. v. EÚ C, C/2023/112, 12.10.2023.</w:t>
      </w:r>
    </w:p>
  </w:footnote>
  <w:footnote w:id="3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Pr="009A0A44">
        <w:rPr>
          <w:sz w:val="24"/>
          <w:lang w:val="sk-SK"/>
        </w:rPr>
        <w:t>Ú. v. EÚ L 193, 30.7.2018, s. 1.</w:t>
      </w:r>
    </w:p>
  </w:footnote>
  <w:footnote w:id="4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Pr="009A0A44">
        <w:rPr>
          <w:sz w:val="24"/>
          <w:lang w:val="sk-SK"/>
        </w:rPr>
        <w:t>Ú. v. ES L 208, 5.8.2002, s. 1.</w:t>
      </w:r>
    </w:p>
  </w:footnote>
  <w:footnote w:id="5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Pr="009A0A44">
        <w:rPr>
          <w:sz w:val="24"/>
          <w:lang w:val="sk-SK"/>
        </w:rPr>
        <w:t>Ú. v. EÚ L 122, 10.5.2019, s. 1.</w:t>
      </w:r>
    </w:p>
  </w:footnote>
  <w:footnote w:id="6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Pr="009A0A44">
        <w:rPr>
          <w:sz w:val="24"/>
          <w:lang w:val="sk-SK"/>
        </w:rPr>
        <w:t>Ú. v. EÚ C, C/2023/594, 27.10.2023.</w:t>
      </w:r>
    </w:p>
  </w:footnote>
  <w:footnote w:id="7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Pr="009A0A44">
        <w:rPr>
          <w:sz w:val="24"/>
          <w:lang w:val="sk-SK"/>
        </w:rPr>
        <w:t>Ú. v. EÚ C, C/2023/112, 12.10.2023.</w:t>
      </w:r>
    </w:p>
  </w:footnote>
  <w:footnote w:id="8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Pr="009A0A44">
        <w:rPr>
          <w:sz w:val="24"/>
          <w:lang w:val="sk-SK"/>
        </w:rPr>
        <w:t>Ú. v. EÚ L 193, 30.7.2018, s. 1.</w:t>
      </w:r>
    </w:p>
  </w:footnote>
  <w:footnote w:id="9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Pr="009A0A44">
        <w:rPr>
          <w:sz w:val="24"/>
          <w:lang w:val="sk-SK"/>
        </w:rPr>
        <w:t>Ú. v. ES L 208, 5.8.2002, s. 1.</w:t>
      </w:r>
    </w:p>
  </w:footnote>
  <w:footnote w:id="10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Pr="009A0A44">
        <w:rPr>
          <w:sz w:val="24"/>
          <w:lang w:val="sk-SK"/>
        </w:rPr>
        <w:t>Ú. v. EÚ L 122, 10.5.2019, s. 1.</w:t>
      </w:r>
    </w:p>
  </w:footnote>
  <w:footnote w:id="11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="00C80332">
        <w:rPr>
          <w:sz w:val="24"/>
          <w:lang w:val="sk-SK"/>
        </w:rPr>
        <w:t xml:space="preserve">Ú. v. </w:t>
      </w:r>
      <w:r w:rsidR="00C80332">
        <w:rPr>
          <w:sz w:val="24"/>
          <w:lang w:val="sk-SK"/>
        </w:rPr>
        <w:t>EÚ C 73, 28.2.2023, s. </w:t>
      </w:r>
      <w:r w:rsidR="00C80332">
        <w:rPr>
          <w:sz w:val="24"/>
          <w:lang w:val="sk-SK"/>
        </w:rPr>
        <w:t>91</w:t>
      </w:r>
      <w:bookmarkStart w:id="8" w:name="_GoBack"/>
      <w:bookmarkEnd w:id="8"/>
      <w:r w:rsidRPr="009A0A44">
        <w:rPr>
          <w:sz w:val="24"/>
          <w:lang w:val="sk-SK"/>
        </w:rPr>
        <w:t>.</w:t>
      </w:r>
    </w:p>
  </w:footnote>
  <w:footnote w:id="12">
    <w:p w:rsidR="006A4C47" w:rsidRPr="009A0A44" w:rsidRDefault="006A4C47" w:rsidP="009A0A44">
      <w:pPr>
        <w:pStyle w:val="FootnoteText"/>
        <w:ind w:left="567" w:hanging="567"/>
        <w:rPr>
          <w:sz w:val="24"/>
          <w:lang w:val="sk-SK"/>
        </w:rPr>
      </w:pPr>
      <w:r w:rsidRPr="009A0A44">
        <w:rPr>
          <w:rStyle w:val="FootnoteReference"/>
          <w:sz w:val="24"/>
          <w:lang w:val="sk-SK"/>
        </w:rPr>
        <w:footnoteRef/>
      </w:r>
      <w:r w:rsidR="009A0A44" w:rsidRPr="009A0A44">
        <w:rPr>
          <w:sz w:val="24"/>
          <w:lang w:val="sk-SK"/>
        </w:rPr>
        <w:t xml:space="preserve"> </w:t>
      </w:r>
      <w:r w:rsidR="009A0A44" w:rsidRPr="009A0A44">
        <w:rPr>
          <w:sz w:val="24"/>
          <w:lang w:val="sk-SK"/>
        </w:rPr>
        <w:tab/>
      </w:r>
      <w:r w:rsidRPr="009A0A44">
        <w:rPr>
          <w:sz w:val="24"/>
          <w:lang w:val="sk-SK"/>
        </w:rPr>
        <w:t>Prijaté texty, P9_TA(2024)0</w:t>
      </w:r>
      <w:r w:rsidR="00CA2216">
        <w:rPr>
          <w:sz w:val="24"/>
          <w:lang w:val="sk-SK"/>
        </w:rPr>
        <w:t>280</w:t>
      </w:r>
      <w:r w:rsidRPr="009A0A44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7/2024"/>
    <w:docVar w:name="dvlangue" w:val="SK"/>
    <w:docVar w:name="dvnumam" w:val="0"/>
    <w:docVar w:name="dvpe" w:val="753.526"/>
    <w:docVar w:name="dvrapporteur" w:val="Spravodajca: "/>
    <w:docVar w:name="dvtitre" w:val="1. Rozhodnutie Európskeho parlamentu z 11. apríla 2024 o absolutóriu za plnenie rozpočtu Európskej námornej bezpečnostnej agentúry za rozpočtový rok 2022(2023/2158(DEC))"/>
  </w:docVars>
  <w:rsids>
    <w:rsidRoot w:val="00AB16F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2FDA"/>
    <w:rsid w:val="001F32AE"/>
    <w:rsid w:val="002767FF"/>
    <w:rsid w:val="002B18FE"/>
    <w:rsid w:val="002B5493"/>
    <w:rsid w:val="00343214"/>
    <w:rsid w:val="00361C00"/>
    <w:rsid w:val="00395FA1"/>
    <w:rsid w:val="003A262F"/>
    <w:rsid w:val="003E15D4"/>
    <w:rsid w:val="003F1F5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C7F"/>
    <w:rsid w:val="005C2568"/>
    <w:rsid w:val="006037C0"/>
    <w:rsid w:val="006631B6"/>
    <w:rsid w:val="00680577"/>
    <w:rsid w:val="006A4C4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22E"/>
    <w:rsid w:val="009509D8"/>
    <w:rsid w:val="00950B64"/>
    <w:rsid w:val="00961298"/>
    <w:rsid w:val="00981893"/>
    <w:rsid w:val="009A0828"/>
    <w:rsid w:val="009A0A44"/>
    <w:rsid w:val="009B06CB"/>
    <w:rsid w:val="00A1687D"/>
    <w:rsid w:val="00A43E52"/>
    <w:rsid w:val="00A4678D"/>
    <w:rsid w:val="00A778C7"/>
    <w:rsid w:val="00AB16F5"/>
    <w:rsid w:val="00AB441E"/>
    <w:rsid w:val="00AB4AFF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B5C"/>
    <w:rsid w:val="00C05BFE"/>
    <w:rsid w:val="00C23CD4"/>
    <w:rsid w:val="00C61C0C"/>
    <w:rsid w:val="00C80332"/>
    <w:rsid w:val="00C941CB"/>
    <w:rsid w:val="00CA2216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0BD28"/>
  <w15:chartTrackingRefBased/>
  <w15:docId w15:val="{4360AE2B-E2A0-403E-9BBE-49C13761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A4C4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A4C47"/>
    <w:pPr>
      <w:spacing w:before="480" w:after="240"/>
    </w:pPr>
  </w:style>
  <w:style w:type="paragraph" w:customStyle="1" w:styleId="PageHeading">
    <w:name w:val="PageHeading"/>
    <w:basedOn w:val="Normal"/>
    <w:rsid w:val="006A4C4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A4C47"/>
    <w:rPr>
      <w:b/>
    </w:rPr>
  </w:style>
  <w:style w:type="paragraph" w:customStyle="1" w:styleId="NormalHanging12a">
    <w:name w:val="NormalHanging12a"/>
    <w:basedOn w:val="Normal"/>
    <w:link w:val="NormalHanging12aChar"/>
    <w:rsid w:val="006A4C4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A4C47"/>
    <w:pPr>
      <w:spacing w:after="240"/>
      <w:jc w:val="center"/>
    </w:pPr>
  </w:style>
  <w:style w:type="paragraph" w:styleId="Header">
    <w:name w:val="header"/>
    <w:basedOn w:val="Normal"/>
    <w:link w:val="HeaderChar"/>
    <w:rsid w:val="006A4C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A4C47"/>
    <w:rPr>
      <w:sz w:val="24"/>
      <w:lang w:val="sk-SK"/>
    </w:rPr>
  </w:style>
  <w:style w:type="paragraph" w:customStyle="1" w:styleId="EPFooter">
    <w:name w:val="EPFooter"/>
    <w:basedOn w:val="Normal"/>
    <w:rsid w:val="006A4C4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6A4C47"/>
    <w:rPr>
      <w:sz w:val="24"/>
      <w:lang w:val="sk-SK"/>
    </w:rPr>
  </w:style>
  <w:style w:type="paragraph" w:customStyle="1" w:styleId="Normal12Hanging">
    <w:name w:val="Normal12Hanging"/>
    <w:basedOn w:val="Normal"/>
    <w:rsid w:val="006A4C47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582C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82C7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6D820-F9C0-425F-B5C9-D627E82DF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2815</Words>
  <Characters>17160</Characters>
  <Application>Microsoft Office Word</Application>
  <DocSecurity>0</DocSecurity>
  <Lines>143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2024-05-22T12:41:00Z</dcterms:created>
  <dcterms:modified xsi:type="dcterms:W3CDTF">2024-05-22T12:41:00Z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P9_TA(2024)0248_</vt:lpwstr>
  </property>
  <property fmtid="{D5CDD505-2E9C-101B-9397-08002B2CF9AE}" pid="4" name="&lt;Type&gt;">
    <vt:lpwstr>RR</vt:lpwstr>
  </property>
</Properties>
</file>