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4CB3" w:rsidTr="0010095E">
        <w:trPr>
          <w:trHeight w:hRule="exact" w:val="1418"/>
        </w:trPr>
        <w:tc>
          <w:tcPr>
            <w:tcW w:w="6804" w:type="dxa"/>
            <w:shd w:val="clear" w:color="auto" w:fill="auto"/>
            <w:vAlign w:val="center"/>
          </w:tcPr>
          <w:p w:rsidR="00751A4A" w:rsidRPr="00544CB3" w:rsidRDefault="003E7297" w:rsidP="0010095E">
            <w:pPr>
              <w:pStyle w:val="EPName"/>
            </w:pPr>
            <w:r w:rsidRPr="00544CB3">
              <w:t>Evropski parlament</w:t>
            </w:r>
          </w:p>
          <w:p w:rsidR="00751A4A" w:rsidRPr="00F658EC" w:rsidRDefault="00817416" w:rsidP="00756632">
            <w:pPr>
              <w:pStyle w:val="EPTerm"/>
              <w:rPr>
                <w:rStyle w:val="HideTWBExt"/>
                <w:noProof w:val="0"/>
                <w:vanish w:val="0"/>
                <w:color w:val="auto"/>
              </w:rPr>
            </w:pPr>
            <w:r w:rsidRPr="00F658EC">
              <w:t>2019-2024</w:t>
            </w:r>
          </w:p>
        </w:tc>
        <w:tc>
          <w:tcPr>
            <w:tcW w:w="2268" w:type="dxa"/>
            <w:shd w:val="clear" w:color="auto" w:fill="auto"/>
          </w:tcPr>
          <w:p w:rsidR="00751A4A" w:rsidRPr="00544CB3" w:rsidRDefault="00187494" w:rsidP="0010095E">
            <w:pPr>
              <w:pStyle w:val="EPLogo"/>
            </w:pPr>
            <w:r w:rsidRPr="00544CB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44CB3" w:rsidRDefault="00D058B8" w:rsidP="004C5D52">
      <w:pPr>
        <w:pStyle w:val="LineTop"/>
      </w:pPr>
    </w:p>
    <w:p w:rsidR="00680577" w:rsidRPr="00544CB3" w:rsidRDefault="003E7297" w:rsidP="00680577">
      <w:pPr>
        <w:pStyle w:val="EPBodyTA1"/>
      </w:pPr>
      <w:r w:rsidRPr="00544CB3">
        <w:t>SPREJETA BESEDILA</w:t>
      </w:r>
    </w:p>
    <w:p w:rsidR="00D058B8" w:rsidRPr="00544CB3" w:rsidRDefault="00D058B8" w:rsidP="00D058B8">
      <w:pPr>
        <w:pStyle w:val="LineBottom"/>
      </w:pPr>
    </w:p>
    <w:p w:rsidR="003E7297" w:rsidRPr="00544CB3" w:rsidRDefault="003E7297" w:rsidP="003E7297">
      <w:pPr>
        <w:pStyle w:val="ATHeading1"/>
      </w:pPr>
      <w:bookmarkStart w:id="0" w:name="TANumber"/>
      <w:r w:rsidRPr="00544CB3">
        <w:t>P9_TA(2024)</w:t>
      </w:r>
      <w:bookmarkEnd w:id="0"/>
      <w:r w:rsidR="007C3E28">
        <w:t>0248</w:t>
      </w:r>
    </w:p>
    <w:p w:rsidR="003E7297" w:rsidRPr="00544CB3" w:rsidRDefault="003E7297" w:rsidP="003E7297">
      <w:pPr>
        <w:pStyle w:val="ATHeading2"/>
      </w:pPr>
      <w:bookmarkStart w:id="1" w:name="title"/>
      <w:r w:rsidRPr="00544CB3">
        <w:t>Razrešnica za leto 2022: Evropska agencija za pomorsko varnost</w:t>
      </w:r>
      <w:bookmarkEnd w:id="1"/>
    </w:p>
    <w:p w:rsidR="003E7297" w:rsidRPr="00544CB3" w:rsidRDefault="003E7297" w:rsidP="003E7297">
      <w:pPr>
        <w:rPr>
          <w:i/>
          <w:vanish/>
        </w:rPr>
      </w:pPr>
      <w:r w:rsidRPr="00544CB3">
        <w:rPr>
          <w:i/>
        </w:rPr>
        <w:fldChar w:fldCharType="begin"/>
      </w:r>
      <w:r w:rsidRPr="00544CB3">
        <w:rPr>
          <w:i/>
        </w:rPr>
        <w:instrText xml:space="preserve"> TC"(</w:instrText>
      </w:r>
      <w:bookmarkStart w:id="2" w:name="DocNumber"/>
      <w:r w:rsidRPr="00544CB3">
        <w:rPr>
          <w:i/>
        </w:rPr>
        <w:instrText>A9-0107/2024</w:instrText>
      </w:r>
      <w:bookmarkEnd w:id="2"/>
      <w:r w:rsidRPr="00544CB3">
        <w:rPr>
          <w:i/>
        </w:rPr>
        <w:instrText xml:space="preserve"> - Poročevalec: Petri </w:instrText>
      </w:r>
      <w:proofErr w:type="spellStart"/>
      <w:r w:rsidRPr="00544CB3">
        <w:rPr>
          <w:i/>
        </w:rPr>
        <w:instrText>Sarvamaa</w:instrText>
      </w:r>
      <w:proofErr w:type="spellEnd"/>
      <w:r w:rsidRPr="00544CB3">
        <w:rPr>
          <w:i/>
        </w:rPr>
        <w:instrText xml:space="preserve">)"\l3 \n&gt; \* MERGEFORMAT </w:instrText>
      </w:r>
      <w:r w:rsidRPr="00544CB3">
        <w:rPr>
          <w:i/>
        </w:rPr>
        <w:fldChar w:fldCharType="end"/>
      </w:r>
    </w:p>
    <w:p w:rsidR="003E7297" w:rsidRPr="00544CB3" w:rsidRDefault="003E7297" w:rsidP="003E7297">
      <w:pPr>
        <w:rPr>
          <w:vanish/>
        </w:rPr>
      </w:pPr>
      <w:bookmarkStart w:id="3" w:name="Commission"/>
      <w:r w:rsidRPr="00544CB3">
        <w:rPr>
          <w:vanish/>
        </w:rPr>
        <w:t>Odbor za proračunski nadzor</w:t>
      </w:r>
      <w:bookmarkEnd w:id="3"/>
    </w:p>
    <w:p w:rsidR="003E7297" w:rsidRPr="00544CB3" w:rsidRDefault="003E7297" w:rsidP="003E7297">
      <w:pPr>
        <w:rPr>
          <w:vanish/>
        </w:rPr>
      </w:pPr>
      <w:bookmarkStart w:id="4" w:name="PE"/>
      <w:r w:rsidRPr="00544CB3">
        <w:rPr>
          <w:vanish/>
        </w:rPr>
        <w:t>PE753.526</w:t>
      </w:r>
      <w:bookmarkEnd w:id="4"/>
    </w:p>
    <w:p w:rsidR="003E7297" w:rsidRPr="00544CB3" w:rsidRDefault="004D02D0" w:rsidP="003E7297">
      <w:pPr>
        <w:pStyle w:val="ATHeading3"/>
      </w:pPr>
      <w:bookmarkStart w:id="5" w:name="Sujet"/>
      <w:r w:rsidRPr="00544CB3">
        <w:t xml:space="preserve">1. </w:t>
      </w:r>
      <w:r w:rsidR="003E7297" w:rsidRPr="00544CB3">
        <w:t xml:space="preserve">Sklep Evropskega parlamenta z dne </w:t>
      </w:r>
      <w:r w:rsidRPr="00544CB3">
        <w:t xml:space="preserve">11. aprila </w:t>
      </w:r>
      <w:r w:rsidR="003E7297" w:rsidRPr="00544CB3">
        <w:t>2024 o razrešnici glede izvrševanja proračuna Evropske agencije za pomorsko varnost za proračunsko leto 2022</w:t>
      </w:r>
      <w:bookmarkEnd w:id="5"/>
      <w:r w:rsidR="003E7297" w:rsidRPr="00544CB3">
        <w:t xml:space="preserve"> </w:t>
      </w:r>
      <w:bookmarkStart w:id="6" w:name="References"/>
      <w:r w:rsidR="003E7297" w:rsidRPr="00544CB3">
        <w:t>(2023/2158(DEC))</w:t>
      </w:r>
      <w:bookmarkEnd w:id="6"/>
    </w:p>
    <w:p w:rsidR="00D71E25" w:rsidRPr="00544CB3" w:rsidRDefault="00D71E25" w:rsidP="00D71E25">
      <w:pPr>
        <w:pStyle w:val="EPComma"/>
      </w:pPr>
      <w:bookmarkStart w:id="7" w:name="TextBodyBegin"/>
      <w:bookmarkEnd w:id="7"/>
      <w:r w:rsidRPr="00544CB3">
        <w:rPr>
          <w:i/>
        </w:rPr>
        <w:t>Evropski parlament</w:t>
      </w:r>
      <w:r w:rsidRPr="00544CB3">
        <w:t>,</w:t>
      </w:r>
    </w:p>
    <w:p w:rsidR="00D71E25" w:rsidRPr="00544CB3" w:rsidRDefault="00D71E25" w:rsidP="00D71E25">
      <w:pPr>
        <w:pStyle w:val="NormalHanging12a"/>
      </w:pPr>
      <w:r w:rsidRPr="00544CB3">
        <w:t>–</w:t>
      </w:r>
      <w:r w:rsidRPr="00544CB3">
        <w:tab/>
        <w:t>ob upoštevanju končnega zaključnega računa Evropske agencije za pomorsko varnost za proračunsko leto 2022,</w:t>
      </w:r>
    </w:p>
    <w:p w:rsidR="00D71E25" w:rsidRPr="00544CB3" w:rsidRDefault="00D71E25" w:rsidP="00D71E25">
      <w:pPr>
        <w:pStyle w:val="NormalHanging12a"/>
      </w:pPr>
      <w:r w:rsidRPr="00544CB3">
        <w:t>–</w:t>
      </w:r>
      <w:r w:rsidRPr="00544CB3">
        <w:tab/>
        <w:t>ob upoštevanju letnega poročila Računskega sodišča o agencijah EU za proračunsko leto 2022 skupaj z odgovori agencij</w:t>
      </w:r>
      <w:r w:rsidRPr="00544CB3">
        <w:rPr>
          <w:rStyle w:val="FootnoteReference"/>
        </w:rPr>
        <w:footnoteReference w:id="1"/>
      </w:r>
      <w:r w:rsidRPr="00544CB3">
        <w:t>,</w:t>
      </w:r>
    </w:p>
    <w:p w:rsidR="00D71E25" w:rsidRPr="00544CB3" w:rsidRDefault="00D71E25" w:rsidP="00D71E25">
      <w:pPr>
        <w:pStyle w:val="NormalHanging12a"/>
      </w:pPr>
      <w:r w:rsidRPr="00544CB3">
        <w:t>–</w:t>
      </w:r>
      <w:r w:rsidRPr="00544CB3">
        <w:tab/>
        <w:t>ob upoštevanju izjave o zanesljivosti</w:t>
      </w:r>
      <w:r w:rsidRPr="00544CB3">
        <w:rPr>
          <w:rStyle w:val="FootnoteReference"/>
        </w:rPr>
        <w:footnoteReference w:id="2"/>
      </w:r>
      <w:r w:rsidRPr="00544CB3">
        <w:t xml:space="preserve"> računovodskih izkazov ter zakonitosti in pravilnosti z njimi povezanih transakcij, ki jo je za proračunsko leto 2022 v skladu s členom 287 Pogodbe o delovanju Evropske unije pripravilo Računsko sodišče,</w:t>
      </w:r>
    </w:p>
    <w:p w:rsidR="00D71E25" w:rsidRPr="00544CB3" w:rsidRDefault="00D71E25" w:rsidP="00D71E25">
      <w:pPr>
        <w:pStyle w:val="NormalHanging12a"/>
      </w:pPr>
      <w:r w:rsidRPr="00544CB3">
        <w:t>–</w:t>
      </w:r>
      <w:r w:rsidRPr="00544CB3">
        <w:tab/>
        <w:t>ob upoštevanju priporočila Sveta z dne 22. februarja 2024 o podelitvi razrešnice agenciji glede izvrševanja proračuna za proračunsko leto 2022 (</w:t>
      </w:r>
      <w:r w:rsidR="00544CB3" w:rsidRPr="00F658EC">
        <w:t>06180</w:t>
      </w:r>
      <w:r w:rsidRPr="00544CB3">
        <w:t>/2024 – C9</w:t>
      </w:r>
      <w:r w:rsidRPr="00544CB3">
        <w:noBreakHyphen/>
      </w:r>
      <w:r w:rsidR="00544CB3" w:rsidRPr="00F658EC">
        <w:t>0096</w:t>
      </w:r>
      <w:r w:rsidRPr="00544CB3">
        <w:t>/2024),</w:t>
      </w:r>
    </w:p>
    <w:p w:rsidR="00D71E25" w:rsidRPr="00544CB3" w:rsidRDefault="00D71E25" w:rsidP="00D71E25">
      <w:pPr>
        <w:pStyle w:val="NormalHanging12a"/>
      </w:pPr>
      <w:r w:rsidRPr="00544CB3">
        <w:t>–</w:t>
      </w:r>
      <w:r w:rsidRPr="00544CB3">
        <w:tab/>
        <w:t>ob upoštevanju člena 319 Pogodbe o delovanju Evropske unije,</w:t>
      </w:r>
    </w:p>
    <w:p w:rsidR="00D71E25" w:rsidRPr="00544CB3" w:rsidRDefault="00D71E25" w:rsidP="00D71E25">
      <w:pPr>
        <w:pStyle w:val="NormalHanging12a"/>
      </w:pPr>
      <w:r w:rsidRPr="00544CB3">
        <w:t>–</w:t>
      </w:r>
      <w:r w:rsidRPr="00544CB3">
        <w:tab/>
        <w:t xml:space="preserve">ob upoštevanju Uredbe (EU, </w:t>
      </w:r>
      <w:proofErr w:type="spellStart"/>
      <w:r w:rsidRPr="00544CB3">
        <w:t>Euratom</w:t>
      </w:r>
      <w:proofErr w:type="spellEnd"/>
      <w:r w:rsidRPr="00544CB3">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544CB3">
        <w:t>Euratom</w:t>
      </w:r>
      <w:proofErr w:type="spellEnd"/>
      <w:r w:rsidRPr="00544CB3">
        <w:t>) št. 966/2012</w:t>
      </w:r>
      <w:r w:rsidRPr="00544CB3">
        <w:rPr>
          <w:rStyle w:val="FootnoteReference"/>
        </w:rPr>
        <w:footnoteReference w:id="3"/>
      </w:r>
      <w:r w:rsidRPr="00544CB3">
        <w:t xml:space="preserve"> in zlasti člena 70,</w:t>
      </w:r>
    </w:p>
    <w:p w:rsidR="00D71E25" w:rsidRPr="00544CB3" w:rsidRDefault="00D71E25" w:rsidP="00D71E25">
      <w:pPr>
        <w:pStyle w:val="NormalHanging12a"/>
      </w:pPr>
      <w:r w:rsidRPr="00544CB3">
        <w:t>–</w:t>
      </w:r>
      <w:r w:rsidRPr="00544CB3">
        <w:tab/>
        <w:t xml:space="preserve">ob upoštevanju Uredbe (ES) št. 1406/2002 Evropskega parlamenta in Sveta z dne 27. </w:t>
      </w:r>
      <w:r w:rsidRPr="00544CB3">
        <w:lastRenderedPageBreak/>
        <w:t>junija 2002 o ustanovitvi Evropske agencije za pomorsko varnost</w:t>
      </w:r>
      <w:r w:rsidRPr="00544CB3">
        <w:rPr>
          <w:rStyle w:val="FootnoteReference"/>
        </w:rPr>
        <w:footnoteReference w:id="4"/>
      </w:r>
      <w:r w:rsidRPr="00544CB3">
        <w:t xml:space="preserve"> in zlasti člena 19,</w:t>
      </w:r>
    </w:p>
    <w:p w:rsidR="00D71E25" w:rsidRPr="00544CB3" w:rsidRDefault="00D71E25" w:rsidP="00D71E25">
      <w:pPr>
        <w:pStyle w:val="NormalHanging12a"/>
      </w:pPr>
      <w:r w:rsidRPr="00544CB3">
        <w:t>–</w:t>
      </w:r>
      <w:r w:rsidRPr="00544CB3">
        <w:tab/>
        <w:t xml:space="preserve">ob upoštevanju Delegirane uredbe Komisije (EU) 2019/715 z dne 18. decembra 2018 o okvirni finančni uredbi za organe, ustanovljene na podlagi PDEU in Pogodbe </w:t>
      </w:r>
      <w:proofErr w:type="spellStart"/>
      <w:r w:rsidRPr="00544CB3">
        <w:t>Euratom</w:t>
      </w:r>
      <w:proofErr w:type="spellEnd"/>
      <w:r w:rsidRPr="00544CB3">
        <w:t xml:space="preserve">, iz člena 70 Uredbe (EU, </w:t>
      </w:r>
      <w:proofErr w:type="spellStart"/>
      <w:r w:rsidRPr="00544CB3">
        <w:t>Euratom</w:t>
      </w:r>
      <w:proofErr w:type="spellEnd"/>
      <w:r w:rsidRPr="00544CB3">
        <w:t>) 2018/1046 Evropskega parlamenta in Sveta</w:t>
      </w:r>
      <w:r w:rsidRPr="00544CB3">
        <w:rPr>
          <w:rStyle w:val="FootnoteReference"/>
        </w:rPr>
        <w:footnoteReference w:id="5"/>
      </w:r>
      <w:r w:rsidRPr="00544CB3">
        <w:t xml:space="preserve"> in zlasti člena 105,</w:t>
      </w:r>
    </w:p>
    <w:p w:rsidR="00D71E25" w:rsidRPr="00544CB3" w:rsidRDefault="00D71E25" w:rsidP="00D71E25">
      <w:pPr>
        <w:pStyle w:val="NormalHanging12a"/>
      </w:pPr>
      <w:r w:rsidRPr="00544CB3">
        <w:t>–</w:t>
      </w:r>
      <w:r w:rsidRPr="00544CB3">
        <w:tab/>
        <w:t>ob upoštevanju člena 100 in Priloge V Poslovnika,</w:t>
      </w:r>
    </w:p>
    <w:p w:rsidR="00D71E25" w:rsidRPr="00544CB3" w:rsidRDefault="00D71E25" w:rsidP="00D71E25">
      <w:pPr>
        <w:pStyle w:val="NormalHanging12a"/>
      </w:pPr>
      <w:r w:rsidRPr="00544CB3">
        <w:t>–</w:t>
      </w:r>
      <w:r w:rsidRPr="00544CB3">
        <w:tab/>
        <w:t>ob upoštevanju mnenja Odbora za promet in turizem,</w:t>
      </w:r>
    </w:p>
    <w:p w:rsidR="00D71E25" w:rsidRPr="00544CB3" w:rsidRDefault="00D71E25" w:rsidP="00D71E25">
      <w:pPr>
        <w:pStyle w:val="NormalHanging12a"/>
      </w:pPr>
      <w:r w:rsidRPr="00544CB3">
        <w:t>–</w:t>
      </w:r>
      <w:r w:rsidRPr="00544CB3">
        <w:tab/>
        <w:t>ob upoštevanju poročila Odbora za proračunski nadzor (A9</w:t>
      </w:r>
      <w:r w:rsidRPr="00544CB3">
        <w:noBreakHyphen/>
        <w:t>0107/2024),</w:t>
      </w:r>
    </w:p>
    <w:p w:rsidR="00D71E25" w:rsidRPr="00544CB3" w:rsidRDefault="00D71E25" w:rsidP="00D71E25">
      <w:pPr>
        <w:pStyle w:val="NormalHanging12a"/>
      </w:pPr>
      <w:r w:rsidRPr="00544CB3">
        <w:t>1.</w:t>
      </w:r>
      <w:r w:rsidRPr="00544CB3">
        <w:tab/>
        <w:t>podeli razrešnico izvršni direktorici Evropske agencije za pomorsko varnost glede izvrševanja proračuna agencije za proračunsko leto 2022;</w:t>
      </w:r>
    </w:p>
    <w:p w:rsidR="00D71E25" w:rsidRPr="00544CB3" w:rsidRDefault="00D71E25" w:rsidP="00D71E25">
      <w:pPr>
        <w:pStyle w:val="NormalHanging12a"/>
      </w:pPr>
      <w:r w:rsidRPr="00544CB3">
        <w:t>2.</w:t>
      </w:r>
      <w:r w:rsidRPr="00544CB3">
        <w:tab/>
        <w:t>navaja svoje pripombe v spodnji resoluciji;</w:t>
      </w:r>
    </w:p>
    <w:p w:rsidR="00D71E25" w:rsidRPr="00544CB3" w:rsidRDefault="00D71E25" w:rsidP="00D71E25">
      <w:pPr>
        <w:pStyle w:val="NormalHanging12a"/>
      </w:pPr>
      <w:r w:rsidRPr="00544CB3">
        <w:t>3.</w:t>
      </w:r>
      <w:r w:rsidRPr="00544CB3">
        <w:tab/>
        <w:t xml:space="preserve">naroči svoji predsednici, naj ta sklep in resolucijo, ki je del sklepa, posreduje izvršni direktorici Evropske agencije za pomorsko varnost, Svetu, Komisiji in Računskemu sodišču in poskrbi za objavo v </w:t>
      </w:r>
      <w:r w:rsidRPr="00544CB3">
        <w:rPr>
          <w:i/>
        </w:rPr>
        <w:t>Uradnem listu Evropske unije</w:t>
      </w:r>
      <w:r w:rsidRPr="00544CB3">
        <w:t xml:space="preserve"> (serija L).</w:t>
      </w:r>
    </w:p>
    <w:p w:rsidR="00D71E25" w:rsidRPr="00544CB3" w:rsidRDefault="00D71E25" w:rsidP="00D71E25"/>
    <w:p w:rsidR="00D71E25" w:rsidRPr="00544CB3" w:rsidRDefault="00D71E25" w:rsidP="00D71E25">
      <w:pPr>
        <w:pStyle w:val="PageHeading"/>
        <w:sectPr w:rsidR="00D71E25" w:rsidRPr="00544CB3" w:rsidSect="00593A4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D71E25" w:rsidRPr="00544CB3" w:rsidRDefault="00D71E25" w:rsidP="004D02D0">
      <w:pPr>
        <w:pStyle w:val="ATHeading3"/>
      </w:pPr>
      <w:bookmarkStart w:id="8" w:name="_Toc161919271"/>
      <w:r w:rsidRPr="00544CB3">
        <w:lastRenderedPageBreak/>
        <w:t xml:space="preserve">2. </w:t>
      </w:r>
      <w:bookmarkEnd w:id="8"/>
      <w:r w:rsidR="004D02D0" w:rsidRPr="00544CB3">
        <w:t xml:space="preserve">Sklep Evropskega parlamenta z dne 11. aprila 2024 </w:t>
      </w:r>
      <w:r w:rsidRPr="00544CB3">
        <w:t>o zaključnem računu Evropske agencije za pomorsko varnost za proračunsko leto 2022</w:t>
      </w:r>
      <w:r w:rsidR="004D02D0" w:rsidRPr="00544CB3">
        <w:t xml:space="preserve"> (2023</w:t>
      </w:r>
      <w:r w:rsidRPr="00544CB3">
        <w:t>/2158(DEC))</w:t>
      </w:r>
    </w:p>
    <w:p w:rsidR="00D71E25" w:rsidRPr="00544CB3" w:rsidRDefault="00D71E25" w:rsidP="00D71E25">
      <w:pPr>
        <w:pStyle w:val="EPComma"/>
      </w:pPr>
      <w:r w:rsidRPr="00544CB3">
        <w:rPr>
          <w:i/>
        </w:rPr>
        <w:t>Evropski parlament</w:t>
      </w:r>
      <w:r w:rsidRPr="00544CB3">
        <w:t>,</w:t>
      </w:r>
    </w:p>
    <w:p w:rsidR="00D71E25" w:rsidRPr="00544CB3" w:rsidRDefault="00D71E25" w:rsidP="00D71E25">
      <w:pPr>
        <w:pStyle w:val="NormalHanging12a"/>
      </w:pPr>
      <w:r w:rsidRPr="00544CB3">
        <w:t>–</w:t>
      </w:r>
      <w:r w:rsidRPr="00544CB3">
        <w:tab/>
        <w:t>ob upoštevanju končnega zaključnega računa Evropske agencije za pomorsko varnost za proračunsko leto 2022,</w:t>
      </w:r>
    </w:p>
    <w:p w:rsidR="00D71E25" w:rsidRPr="00544CB3" w:rsidRDefault="00D71E25" w:rsidP="00D71E25">
      <w:pPr>
        <w:pStyle w:val="NormalHanging12a"/>
      </w:pPr>
      <w:r w:rsidRPr="00544CB3">
        <w:t>–</w:t>
      </w:r>
      <w:r w:rsidRPr="00544CB3">
        <w:tab/>
        <w:t>ob upoštevanju letnega poročila Računskega sodišča o agencijah EU za proračunsko leto 2022 skupaj z odgovori agencij</w:t>
      </w:r>
      <w:r w:rsidRPr="00544CB3">
        <w:rPr>
          <w:rStyle w:val="FootnoteReference"/>
        </w:rPr>
        <w:footnoteReference w:id="6"/>
      </w:r>
      <w:r w:rsidRPr="00544CB3">
        <w:t>,</w:t>
      </w:r>
    </w:p>
    <w:p w:rsidR="00D71E25" w:rsidRPr="00544CB3" w:rsidRDefault="00D71E25" w:rsidP="00D71E25">
      <w:pPr>
        <w:pStyle w:val="NormalHanging12a"/>
      </w:pPr>
      <w:r w:rsidRPr="00544CB3">
        <w:t>–</w:t>
      </w:r>
      <w:r w:rsidRPr="00544CB3">
        <w:tab/>
        <w:t>ob upoštevanju izjave o zanesljivosti</w:t>
      </w:r>
      <w:r w:rsidRPr="00544CB3">
        <w:rPr>
          <w:rStyle w:val="FootnoteReference"/>
        </w:rPr>
        <w:footnoteReference w:id="7"/>
      </w:r>
      <w:r w:rsidRPr="00544CB3">
        <w:t xml:space="preserve"> računovodskih izkazov ter zakonitosti in pravilnosti z njimi povezanih transakcij, ki jo je za proračunsko leto 2022 v skladu s členom 287 Pogodbe o delovanju Evropske unije pripravilo Računsko sodišče,</w:t>
      </w:r>
    </w:p>
    <w:p w:rsidR="00D71E25" w:rsidRPr="00544CB3" w:rsidRDefault="00D71E25" w:rsidP="00D71E25">
      <w:pPr>
        <w:pStyle w:val="NormalHanging12a"/>
      </w:pPr>
      <w:r w:rsidRPr="00544CB3">
        <w:t>–</w:t>
      </w:r>
      <w:r w:rsidRPr="00544CB3">
        <w:tab/>
        <w:t>ob upoštevanju priporočila Sveta z dne 22. februarja 2024 o podelitvi razrešnice agenciji glede izvrševanja proračuna za proračunsko leto 2022 (</w:t>
      </w:r>
      <w:r w:rsidR="00544CB3" w:rsidRPr="00F658EC">
        <w:t>06180</w:t>
      </w:r>
      <w:r w:rsidRPr="00544CB3">
        <w:t>/2024 – C9</w:t>
      </w:r>
      <w:r w:rsidRPr="00544CB3">
        <w:noBreakHyphen/>
      </w:r>
      <w:r w:rsidR="00544CB3" w:rsidRPr="00F658EC">
        <w:t>0096</w:t>
      </w:r>
      <w:r w:rsidRPr="00544CB3">
        <w:t>/2024),</w:t>
      </w:r>
    </w:p>
    <w:p w:rsidR="00D71E25" w:rsidRPr="00544CB3" w:rsidRDefault="00D71E25" w:rsidP="00D71E25">
      <w:pPr>
        <w:pStyle w:val="NormalHanging12a"/>
      </w:pPr>
      <w:r w:rsidRPr="00544CB3">
        <w:t>–</w:t>
      </w:r>
      <w:r w:rsidRPr="00544CB3">
        <w:tab/>
        <w:t>ob upoštevanju člena 319 Pogodbe o delovanju Evropske unije,</w:t>
      </w:r>
    </w:p>
    <w:p w:rsidR="00D71E25" w:rsidRPr="00544CB3" w:rsidRDefault="00D71E25" w:rsidP="00D71E25">
      <w:pPr>
        <w:pStyle w:val="NormalHanging12a"/>
      </w:pPr>
      <w:r w:rsidRPr="00544CB3">
        <w:t>–</w:t>
      </w:r>
      <w:r w:rsidRPr="00544CB3">
        <w:tab/>
        <w:t xml:space="preserve">ob upoštevanju Uredbe (EU, </w:t>
      </w:r>
      <w:proofErr w:type="spellStart"/>
      <w:r w:rsidRPr="00544CB3">
        <w:t>Euratom</w:t>
      </w:r>
      <w:proofErr w:type="spellEnd"/>
      <w:r w:rsidRPr="00544CB3">
        <w:t xml:space="preserve">)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w:t>
      </w:r>
      <w:proofErr w:type="spellStart"/>
      <w:r w:rsidRPr="00544CB3">
        <w:t>Euratom</w:t>
      </w:r>
      <w:proofErr w:type="spellEnd"/>
      <w:r w:rsidRPr="00544CB3">
        <w:t>) št. 966/2012</w:t>
      </w:r>
      <w:r w:rsidRPr="00544CB3">
        <w:rPr>
          <w:rStyle w:val="FootnoteReference"/>
        </w:rPr>
        <w:footnoteReference w:id="8"/>
      </w:r>
      <w:r w:rsidRPr="00544CB3">
        <w:t xml:space="preserve"> in zlasti člena 70,</w:t>
      </w:r>
    </w:p>
    <w:p w:rsidR="00D71E25" w:rsidRPr="00544CB3" w:rsidRDefault="00D71E25" w:rsidP="00D71E25">
      <w:pPr>
        <w:pStyle w:val="NormalHanging12a"/>
      </w:pPr>
      <w:r w:rsidRPr="00544CB3">
        <w:t>–</w:t>
      </w:r>
      <w:r w:rsidRPr="00544CB3">
        <w:tab/>
        <w:t>ob upoštevanju Uredbe (ES) št. 1406/2002 Evropskega parlamenta in Sveta z dne 27. junija 2002 o ustanovitvi Evropske agencije za pomorsko varnost</w:t>
      </w:r>
      <w:r w:rsidRPr="00544CB3">
        <w:rPr>
          <w:rStyle w:val="FootnoteReference"/>
        </w:rPr>
        <w:footnoteReference w:id="9"/>
      </w:r>
      <w:r w:rsidRPr="00544CB3">
        <w:t xml:space="preserve"> in zlasti člena 19,</w:t>
      </w:r>
    </w:p>
    <w:p w:rsidR="00D71E25" w:rsidRPr="00544CB3" w:rsidRDefault="00D71E25" w:rsidP="00D71E25">
      <w:pPr>
        <w:pStyle w:val="NormalHanging12a"/>
      </w:pPr>
      <w:r w:rsidRPr="00544CB3">
        <w:t>–</w:t>
      </w:r>
      <w:r w:rsidRPr="00544CB3">
        <w:tab/>
        <w:t xml:space="preserve">ob upoštevanju Delegirane uredbe Komisije (EU) 2019/715 z dne 18. decembra 2018 o okvirni finančni uredbi za organe, ustanovljene na podlagi PDEU in Pogodbe </w:t>
      </w:r>
      <w:proofErr w:type="spellStart"/>
      <w:r w:rsidRPr="00544CB3">
        <w:t>Euratom</w:t>
      </w:r>
      <w:proofErr w:type="spellEnd"/>
      <w:r w:rsidRPr="00544CB3">
        <w:t xml:space="preserve">, iz člena 70 Uredbe (EU, </w:t>
      </w:r>
      <w:proofErr w:type="spellStart"/>
      <w:r w:rsidRPr="00544CB3">
        <w:t>Euratom</w:t>
      </w:r>
      <w:proofErr w:type="spellEnd"/>
      <w:r w:rsidRPr="00544CB3">
        <w:t>) 2018/1046 Evropskega parlamenta in Sveta</w:t>
      </w:r>
      <w:r w:rsidRPr="00544CB3">
        <w:rPr>
          <w:rStyle w:val="FootnoteReference"/>
        </w:rPr>
        <w:footnoteReference w:id="10"/>
      </w:r>
      <w:r w:rsidRPr="00544CB3">
        <w:t xml:space="preserve"> in zlasti člena 105,</w:t>
      </w:r>
    </w:p>
    <w:p w:rsidR="00D71E25" w:rsidRPr="00544CB3" w:rsidRDefault="00D71E25" w:rsidP="00D71E25">
      <w:pPr>
        <w:pStyle w:val="NormalHanging12a"/>
      </w:pPr>
      <w:r w:rsidRPr="00544CB3">
        <w:t>–</w:t>
      </w:r>
      <w:r w:rsidRPr="00544CB3">
        <w:tab/>
        <w:t>ob upoštevanju člena 100 in Priloge V Poslovnika,</w:t>
      </w:r>
    </w:p>
    <w:p w:rsidR="00D71E25" w:rsidRPr="00544CB3" w:rsidRDefault="00D71E25" w:rsidP="00D71E25">
      <w:pPr>
        <w:pStyle w:val="NormalHanging12a"/>
      </w:pPr>
      <w:r w:rsidRPr="00544CB3">
        <w:t>–</w:t>
      </w:r>
      <w:r w:rsidRPr="00544CB3">
        <w:tab/>
        <w:t>ob upoštevanju mnenja Odbora za promet in turizem,</w:t>
      </w:r>
    </w:p>
    <w:p w:rsidR="00D71E25" w:rsidRPr="00544CB3" w:rsidRDefault="00D71E25" w:rsidP="00D71E25">
      <w:pPr>
        <w:pStyle w:val="NormalHanging12a"/>
      </w:pPr>
      <w:r w:rsidRPr="00544CB3">
        <w:t>–</w:t>
      </w:r>
      <w:r w:rsidRPr="00544CB3">
        <w:tab/>
        <w:t>ob upoštevanju poročila Odbora za proračunski nadzor (A9</w:t>
      </w:r>
      <w:r w:rsidRPr="00544CB3">
        <w:noBreakHyphen/>
        <w:t>0107/2024),</w:t>
      </w:r>
    </w:p>
    <w:p w:rsidR="00D71E25" w:rsidRPr="00544CB3" w:rsidRDefault="00D71E25" w:rsidP="00D71E25">
      <w:pPr>
        <w:pStyle w:val="NormalHanging12a"/>
      </w:pPr>
      <w:r w:rsidRPr="00544CB3">
        <w:t>1.</w:t>
      </w:r>
      <w:r w:rsidRPr="00544CB3">
        <w:tab/>
        <w:t>odobri zaključni račun Evropske agencije za pomorsko varnost za proračunsko leto 2022;</w:t>
      </w:r>
    </w:p>
    <w:p w:rsidR="00D71E25" w:rsidRPr="00544CB3" w:rsidRDefault="00D71E25" w:rsidP="00D71E25">
      <w:pPr>
        <w:pStyle w:val="NormalHanging12a"/>
      </w:pPr>
      <w:r w:rsidRPr="00544CB3">
        <w:t>2.</w:t>
      </w:r>
      <w:r w:rsidRPr="00544CB3">
        <w:tab/>
        <w:t xml:space="preserve">naroči svoji predsednici, naj ta sklep posreduje izvršni direktorici Evropske agencije za pomorsko varnost, Svetu, Komisiji in Računskemu sodišču in poskrbi za objavo v </w:t>
      </w:r>
      <w:r w:rsidRPr="00544CB3">
        <w:rPr>
          <w:i/>
        </w:rPr>
        <w:lastRenderedPageBreak/>
        <w:t>Uradnem listu Evropske unije</w:t>
      </w:r>
      <w:r w:rsidRPr="00544CB3">
        <w:t xml:space="preserve"> (serija L).</w:t>
      </w:r>
    </w:p>
    <w:p w:rsidR="00D71E25" w:rsidRPr="00544CB3" w:rsidRDefault="00D71E25" w:rsidP="00D71E25"/>
    <w:p w:rsidR="00D71E25" w:rsidRPr="00544CB3" w:rsidRDefault="00D71E25" w:rsidP="00D71E25">
      <w:pPr>
        <w:pStyle w:val="PageHeading"/>
        <w:sectPr w:rsidR="00D71E25" w:rsidRPr="00544CB3" w:rsidSect="00593A4A">
          <w:footnotePr>
            <w:numRestart w:val="eachPage"/>
          </w:footnotePr>
          <w:endnotePr>
            <w:numFmt w:val="decimal"/>
          </w:endnotePr>
          <w:pgSz w:w="11906" w:h="16838" w:code="9"/>
          <w:pgMar w:top="1134" w:right="1418" w:bottom="1418" w:left="1418" w:header="567" w:footer="567" w:gutter="0"/>
          <w:cols w:space="720"/>
          <w:noEndnote/>
          <w:docGrid w:linePitch="326"/>
        </w:sectPr>
      </w:pPr>
    </w:p>
    <w:p w:rsidR="00D71E25" w:rsidRPr="00544CB3" w:rsidRDefault="00D71E25" w:rsidP="004D02D0">
      <w:pPr>
        <w:pStyle w:val="ATHeading3"/>
      </w:pPr>
      <w:bookmarkStart w:id="9" w:name="_Toc161919272"/>
      <w:r w:rsidRPr="00544CB3">
        <w:lastRenderedPageBreak/>
        <w:t xml:space="preserve">3. </w:t>
      </w:r>
      <w:bookmarkEnd w:id="9"/>
      <w:r w:rsidR="004D02D0" w:rsidRPr="00544CB3">
        <w:t xml:space="preserve">Resolucija Evropskega parlamenta z dne 11. aprila 2024 </w:t>
      </w:r>
      <w:r w:rsidRPr="00544CB3">
        <w:t>s pripombami, ki so del sklepa o razrešnici glede izvrševanja proračuna Evropske agencije za pomorsko varnost za proračunsko leto 2022</w:t>
      </w:r>
      <w:r w:rsidR="004D02D0" w:rsidRPr="00544CB3">
        <w:t xml:space="preserve"> (2023</w:t>
      </w:r>
      <w:r w:rsidRPr="00544CB3">
        <w:t>/2158(DEC))</w:t>
      </w:r>
    </w:p>
    <w:p w:rsidR="00D71E25" w:rsidRPr="00544CB3" w:rsidRDefault="00D71E25" w:rsidP="00D71E25">
      <w:pPr>
        <w:pStyle w:val="EPComma"/>
      </w:pPr>
      <w:r w:rsidRPr="00544CB3">
        <w:rPr>
          <w:i/>
        </w:rPr>
        <w:t>Evropski parlament</w:t>
      </w:r>
      <w:r w:rsidRPr="00544CB3">
        <w:t>,</w:t>
      </w:r>
    </w:p>
    <w:p w:rsidR="00D71E25" w:rsidRPr="00544CB3" w:rsidRDefault="00D71E25" w:rsidP="00D71E25">
      <w:pPr>
        <w:pStyle w:val="NormalHanging12a"/>
      </w:pPr>
      <w:r w:rsidRPr="00544CB3">
        <w:t>–</w:t>
      </w:r>
      <w:r w:rsidRPr="00544CB3">
        <w:tab/>
        <w:t>ob upoštevanju sklepa o razrešnici glede izvrševanja proračuna Evropske agencije za pomorsko varnost za proračunsko leto 2022,</w:t>
      </w:r>
    </w:p>
    <w:p w:rsidR="00D71E25" w:rsidRPr="00544CB3" w:rsidRDefault="00D71E25" w:rsidP="00D71E25">
      <w:pPr>
        <w:pStyle w:val="NormalHanging12a"/>
      </w:pPr>
      <w:r w:rsidRPr="00544CB3">
        <w:t>–</w:t>
      </w:r>
      <w:r w:rsidRPr="00544CB3">
        <w:tab/>
        <w:t>ob upoštevanju člena 100 in Priloge V Poslovnika,</w:t>
      </w:r>
    </w:p>
    <w:p w:rsidR="00D71E25" w:rsidRPr="00544CB3" w:rsidRDefault="00D71E25" w:rsidP="00D71E25">
      <w:pPr>
        <w:pStyle w:val="NormalHanging12a"/>
      </w:pPr>
      <w:r w:rsidRPr="00544CB3">
        <w:t>–</w:t>
      </w:r>
      <w:r w:rsidRPr="00544CB3">
        <w:tab/>
        <w:t>ob upoštevanju mnenja Odbora za promet in turizem,</w:t>
      </w:r>
    </w:p>
    <w:p w:rsidR="00D71E25" w:rsidRPr="00544CB3" w:rsidRDefault="00D71E25" w:rsidP="00D71E25">
      <w:pPr>
        <w:pStyle w:val="NormalHanging12a"/>
      </w:pPr>
      <w:r w:rsidRPr="00544CB3">
        <w:t>–</w:t>
      </w:r>
      <w:r w:rsidRPr="00544CB3">
        <w:tab/>
        <w:t>ob upoštevanju poročila Odbora za proračunski nadzor (A9</w:t>
      </w:r>
      <w:r w:rsidRPr="00544CB3">
        <w:noBreakHyphen/>
        <w:t>0107/2024),</w:t>
      </w:r>
    </w:p>
    <w:p w:rsidR="00D71E25" w:rsidRPr="00544CB3" w:rsidRDefault="00D71E25" w:rsidP="00D71E25">
      <w:pPr>
        <w:spacing w:after="240"/>
        <w:ind w:left="567" w:hanging="567"/>
        <w:rPr>
          <w:szCs w:val="24"/>
        </w:rPr>
      </w:pPr>
      <w:r w:rsidRPr="00544CB3">
        <w:t>A.</w:t>
      </w:r>
      <w:r w:rsidRPr="00544CB3">
        <w:tab/>
        <w:t>ker poročilo o prihodkih in odhodkih</w:t>
      </w:r>
      <w:r w:rsidRPr="00544CB3">
        <w:rPr>
          <w:rStyle w:val="FootnoteReference"/>
          <w:szCs w:val="24"/>
        </w:rPr>
        <w:footnoteReference w:id="11"/>
      </w:r>
      <w:r w:rsidRPr="00544CB3">
        <w:t xml:space="preserve"> Evropske agencije za pomorsko varnost (v nadaljnjem besedilu: agencija) kaže, da je njen končni proračun v proračunskem letu 2022 znašal 115.807.269,88 EUR, kar je 9,48 % več kot leta 2021; ker proračun agencije izvira iz proračuna Unije in prihodkov iz poslovanja;</w:t>
      </w:r>
    </w:p>
    <w:p w:rsidR="00D71E25" w:rsidRPr="00544CB3" w:rsidRDefault="00D71E25" w:rsidP="00D71E25">
      <w:pPr>
        <w:spacing w:after="240"/>
        <w:ind w:left="567" w:hanging="567"/>
        <w:rPr>
          <w:szCs w:val="24"/>
        </w:rPr>
      </w:pPr>
      <w:r w:rsidRPr="00544CB3">
        <w:t>B.</w:t>
      </w:r>
      <w:r w:rsidRPr="00544CB3">
        <w:tab/>
        <w:t>ker Računsko sodišče v poročilu o zaključnem računu agencije za proračunsko leto 2022 (v nadaljnjem besedilu: poročilo Računskega sodišča) navaja, da je prejelo razumno zagotovilo o zanesljivosti računovodskih izkazov agencije ter o zakonitosti in pravilnosti z njimi povezanih transakcij;</w:t>
      </w:r>
    </w:p>
    <w:p w:rsidR="00D71E25" w:rsidRPr="00544CB3" w:rsidRDefault="00D71E25" w:rsidP="00D71E25">
      <w:pPr>
        <w:spacing w:after="240"/>
        <w:ind w:left="567" w:hanging="567"/>
        <w:rPr>
          <w:szCs w:val="24"/>
        </w:rPr>
      </w:pPr>
      <w:r w:rsidRPr="00544CB3">
        <w:t>C.</w:t>
      </w:r>
      <w:r w:rsidRPr="00544CB3">
        <w:tab/>
        <w:t>ker v zvezi z javnimi naročili agencije za leto 2022 niso bile sporočene nobene težave, zaradi katerih bi bili potrebni popravni ukrepi, in ker ni tekočih ali zapadlih popravnih ukrepov iz revizij in ocen iz prejšnjih let;</w:t>
      </w:r>
    </w:p>
    <w:p w:rsidR="00D71E25" w:rsidRPr="00544CB3" w:rsidRDefault="00D71E25" w:rsidP="00D71E25">
      <w:pPr>
        <w:widowControl/>
        <w:spacing w:after="240"/>
        <w:ind w:left="567" w:hanging="567"/>
        <w:rPr>
          <w:szCs w:val="24"/>
        </w:rPr>
      </w:pPr>
      <w:r w:rsidRPr="00544CB3">
        <w:t>D.</w:t>
      </w:r>
      <w:r w:rsidRPr="00544CB3">
        <w:tab/>
        <w:t>ker v zvezi s sistemi notranje kontrole agencije za leto 2022 niso bile sporočene nobene težave, zaradi katerih bi bili potrebni popravni ukrepi, in ker ni tekočih ali zapadlih popravnih ukrepov iz revizij in ocen iz prejšnjih let;</w:t>
      </w:r>
    </w:p>
    <w:p w:rsidR="00D71E25" w:rsidRPr="00544CB3" w:rsidRDefault="00D71E25" w:rsidP="00D71E25">
      <w:pPr>
        <w:spacing w:after="240"/>
        <w:ind w:left="567" w:hanging="567"/>
        <w:rPr>
          <w:b/>
          <w:i/>
          <w:szCs w:val="24"/>
        </w:rPr>
      </w:pPr>
      <w:r w:rsidRPr="00544CB3">
        <w:rPr>
          <w:b/>
          <w:i/>
        </w:rPr>
        <w:t xml:space="preserve">Proračunsko upravljanje in finančno </w:t>
      </w:r>
      <w:proofErr w:type="spellStart"/>
      <w:r w:rsidRPr="00544CB3">
        <w:rPr>
          <w:b/>
          <w:i/>
        </w:rPr>
        <w:t>poslovodenje</w:t>
      </w:r>
      <w:proofErr w:type="spellEnd"/>
    </w:p>
    <w:p w:rsidR="00D71E25" w:rsidRPr="00544CB3" w:rsidRDefault="00D71E25" w:rsidP="00D71E25">
      <w:pPr>
        <w:spacing w:after="240"/>
        <w:ind w:left="567" w:hanging="567"/>
        <w:rPr>
          <w:szCs w:val="24"/>
        </w:rPr>
      </w:pPr>
      <w:r w:rsidRPr="00544CB3">
        <w:t>1.</w:t>
      </w:r>
      <w:r w:rsidRPr="00544CB3">
        <w:tab/>
        <w:t>z zadovoljstvom ugotavlja, da je zaradi proračunskega spremljanja v proračunskem letu 2022 stopnja izvrševanja sredstev za prevzem obveznosti v tekočem letu dosegla 99,80 %, kar je nekoliko več (0,14 %) kot v letu 2021, in da je stopnja izvrševanja plačil znašala 98,42 % oziroma 1,10 % več kot leto poprej;</w:t>
      </w:r>
    </w:p>
    <w:p w:rsidR="00D71E25" w:rsidRPr="00544CB3" w:rsidRDefault="00D71E25" w:rsidP="00D71E25">
      <w:pPr>
        <w:spacing w:after="240"/>
        <w:ind w:left="567" w:hanging="567"/>
        <w:rPr>
          <w:b/>
          <w:i/>
          <w:szCs w:val="24"/>
        </w:rPr>
      </w:pPr>
      <w:r w:rsidRPr="00544CB3">
        <w:rPr>
          <w:b/>
          <w:i/>
        </w:rPr>
        <w:t>Uspešnost</w:t>
      </w:r>
    </w:p>
    <w:p w:rsidR="00D71E25" w:rsidRPr="00544CB3" w:rsidRDefault="00D71E25" w:rsidP="00D71E25">
      <w:pPr>
        <w:spacing w:after="240"/>
        <w:ind w:left="567" w:hanging="567"/>
        <w:rPr>
          <w:szCs w:val="24"/>
        </w:rPr>
      </w:pPr>
      <w:r w:rsidRPr="00544CB3">
        <w:t>2.</w:t>
      </w:r>
      <w:r w:rsidRPr="00544CB3">
        <w:tab/>
        <w:t>pozdravlja, da agencija uporablja ključne kazalnike uspešnosti za oceno izvajanja svojega letnega delovnega programa na ključnih področjih, h katerim prispeva, in svojih horizontalnih dejavnosti (</w:t>
      </w:r>
      <w:proofErr w:type="spellStart"/>
      <w:r w:rsidRPr="00544CB3">
        <w:t>trajnostnost</w:t>
      </w:r>
      <w:proofErr w:type="spellEnd"/>
      <w:r w:rsidRPr="00544CB3">
        <w:t xml:space="preserve">, nadzor, varnost in zaščita, poenostavitev, digitalizacija, tehnična pomoč, krepitev zmogljivosti in strateška podpora); izraža pohvalo, da so bili cilji na splošno doseženi, pri čemer zaostaja le malo ciljev, večinoma iz utemeljenih razlogov; ugotavlja tudi, da je agencija dosegla svoje cilje za leto 2022 v </w:t>
      </w:r>
      <w:r w:rsidRPr="00544CB3">
        <w:lastRenderedPageBreak/>
        <w:t>skladu z letnim delovnim programom in večletnim strateškim okvirom;</w:t>
      </w:r>
    </w:p>
    <w:p w:rsidR="00D71E25" w:rsidRPr="00544CB3" w:rsidRDefault="00D71E25" w:rsidP="00D71E25">
      <w:pPr>
        <w:spacing w:after="240"/>
        <w:ind w:left="567" w:hanging="567"/>
        <w:rPr>
          <w:szCs w:val="24"/>
        </w:rPr>
      </w:pPr>
      <w:r w:rsidRPr="00544CB3">
        <w:t>3.</w:t>
      </w:r>
      <w:r w:rsidRPr="00544CB3">
        <w:tab/>
        <w:t>ugotavlja, da je agencija dejavno sodelovala pri več pobudah v zvezi z evropskim zelenim dogovorom ter Komisiji in državam članicam</w:t>
      </w:r>
      <w:r w:rsidRPr="00544CB3">
        <w:rPr>
          <w:rFonts w:ascii="Segoe UI" w:hAnsi="Segoe UI"/>
          <w:color w:val="374151"/>
        </w:rPr>
        <w:t xml:space="preserve"> </w:t>
      </w:r>
      <w:r w:rsidRPr="00544CB3">
        <w:t xml:space="preserve"> zagotavljala podporo in podatke, pri čemer se je posebej osredotočila na različne predloge v okviru svežnja „Pripravljeni na 55“</w:t>
      </w:r>
      <w:r w:rsidRPr="00544CB3">
        <w:rPr>
          <w:rFonts w:ascii="Arial" w:hAnsi="Arial"/>
          <w:sz w:val="20"/>
        </w:rPr>
        <w:t xml:space="preserve"> </w:t>
      </w:r>
      <w:r w:rsidRPr="00544CB3">
        <w:t xml:space="preserve">, kot sta predlog </w:t>
      </w:r>
      <w:proofErr w:type="spellStart"/>
      <w:r w:rsidRPr="00544CB3">
        <w:t>FuelEU</w:t>
      </w:r>
      <w:proofErr w:type="spellEnd"/>
      <w:r w:rsidRPr="00544CB3">
        <w:t xml:space="preserve"> za pomorstvo in predlog za razširitev sistema trgovanja z emisijami na pomorski promet;</w:t>
      </w:r>
    </w:p>
    <w:p w:rsidR="00D71E25" w:rsidRPr="00544CB3" w:rsidRDefault="00D71E25" w:rsidP="00D71E25">
      <w:pPr>
        <w:spacing w:after="240"/>
        <w:ind w:left="567" w:hanging="567"/>
        <w:rPr>
          <w:szCs w:val="24"/>
        </w:rPr>
      </w:pPr>
      <w:r w:rsidRPr="00544CB3">
        <w:t>4.</w:t>
      </w:r>
      <w:r w:rsidRPr="00544CB3">
        <w:tab/>
        <w:t xml:space="preserve">pozdravlja, da je agencija po nezakoniti in </w:t>
      </w:r>
      <w:proofErr w:type="spellStart"/>
      <w:r w:rsidRPr="00544CB3">
        <w:t>neizzvani</w:t>
      </w:r>
      <w:proofErr w:type="spellEnd"/>
      <w:r w:rsidRPr="00544CB3">
        <w:t xml:space="preserve"> ruski invaziji na Ukrajino februarja 2022 pomembno prispevala k spremljanju iskanih plovil in poročanju o njih; v zvezi s tem ugotavlja, da je služba za pomorsko podporo državam članicam in Komisiji poročala o plovilih, ki plujejo pod rusko zastavo, zadevne države članice in Komisijo obveščala o postankih ladij v pristaniščih EU ter o postankih ladij, povezanih s sankcijami (npr. uvoz premoga);</w:t>
      </w:r>
    </w:p>
    <w:p w:rsidR="00D71E25" w:rsidRPr="00544CB3" w:rsidRDefault="00D71E25" w:rsidP="00D71E25">
      <w:pPr>
        <w:spacing w:after="240"/>
        <w:ind w:left="567" w:hanging="567"/>
        <w:rPr>
          <w:szCs w:val="24"/>
        </w:rPr>
      </w:pPr>
      <w:r w:rsidRPr="00544CB3">
        <w:t>5.</w:t>
      </w:r>
      <w:r w:rsidRPr="00544CB3">
        <w:tab/>
        <w:t xml:space="preserve">ugotavlja, da so službe agencije za opazovanje Zemlje še naprej razvijale in zagotavljale zmogljivosti za opazovanje s poudarkom na službi </w:t>
      </w:r>
      <w:proofErr w:type="spellStart"/>
      <w:r w:rsidRPr="00544CB3">
        <w:t>CleanSeaNet</w:t>
      </w:r>
      <w:proofErr w:type="spellEnd"/>
      <w:r w:rsidRPr="00544CB3">
        <w:t xml:space="preserve">, programu </w:t>
      </w:r>
      <w:proofErr w:type="spellStart"/>
      <w:r w:rsidRPr="00544CB3">
        <w:t>Copernicus</w:t>
      </w:r>
      <w:proofErr w:type="spellEnd"/>
      <w:r w:rsidRPr="00544CB3">
        <w:t xml:space="preserve"> za pomorski nadzor za agencijo </w:t>
      </w:r>
      <w:proofErr w:type="spellStart"/>
      <w:r w:rsidRPr="00544CB3">
        <w:t>Frontex</w:t>
      </w:r>
      <w:proofErr w:type="spellEnd"/>
      <w:r w:rsidRPr="00544CB3">
        <w:t xml:space="preserve"> in podpori v izrednih razmerah na morju v okviru kontingenčnega načrta agencije;</w:t>
      </w:r>
    </w:p>
    <w:p w:rsidR="00D71E25" w:rsidRPr="00544CB3" w:rsidRDefault="00D71E25" w:rsidP="00D71E25">
      <w:pPr>
        <w:spacing w:after="240"/>
        <w:ind w:left="567" w:hanging="567"/>
        <w:rPr>
          <w:szCs w:val="24"/>
        </w:rPr>
      </w:pPr>
      <w:r w:rsidRPr="00544CB3">
        <w:t>6.</w:t>
      </w:r>
      <w:r w:rsidRPr="00544CB3">
        <w:tab/>
        <w:t>pozdravlja, da je agencija s sodelovanjem pri inšpekcijskih pregledih, ki so bili organizirani za ocenjevanje in preverjanje izvajanja in izvrševanja zakonodaje EU o pomorski varnosti v državah članicah tehnično podprla Komisijo in nadzorni organ Efte;</w:t>
      </w:r>
    </w:p>
    <w:p w:rsidR="00D71E25" w:rsidRPr="00544CB3" w:rsidRDefault="00D71E25" w:rsidP="00D71E25">
      <w:pPr>
        <w:spacing w:after="240"/>
        <w:ind w:left="567" w:hanging="567"/>
        <w:rPr>
          <w:szCs w:val="24"/>
        </w:rPr>
      </w:pPr>
      <w:r w:rsidRPr="00544CB3">
        <w:t>7.</w:t>
      </w:r>
      <w:r w:rsidRPr="00544CB3">
        <w:tab/>
        <w:t>ugotavlja, da je agencija leta 2022 Agenciji Evropske unije za sodelovanje na področju preprečevanja, odkrivanja in preiskovanja kaznivih dejanj (Europol) omogočila dostop do pomorskih informacij in informacij na podlagi nadzora, in ga tako podprla na področju kazenskega pregona in organiziranega kriminala na morju;</w:t>
      </w:r>
    </w:p>
    <w:p w:rsidR="00D71E25" w:rsidRPr="00544CB3" w:rsidRDefault="00D71E25" w:rsidP="00D71E25">
      <w:pPr>
        <w:spacing w:after="240"/>
        <w:ind w:left="567" w:hanging="567"/>
        <w:rPr>
          <w:i/>
          <w:szCs w:val="24"/>
        </w:rPr>
      </w:pPr>
      <w:r w:rsidRPr="00544CB3">
        <w:t>8.</w:t>
      </w:r>
      <w:r w:rsidRPr="00544CB3">
        <w:tab/>
        <w:t>ugotavlja, da je agencija v letu 2022 izvajala projekte iz instrumenta IPA II in dokončala projekte za tehnično pomoč v Sredozemlju (SAFEMED IV) ter Črnem in Kaspijskem morju (BCSEA) ter tako ohranila svojo vlogo centra odličnosti za krepitev zmogljivosti;</w:t>
      </w:r>
    </w:p>
    <w:p w:rsidR="00D71E25" w:rsidRPr="00544CB3" w:rsidRDefault="00D71E25" w:rsidP="00D71E25">
      <w:pPr>
        <w:spacing w:after="240"/>
        <w:ind w:left="567" w:hanging="567"/>
      </w:pPr>
      <w:r w:rsidRPr="00544CB3">
        <w:t>9.</w:t>
      </w:r>
      <w:r w:rsidRPr="00544CB3">
        <w:tab/>
        <w:t xml:space="preserve">pozdravlja, da agencija podpira Komisijo v Mednarodni pomorski organizaciji, zlasti v forumih, kot so Odbor za varstvo morskega okolja (MEPC), Pododbor za preprečevanje onesnaževanja in odzivanje nanj (PPR) in Pododbor za prevoz tovora in zabojnikov (CCC); ta podpora zajema ključna področja preprečevanja onesnaževanja in trajnostnosti, vključno s strategijo Mednarodne pomorske organizacije za zmanjšanje emisij toplogrednih plinov, </w:t>
      </w:r>
      <w:proofErr w:type="spellStart"/>
      <w:r w:rsidRPr="00544CB3">
        <w:t>ogljično</w:t>
      </w:r>
      <w:proofErr w:type="spellEnd"/>
      <w:r w:rsidRPr="00544CB3">
        <w:t xml:space="preserve"> intenzivnost ladijskega prometa, varnost, ocenjevanje, uvajanje in uporabo trajnostnih alternativnih goriv in tehnologij, morske odpadke in podvodni hrup; poudarja, da bo prihodnje delo Mednarodne pomorske organizacije za razvoj ustreznih zahtev in standardov za uporabo novih goriv in tehnologij ključnega pomena za njihovo uporabo na svetovni ravni in ravni EU;</w:t>
      </w:r>
    </w:p>
    <w:p w:rsidR="00D71E25" w:rsidRPr="00544CB3" w:rsidRDefault="00D71E25" w:rsidP="00D71E25">
      <w:pPr>
        <w:pStyle w:val="NormalHanging12a"/>
        <w:rPr>
          <w:b/>
          <w:i/>
          <w:color w:val="000000" w:themeColor="text1"/>
          <w:szCs w:val="24"/>
        </w:rPr>
      </w:pPr>
      <w:r w:rsidRPr="00544CB3">
        <w:rPr>
          <w:b/>
          <w:i/>
          <w:color w:val="000000" w:themeColor="text1"/>
        </w:rPr>
        <w:t>Povečanje učinkovitosti</w:t>
      </w:r>
    </w:p>
    <w:p w:rsidR="00D71E25" w:rsidRPr="00544CB3" w:rsidRDefault="00D71E25" w:rsidP="00D71E25">
      <w:pPr>
        <w:widowControl/>
        <w:spacing w:after="240"/>
        <w:ind w:left="567" w:hanging="567"/>
        <w:rPr>
          <w:szCs w:val="24"/>
        </w:rPr>
      </w:pPr>
      <w:r w:rsidRPr="00544CB3">
        <w:rPr>
          <w:color w:val="000000" w:themeColor="text1"/>
        </w:rPr>
        <w:t>10.</w:t>
      </w:r>
      <w:r w:rsidRPr="00544CB3">
        <w:rPr>
          <w:color w:val="000000" w:themeColor="text1"/>
        </w:rPr>
        <w:tab/>
        <w:t>ugotavlja, da</w:t>
      </w:r>
      <w:r w:rsidRPr="00544CB3">
        <w:t xml:space="preserve"> je agencija v okviru novega mandata za evropsko sodelovanje pri nalogah obalne straže </w:t>
      </w:r>
      <w:r w:rsidRPr="00544CB3">
        <w:rPr>
          <w:color w:val="000000" w:themeColor="text1"/>
        </w:rPr>
        <w:t xml:space="preserve">izmenjala informacije, strokovno znanje, postopke, gradivo in orodja za usposabljanje z Evropsko agencijo za nadzor ribištva (EFCA) in agencijo </w:t>
      </w:r>
      <w:proofErr w:type="spellStart"/>
      <w:r w:rsidRPr="00544CB3">
        <w:rPr>
          <w:color w:val="000000" w:themeColor="text1"/>
        </w:rPr>
        <w:t>Frontex</w:t>
      </w:r>
      <w:proofErr w:type="spellEnd"/>
      <w:r w:rsidRPr="00544CB3">
        <w:t>;</w:t>
      </w:r>
      <w:r w:rsidRPr="00544CB3">
        <w:rPr>
          <w:color w:val="000000" w:themeColor="text1"/>
        </w:rPr>
        <w:t xml:space="preserve"> </w:t>
      </w:r>
      <w:r w:rsidRPr="00544CB3">
        <w:rPr>
          <w:color w:val="000000" w:themeColor="text1"/>
        </w:rPr>
        <w:lastRenderedPageBreak/>
        <w:t xml:space="preserve">ugotavlja tudi, da agencija še naprej tesno sodeluje z Evropskim centrom za spremljanje drog in zasvojenosti z drogami (EMCCDA), da bi povečala svojo učinkovitost in prihranila stroške zaradi geografske bližine obeh agencij; pozdravlja, da je agencija podpirala EMCCDA z izmenjavo znanja v zvezi z registracijo EMAS in da je skupaj z agencijo EFCA še naprej zagotavljala vzajemno nadomestno ureditev za računovodsko funkcijo v obeh agencijah; poudarja horizontalne koristi sodelovanja in prilagajanja najboljše prakse in da </w:t>
      </w:r>
      <w:r w:rsidRPr="00544CB3">
        <w:t>skupne pobude združujejo različne poglede, zmanjšujejo podvajanje prizadevanj, izboljšujejo učenje in krepijo odnose med udeleženci;</w:t>
      </w:r>
    </w:p>
    <w:p w:rsidR="00D71E25" w:rsidRPr="00544CB3" w:rsidRDefault="00D71E25" w:rsidP="00D71E25">
      <w:pPr>
        <w:pStyle w:val="NormalHanging12a"/>
        <w:rPr>
          <w:color w:val="000000" w:themeColor="text1"/>
          <w:szCs w:val="24"/>
        </w:rPr>
      </w:pPr>
      <w:r w:rsidRPr="00544CB3">
        <w:rPr>
          <w:color w:val="000000" w:themeColor="text1"/>
        </w:rPr>
        <w:t>11.</w:t>
      </w:r>
      <w:r w:rsidRPr="00544CB3">
        <w:rPr>
          <w:color w:val="000000" w:themeColor="text1"/>
        </w:rPr>
        <w:tab/>
        <w:t>ugotavlja, da si je agencija prizadevala izboljšati svojo učinkovitost in uspešnost z avtomatizacijo postopkov in tako znatno zmanjšati upravno obremenitev posameznih uslužbencev, da bi se lahko osredotočili na naloge na sorodnih področjih, ki imajo višjo dodano vrednost; ugotavlja tudi, da je agencija začela pilotne projekte za kvalificirani elektronski podpis in vključitev korporativnih orodij v sistem ARES; poziva agencijo, naj poišče več notranjih postopkov, ki bi jih bilo mogoče racionalizirati z avtomatizacijo;</w:t>
      </w:r>
    </w:p>
    <w:p w:rsidR="00D71E25" w:rsidRPr="00544CB3" w:rsidRDefault="00D71E25" w:rsidP="00D71E25">
      <w:pPr>
        <w:spacing w:after="240"/>
        <w:ind w:left="567" w:hanging="567"/>
        <w:rPr>
          <w:b/>
          <w:i/>
          <w:szCs w:val="24"/>
        </w:rPr>
      </w:pPr>
      <w:r w:rsidRPr="00544CB3">
        <w:rPr>
          <w:b/>
          <w:i/>
        </w:rPr>
        <w:t>Kadrovska politika</w:t>
      </w:r>
    </w:p>
    <w:p w:rsidR="00D71E25" w:rsidRPr="00544CB3" w:rsidRDefault="00D71E25" w:rsidP="00D71E25">
      <w:pPr>
        <w:pStyle w:val="NormalHanging12a"/>
        <w:rPr>
          <w:szCs w:val="24"/>
        </w:rPr>
      </w:pPr>
      <w:r w:rsidRPr="00544CB3">
        <w:t>12.</w:t>
      </w:r>
      <w:r w:rsidRPr="00544CB3">
        <w:tab/>
        <w:t>ugotavlja, da je bil kadrovski načrt na dan 31. decembra 2022 stabilen in uresničen 99,06-odstotno, saj je agencija zaposlovala 210 od 212 uradnikov in začasnih uslužbencev, odobrenih v proračunu Unije (enako kot leta 2021); ugotavlja tudi, da je za agencijo leta 2022 delalo še 28 pogodbenih uslužbencev in 16 napotenih nacionalnih strokovnjakov;</w:t>
      </w:r>
    </w:p>
    <w:p w:rsidR="00D71E25" w:rsidRPr="00544CB3" w:rsidRDefault="00D71E25" w:rsidP="00D71E25">
      <w:pPr>
        <w:pStyle w:val="NormalHanging12a"/>
      </w:pPr>
      <w:r w:rsidRPr="00544CB3">
        <w:t>13.</w:t>
      </w:r>
      <w:r w:rsidRPr="00544CB3">
        <w:tab/>
        <w:t>je seznanjen s premalo uravnoteženo zastopanostjo spolov med člani na višjih in srednjih vodstvenih položajih agencije, pri čemer je 5 od 16 zaposlenih žensk (31 %); ugotavlja, da je zastopanost spolov v upravnem odboru agencije neuravnotežena, saj je 10 od 57 članov (18 %) žensk; je seznanjen tudi, da spola med vsemi uslužbenci organa nista uravnoteženo zastopana, saj je 99 od 264 uslužbencev (38 %) žensk; opozarja, kako pomembno je zagotoviti uravnoteženo zastopanost spolov, in agencijo poziva, naj ta vidik v prihodnje upošteva pri zaposlovanju novih uslužbencev ter imenovanjih na višji in srednji vodstveni ravni; pri tem pozdravlja, da je agencija začela izvajati akcijski načrt za enakost spolov za obdobje 2022–2025, katerega cilj je dolgoročno izboljšanje uravnotežene zastopanosti spolov in enakosti spolov na podlagi kakovosti; poziva Komisijo in države članice, naj se pri imenovanju članov upravnega odbora agencije zavedajo pomena uravnotežene zastopanosti spolov; spodbuja agencijo, naj sprejme tudi listino o raznolikosti in vključevanju ter še naprej sodeluje v pobudah, ki spodbujajo raznolikost in vključevanje na delovnem mestu na vseh ravneh hierarhije;</w:t>
      </w:r>
    </w:p>
    <w:p w:rsidR="00D71E25" w:rsidRPr="00544CB3" w:rsidRDefault="00D71E25" w:rsidP="00D71E25">
      <w:pPr>
        <w:spacing w:after="240"/>
        <w:ind w:left="567" w:hanging="567"/>
      </w:pPr>
      <w:r w:rsidRPr="00544CB3">
        <w:t>14.</w:t>
      </w:r>
      <w:r w:rsidRPr="00544CB3">
        <w:tab/>
        <w:t>poudarja nenehne izzive pri zaposlovanju napotenih nacionalnih strokovnjakov, saj je težko privabiti strokovnjake iz držav članic; poudarja, da je agencija objavila nekaj neuspešnih razpisov; predlaga, da se notranjim pogodbenim uslužbencem omogoči napredovanje v naslednjo funkcionalno skupino s sodelovanjem v splošnem izbirnem postopku; kar zadeva povečanje učinkovitosti ugotavlja, da si agencija prizadeva za izboljšanje svojih postopkov, da bi povečala učinkovitost in uspešnost ter kar najbolje uporabila svoje človeške in finančne vire;</w:t>
      </w:r>
    </w:p>
    <w:p w:rsidR="00D71E25" w:rsidRPr="00544CB3" w:rsidRDefault="00D71E25" w:rsidP="00D71E25">
      <w:pPr>
        <w:pStyle w:val="NormalHanging12a"/>
      </w:pPr>
      <w:r w:rsidRPr="00544CB3">
        <w:t>15.</w:t>
      </w:r>
      <w:r w:rsidRPr="00544CB3">
        <w:tab/>
        <w:t>pozdravlja dejstvo, da je bilo v okviru preprečevanja nadlegovanja na delovnem mestu po uspešno opravljenem obveznem usposabljanju imenovanih šest novih zaupnih svetovalcev in da ti v agenciji že opravljajo naloge na tem področju;</w:t>
      </w:r>
    </w:p>
    <w:p w:rsidR="00D71E25" w:rsidRPr="00544CB3" w:rsidRDefault="00D71E25" w:rsidP="00D71E25">
      <w:pPr>
        <w:pStyle w:val="NormalHanging12a"/>
      </w:pPr>
      <w:r w:rsidRPr="00544CB3">
        <w:lastRenderedPageBreak/>
        <w:t>16.</w:t>
      </w:r>
      <w:r w:rsidRPr="00544CB3">
        <w:tab/>
        <w:t>ugotavlja, da je agencija začela projekt kadrovske strategije s posvetovanjem z osebjem, vodstvom in odborom uslužbencev, projekt za oblikovanje spletnega uvajalnega programa za nove uslužbence ter pripravljalno delo v zvezi s sklepom o delovnem času in hibridnem delu, ki naj bi bili sprejeti leta 2023; poziva agencijo, naj organ za podelitev razrešnice obvešča o napredku v zvezi s tem;</w:t>
      </w:r>
    </w:p>
    <w:p w:rsidR="00D71E25" w:rsidRPr="00544CB3" w:rsidRDefault="00D71E25" w:rsidP="00D71E25">
      <w:pPr>
        <w:pStyle w:val="NormalHanging12a"/>
        <w:rPr>
          <w:b/>
          <w:i/>
          <w:szCs w:val="24"/>
        </w:rPr>
      </w:pPr>
      <w:r w:rsidRPr="00544CB3">
        <w:rPr>
          <w:b/>
          <w:i/>
        </w:rPr>
        <w:t>Preprečevanje in obvladovanje nasprotij interesov ter preglednost</w:t>
      </w:r>
    </w:p>
    <w:p w:rsidR="00D71E25" w:rsidRPr="00544CB3" w:rsidRDefault="00D71E25" w:rsidP="00D71E25">
      <w:pPr>
        <w:spacing w:after="240"/>
        <w:ind w:left="567" w:hanging="567"/>
        <w:rPr>
          <w:szCs w:val="24"/>
        </w:rPr>
      </w:pPr>
      <w:r w:rsidRPr="00544CB3">
        <w:t>17.</w:t>
      </w:r>
      <w:r w:rsidRPr="00544CB3">
        <w:tab/>
        <w:t>je seznanjen s tem, da morajo člani in namestniki upravnega odbora agencije ob svojem imenovanju in nato vsako leto podpisati izjavo o zavezi in zaupnosti, da bodo na začetku vsake seje upravnega odbora poročali o (morebitnem) nasprotju interesov, ki bi lahko škodovalo obravnavi katere koli točke dnevnega reda; ugotavlja, da morajo vsi uslužbenci (vključno z višjim vodstvom, vključenim v posebne postopke) prijaviti (morebitno) nasprotje interesov v različnih postopkih, kot so javna naročila in zaposlovanje; ugotavlja, da je v letu 2022 član izbirne komisije v postopku zaposlovanja prijavil en primer nasprotja interesov, in da je bil po preučitvi te prijave ta član zamenjan;</w:t>
      </w:r>
    </w:p>
    <w:p w:rsidR="00D71E25" w:rsidRPr="00544CB3" w:rsidRDefault="00D71E25" w:rsidP="00D71E25">
      <w:pPr>
        <w:spacing w:after="240"/>
        <w:ind w:left="567" w:hanging="567"/>
        <w:rPr>
          <w:szCs w:val="24"/>
        </w:rPr>
      </w:pPr>
      <w:r w:rsidRPr="00544CB3">
        <w:t>18.</w:t>
      </w:r>
      <w:r w:rsidRPr="00544CB3">
        <w:tab/>
        <w:t>ugotavlja, da je agencija sprejela politiko upravnega odbora agencije EMSA o nasprotjih interesov, ki določa načela nepristranskosti in neodvisnosti svojih članov in njihovih namestnikov ter opredeljuje ukrepe, s katerimi se udejanja njihova praktična uporaba, da bi se preprečila in ublažila tveganja za neprimeren vpliv nekdanjih, sedanjih ali prihodnjih interesov na nepristranskost in neodvisnost članov odbora med opravljanjem njihovih nalog;</w:t>
      </w:r>
    </w:p>
    <w:p w:rsidR="00D71E25" w:rsidRPr="00544CB3" w:rsidRDefault="00D71E25" w:rsidP="00D71E25">
      <w:pPr>
        <w:spacing w:after="240"/>
        <w:ind w:left="567" w:hanging="567"/>
        <w:rPr>
          <w:szCs w:val="24"/>
        </w:rPr>
      </w:pPr>
      <w:r w:rsidRPr="00544CB3">
        <w:t>19.</w:t>
      </w:r>
      <w:r w:rsidRPr="00544CB3">
        <w:tab/>
        <w:t>je seznanjen</w:t>
      </w:r>
      <w:r w:rsidR="00544CB3" w:rsidRPr="00544CB3">
        <w:t xml:space="preserve"> z dejstvom</w:t>
      </w:r>
      <w:r w:rsidRPr="00544CB3">
        <w:t>, da so življenjepisi članov upravnega odbora in vodstvenega osebja objavljeni na spletnem mestu agencije;</w:t>
      </w:r>
    </w:p>
    <w:p w:rsidR="00D71E25" w:rsidRPr="00544CB3" w:rsidRDefault="00D71E25" w:rsidP="00D71E25">
      <w:pPr>
        <w:pStyle w:val="Normal12Hanging"/>
        <w:rPr>
          <w:b/>
          <w:i/>
          <w:szCs w:val="24"/>
        </w:rPr>
      </w:pPr>
      <w:r w:rsidRPr="00544CB3">
        <w:rPr>
          <w:b/>
          <w:i/>
        </w:rPr>
        <w:t>Druge pripombe</w:t>
      </w:r>
    </w:p>
    <w:p w:rsidR="00D71E25" w:rsidRPr="00544CB3" w:rsidRDefault="00D71E25" w:rsidP="00D71E25">
      <w:pPr>
        <w:spacing w:after="240"/>
        <w:ind w:left="567" w:hanging="567"/>
        <w:rPr>
          <w:szCs w:val="24"/>
        </w:rPr>
      </w:pPr>
      <w:r w:rsidRPr="00544CB3">
        <w:t>20.</w:t>
      </w:r>
      <w:r w:rsidRPr="00544CB3">
        <w:tab/>
        <w:t>izreka pohvalo, da je bil register tveganj v skladu z okvirom agencije za obvladovanje tveganj v letu 2022 v celoti posodobljen in izpopolnjen ter da je bila med tem postopkom posebna pozornost namenjena prepoznavanju morebitnih tveganj, povezanih z goljufijami, in splošnih priložnosti; nadalje pozdravlja, da je bilo po invaziji Rusije na Ukrajino odkritih več novih tveganj in priložnosti v zvezi s to obsežno krizo ter da so bila ta tveganja vključena v posodobljene registre tveganj;</w:t>
      </w:r>
    </w:p>
    <w:p w:rsidR="00D71E25" w:rsidRPr="00544CB3" w:rsidRDefault="00D71E25" w:rsidP="00D71E25">
      <w:pPr>
        <w:spacing w:after="240"/>
        <w:ind w:left="567" w:hanging="567"/>
        <w:rPr>
          <w:szCs w:val="24"/>
        </w:rPr>
      </w:pPr>
      <w:r w:rsidRPr="00544CB3">
        <w:t>21.</w:t>
      </w:r>
      <w:r w:rsidRPr="00544CB3">
        <w:tab/>
        <w:t>čestita agenciji za razvoj več ad hoc rešitev za pomoč državam članicam in Komisiji pri izvajanju sankcij EU v zvezi z invazijo Ruske federacije na Ukrajino, kot je poročanje o postankih v pristaniščih za določene zastave in tovor; nadalje pozdravlja, da je agencija oblikovala mesečno poročilo o vplivu razvoja dogodkov v Ukrajini na pomorski promet in trgovino, ki ga posreduje ustreznim deležnikom;</w:t>
      </w:r>
    </w:p>
    <w:p w:rsidR="00D71E25" w:rsidRPr="00544CB3" w:rsidRDefault="00D71E25" w:rsidP="00D71E25">
      <w:pPr>
        <w:spacing w:after="240"/>
        <w:ind w:left="567" w:hanging="567"/>
        <w:rPr>
          <w:szCs w:val="24"/>
        </w:rPr>
      </w:pPr>
      <w:r w:rsidRPr="00544CB3">
        <w:t>22.</w:t>
      </w:r>
      <w:r w:rsidRPr="00544CB3">
        <w:tab/>
        <w:t>pozdravlja, da si je agencija v letu 2022 prizadevala za okolju prijaznejše dejavnosti, kot so med drugim obsežna komunikacijska kampanja za zeleno komponento, vzpostavitev stacionarne sobe za večkratno uporabo, sodelovanje v evropskem tednu mobilnosti in znižanje osnovne temperature v prostorih pozimi;</w:t>
      </w:r>
    </w:p>
    <w:p w:rsidR="00D71E25" w:rsidRPr="00544CB3" w:rsidRDefault="00D71E25" w:rsidP="00D71E25">
      <w:pPr>
        <w:spacing w:after="240"/>
        <w:ind w:left="567" w:hanging="567"/>
        <w:rPr>
          <w:szCs w:val="24"/>
        </w:rPr>
      </w:pPr>
      <w:r w:rsidRPr="00544CB3">
        <w:t>23.</w:t>
      </w:r>
      <w:r w:rsidRPr="00544CB3">
        <w:tab/>
        <w:t xml:space="preserve">želi spomniti, da je agencija leta 2019 začela izvajati pobudo za okolju prijaznejšo Evropsko agencijo za pomorsko varnost, katere cilj je bil uvesti okoljsko upravljanje, januarja 2022 pa je bil z zunanjo revizijo narejen še zadnji korak; ugotavlja, da je </w:t>
      </w:r>
      <w:r w:rsidRPr="00544CB3">
        <w:lastRenderedPageBreak/>
        <w:t>agencija zato prejela oznako EMAS in objavila svojo okoljsko izjavo;</w:t>
      </w:r>
    </w:p>
    <w:p w:rsidR="00D71E25" w:rsidRPr="00544CB3" w:rsidRDefault="00D71E25" w:rsidP="00D71E25">
      <w:pPr>
        <w:spacing w:after="240"/>
        <w:ind w:left="567" w:hanging="567"/>
        <w:rPr>
          <w:szCs w:val="24"/>
        </w:rPr>
      </w:pPr>
      <w:r w:rsidRPr="00544CB3">
        <w:t>24.</w:t>
      </w:r>
      <w:r w:rsidRPr="00544CB3">
        <w:tab/>
        <w:t>ugotavlja, da je agencija okrepila sodelovanje z Agencijo Evropske unije za kibernetsko varnost, in sicer z udeležbo v pilotnem projektu za izvajanje uredbe o kibernetski varnosti, ki je v sprejemanju; ugotavlja tudi, da je agencija okrepila sodelovanje s skupino CERT EU, tako da je podaljšala posebni sporazum o ravni storitve, ki zdaj vključuje več ukrepov, kot je večje število ocen varnosti, in omogočila dostop za spremljanje varnostnih dogodkov v informacijski infrastrukturi agencije v realnem času;  poleg tega ugotavlja, da izvaja redne ocene varnosti s skupino CERT EU in ponudnikom medinstitucionalnih varnostnih storitev Sveta;</w:t>
      </w:r>
    </w:p>
    <w:p w:rsidR="00D71E25" w:rsidRPr="00544CB3" w:rsidRDefault="00D71E25" w:rsidP="00D71E25">
      <w:pPr>
        <w:spacing w:after="240"/>
        <w:ind w:left="567" w:hanging="567"/>
        <w:rPr>
          <w:szCs w:val="24"/>
        </w:rPr>
      </w:pPr>
      <w:r w:rsidRPr="00544CB3">
        <w:t>25.</w:t>
      </w:r>
      <w:r w:rsidRPr="00544CB3">
        <w:tab/>
        <w:t>ugotavlja, da je agencija izvedla različne ukrepe za povečanje prepoznavnosti v javnosti in spletne prisotnosti, kot so gostitev konferenc, objava videoposnetkov, v katerih so pojasnjene njene glavne dejavnosti in pristojnosti, prenos v živo in uvedba koncepta dneva odprtih vrat agencije EMSA;</w:t>
      </w:r>
    </w:p>
    <w:p w:rsidR="00D71E25" w:rsidRPr="00544CB3" w:rsidRDefault="00D71E25" w:rsidP="00D71E25">
      <w:pPr>
        <w:pStyle w:val="NormalHanging12a"/>
      </w:pPr>
      <w:r w:rsidRPr="00544CB3">
        <w:t>26.</w:t>
      </w:r>
      <w:r w:rsidRPr="00544CB3">
        <w:tab/>
        <w:t>pozdravlja njeno zavezo, da bo izboljšala večjezično komunikacijo in omogočila večjo dostopnost za vse evropske državljane; ugotavlja, da so petletna strategija agencije, evropsko poročilo o morskem okolju in evropsko poročilo o pomorski varnosti zdaj na voljo v vseh 24 jezikih EU;</w:t>
      </w:r>
    </w:p>
    <w:p w:rsidR="00D71E25" w:rsidRPr="00544CB3" w:rsidRDefault="00D71E25" w:rsidP="00D71E25">
      <w:pPr>
        <w:spacing w:after="240"/>
        <w:ind w:left="567" w:hanging="567"/>
      </w:pPr>
      <w:r w:rsidRPr="00544CB3">
        <w:t>27.</w:t>
      </w:r>
      <w:r w:rsidRPr="00544CB3">
        <w:tab/>
        <w:t>poudarja, kako pomembne so dejavnosti agencije na področju pomorske zaščite, in jo poziva, naj v okviru Uredbe</w:t>
      </w:r>
      <w:r w:rsidR="009E6655">
        <w:t xml:space="preserve"> (ES) št.</w:t>
      </w:r>
      <w:r w:rsidRPr="00544CB3">
        <w:t> 725/2004 Evropskega parlamenta in Sveta o povečanju zaščite na ladjah in v pristaniščih še naprej zagotavlja tehnično pomoč pri inšpekcijskih pregledih Komisije; poudarja, da se je število kibernetskih incidentov v pomorskem sektorju v zadnjih letih občutno povečalo;</w:t>
      </w:r>
    </w:p>
    <w:p w:rsidR="00D71E25" w:rsidRPr="00544CB3" w:rsidRDefault="00D71E25" w:rsidP="00D71E25">
      <w:pPr>
        <w:spacing w:after="240"/>
        <w:ind w:left="567" w:hanging="567"/>
      </w:pPr>
      <w:r w:rsidRPr="00544CB3">
        <w:t>28.</w:t>
      </w:r>
      <w:r w:rsidRPr="00544CB3">
        <w:tab/>
        <w:t>poziva k pospeševanju digitalizacije v pomorstvu, in sicer z lažjim elektronskim prenosom podatkov, kar bo podprlo poenostavitve in integrirane sisteme in storitve za pomorski nadzor ter spremljanje za Komisijo in države članice;</w:t>
      </w:r>
    </w:p>
    <w:p w:rsidR="00D71E25" w:rsidRPr="00544CB3" w:rsidRDefault="00D71E25" w:rsidP="00D71E25">
      <w:pPr>
        <w:spacing w:after="240"/>
        <w:ind w:left="567" w:hanging="567"/>
      </w:pPr>
      <w:r w:rsidRPr="00544CB3">
        <w:t>29.</w:t>
      </w:r>
      <w:r w:rsidRPr="00544CB3">
        <w:tab/>
        <w:t>poudarja, da flota EU (ladje in tonaža) raste počasneje od svetovne flote; ugotavlja, da se je v zadnjih petih letih flota EU povečala za 3,4 %, medtem ko je bila stopnja rasti svetovne flote večja, saj je znašala 7 %;</w:t>
      </w:r>
    </w:p>
    <w:p w:rsidR="00D71E25" w:rsidRPr="00544CB3" w:rsidRDefault="00D71E25" w:rsidP="00D71E25">
      <w:pPr>
        <w:spacing w:after="240"/>
        <w:ind w:left="567" w:hanging="567"/>
        <w:jc w:val="center"/>
        <w:rPr>
          <w:szCs w:val="24"/>
        </w:rPr>
      </w:pPr>
      <w:r w:rsidRPr="00544CB3">
        <w:t>°</w:t>
      </w:r>
    </w:p>
    <w:p w:rsidR="00D71E25" w:rsidRPr="00544CB3" w:rsidRDefault="00D71E25" w:rsidP="00D71E25">
      <w:pPr>
        <w:pStyle w:val="NormalCenter12a"/>
        <w:rPr>
          <w:szCs w:val="24"/>
        </w:rPr>
      </w:pPr>
      <w:r w:rsidRPr="00544CB3">
        <w:t>°</w:t>
      </w:r>
      <w:r w:rsidRPr="00544CB3">
        <w:tab/>
        <w:t>°</w:t>
      </w:r>
    </w:p>
    <w:p w:rsidR="00E365E1" w:rsidRPr="00593A4A" w:rsidRDefault="00D71E25" w:rsidP="00544CB3">
      <w:pPr>
        <w:widowControl/>
        <w:ind w:left="567" w:hanging="567"/>
      </w:pPr>
      <w:r w:rsidRPr="00544CB3">
        <w:t>30.</w:t>
      </w:r>
      <w:r w:rsidRPr="00544CB3">
        <w:tab/>
        <w:t xml:space="preserve">sporoča, da so druge ugotovitve horizontalne narave, ki spremljajo sklep o razrešnici, zbrane v resoluciji z dne </w:t>
      </w:r>
      <w:r w:rsidR="00544CB3" w:rsidRPr="00544CB3">
        <w:t>11. aprila 2024</w:t>
      </w:r>
      <w:r w:rsidRPr="00544CB3">
        <w:rPr>
          <w:rStyle w:val="FootnoteReference"/>
        </w:rPr>
        <w:footnoteReference w:id="12"/>
      </w:r>
      <w:r w:rsidRPr="00544CB3">
        <w:t xml:space="preserve"> o uspešnosti, finančnem </w:t>
      </w:r>
      <w:proofErr w:type="spellStart"/>
      <w:r w:rsidRPr="00544CB3">
        <w:t>poslovodenju</w:t>
      </w:r>
      <w:proofErr w:type="spellEnd"/>
      <w:r w:rsidRPr="00544CB3">
        <w:t xml:space="preserve"> in nadzoru agencij.</w:t>
      </w:r>
      <w:bookmarkStart w:id="11" w:name="TextBodyEnd"/>
      <w:bookmarkEnd w:id="11"/>
    </w:p>
    <w:sectPr w:rsidR="00E365E1" w:rsidRPr="00593A4A" w:rsidSect="00593A4A">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E7297" w:rsidRPr="00593A4A" w:rsidRDefault="003E7297">
      <w:r w:rsidRPr="00593A4A">
        <w:separator/>
      </w:r>
    </w:p>
  </w:endnote>
  <w:endnote w:type="continuationSeparator" w:id="0">
    <w:p w:rsidR="003E7297" w:rsidRPr="00593A4A" w:rsidRDefault="003E7297">
      <w:r w:rsidRPr="00593A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E25" w:rsidRPr="00593A4A" w:rsidRDefault="00D71E25" w:rsidP="008D7CE4">
    <w:pPr>
      <w:pStyle w:val="EPFooter"/>
    </w:pPr>
    <w:r w:rsidRPr="00593A4A">
      <w:t>PE</w:t>
    </w:r>
    <w:r w:rsidRPr="00593A4A">
      <w:rPr>
        <w:rStyle w:val="HideTWBExt"/>
      </w:rPr>
      <w:t>&lt;NoPE&gt;</w:t>
    </w:r>
    <w:r w:rsidRPr="00593A4A">
      <w:t>753.526</w:t>
    </w:r>
    <w:r w:rsidRPr="00593A4A">
      <w:rPr>
        <w:rStyle w:val="HideTWBExt"/>
      </w:rPr>
      <w:t>&lt;/NoPE&gt;&lt;Version&gt;</w:t>
    </w:r>
    <w:r w:rsidRPr="00593A4A">
      <w:t>v02-00</w:t>
    </w:r>
    <w:r w:rsidRPr="00593A4A">
      <w:rPr>
        <w:rStyle w:val="HideTWBExt"/>
      </w:rPr>
      <w:t>&lt;/Version&gt;</w:t>
    </w:r>
    <w:r w:rsidRPr="00593A4A">
      <w:tab/>
    </w:r>
    <w:r w:rsidRPr="00593A4A">
      <w:fldChar w:fldCharType="begin"/>
    </w:r>
    <w:r w:rsidRPr="00593A4A">
      <w:instrText xml:space="preserve"> PAGE  \* MERGEFORMAT </w:instrText>
    </w:r>
    <w:r w:rsidRPr="00593A4A">
      <w:fldChar w:fldCharType="separate"/>
    </w:r>
    <w:r w:rsidR="00593A4A" w:rsidRPr="00593A4A">
      <w:rPr>
        <w:noProof/>
      </w:rPr>
      <w:t>2</w:t>
    </w:r>
    <w:r w:rsidRPr="00593A4A">
      <w:fldChar w:fldCharType="end"/>
    </w:r>
    <w:r w:rsidRPr="00593A4A">
      <w:t>/</w:t>
    </w:r>
    <w:fldSimple w:instr=" NUMPAGES  \* MERGEFORMAT ">
      <w:r w:rsidR="00593A4A" w:rsidRPr="00593A4A">
        <w:rPr>
          <w:noProof/>
        </w:rPr>
        <w:t>4</w:t>
      </w:r>
    </w:fldSimple>
    <w:r w:rsidRPr="00593A4A">
      <w:tab/>
    </w:r>
    <w:r w:rsidRPr="00593A4A">
      <w:rPr>
        <w:rStyle w:val="HideTWBExt"/>
      </w:rPr>
      <w:t>&lt;PathFdR&gt;</w:t>
    </w:r>
    <w:r w:rsidRPr="00593A4A">
      <w:t>RR\1298830SL.docx</w:t>
    </w:r>
    <w:r w:rsidRPr="00593A4A">
      <w:rPr>
        <w:rStyle w:val="HideTWBExt"/>
      </w:rPr>
      <w:t>&lt;/PathFdR&gt;</w:t>
    </w:r>
  </w:p>
  <w:p w:rsidR="00D71E25" w:rsidRPr="00593A4A" w:rsidRDefault="00D71E25" w:rsidP="008D7CE4">
    <w:pPr>
      <w:pStyle w:val="EPFooter2"/>
    </w:pPr>
    <w:r w:rsidRPr="00593A4A">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E25" w:rsidRPr="00593A4A" w:rsidRDefault="00D71E25" w:rsidP="008D7CE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E25" w:rsidRPr="00593A4A" w:rsidRDefault="00D71E25" w:rsidP="008D7CE4">
    <w:pPr>
      <w:pStyle w:val="EPFooter"/>
    </w:pPr>
    <w:r w:rsidRPr="00593A4A">
      <w:rPr>
        <w:rStyle w:val="HideTWBExt"/>
      </w:rPr>
      <w:t>&lt;PathFdR&gt;</w:t>
    </w:r>
    <w:r w:rsidRPr="00593A4A">
      <w:t>RR\1298830SL.docx</w:t>
    </w:r>
    <w:r w:rsidRPr="00593A4A">
      <w:rPr>
        <w:rStyle w:val="HideTWBExt"/>
      </w:rPr>
      <w:t>&lt;/PathFdR&gt;</w:t>
    </w:r>
    <w:r w:rsidRPr="00593A4A">
      <w:tab/>
    </w:r>
    <w:r w:rsidRPr="00593A4A">
      <w:tab/>
      <w:t>PE</w:t>
    </w:r>
    <w:r w:rsidRPr="00593A4A">
      <w:rPr>
        <w:rStyle w:val="HideTWBExt"/>
      </w:rPr>
      <w:t>&lt;NoPE&gt;</w:t>
    </w:r>
    <w:r w:rsidRPr="00593A4A">
      <w:t>753.526</w:t>
    </w:r>
    <w:r w:rsidRPr="00593A4A">
      <w:rPr>
        <w:rStyle w:val="HideTWBExt"/>
      </w:rPr>
      <w:t>&lt;/NoPE&gt;&lt;Version&gt;</w:t>
    </w:r>
    <w:r w:rsidRPr="00593A4A">
      <w:t>v02-00</w:t>
    </w:r>
    <w:r w:rsidRPr="00593A4A">
      <w:rPr>
        <w:rStyle w:val="HideTWBExt"/>
      </w:rPr>
      <w:t>&lt;/Version&gt;</w:t>
    </w:r>
  </w:p>
  <w:p w:rsidR="00D71E25" w:rsidRPr="00593A4A" w:rsidRDefault="00D71E25" w:rsidP="008D7CE4">
    <w:pPr>
      <w:pStyle w:val="EPFooter2"/>
    </w:pPr>
    <w:r w:rsidRPr="00593A4A">
      <w:t>SL</w:t>
    </w:r>
    <w:r w:rsidRPr="00593A4A">
      <w:tab/>
    </w:r>
    <w:r w:rsidRPr="00593A4A">
      <w:rPr>
        <w:b w:val="0"/>
        <w:i/>
        <w:color w:val="C0C0C0"/>
        <w:sz w:val="22"/>
      </w:rPr>
      <w:t>Združena v raznolikosti</w:t>
    </w:r>
    <w:r w:rsidRPr="00593A4A">
      <w:tab/>
      <w:t>SL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3A4A"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3A4A"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3A4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E7297" w:rsidRPr="00593A4A" w:rsidRDefault="003E7297">
      <w:r w:rsidRPr="00593A4A">
        <w:separator/>
      </w:r>
    </w:p>
  </w:footnote>
  <w:footnote w:type="continuationSeparator" w:id="0">
    <w:p w:rsidR="003E7297" w:rsidRPr="00593A4A" w:rsidRDefault="003E7297">
      <w:r w:rsidRPr="00593A4A">
        <w:continuationSeparator/>
      </w:r>
    </w:p>
  </w:footnote>
  <w:footnote w:id="1">
    <w:p w:rsidR="00D71E25" w:rsidRPr="00593A4A" w:rsidRDefault="00D71E25" w:rsidP="00593A4A">
      <w:pPr>
        <w:pStyle w:val="FootnoteText"/>
        <w:ind w:left="567" w:hanging="567"/>
        <w:rPr>
          <w:sz w:val="24"/>
          <w:lang w:val="sl-SI"/>
        </w:rPr>
      </w:pPr>
      <w:r w:rsidRPr="00593A4A">
        <w:rPr>
          <w:rStyle w:val="FootnoteReference"/>
          <w:sz w:val="24"/>
          <w:lang w:val="sl-SI"/>
        </w:rPr>
        <w:footnoteRef/>
      </w:r>
      <w:r w:rsidR="00593A4A" w:rsidRPr="00593A4A">
        <w:rPr>
          <w:sz w:val="24"/>
          <w:lang w:val="sl-SI"/>
        </w:rPr>
        <w:t xml:space="preserve"> </w:t>
      </w:r>
      <w:r w:rsidR="00593A4A" w:rsidRPr="00593A4A">
        <w:rPr>
          <w:sz w:val="24"/>
          <w:lang w:val="sl-SI"/>
        </w:rPr>
        <w:tab/>
      </w:r>
      <w:r w:rsidRPr="00593A4A">
        <w:rPr>
          <w:sz w:val="24"/>
          <w:lang w:val="sl-SI"/>
        </w:rPr>
        <w:t>UL C, C/2023/594, 27.10.2023.</w:t>
      </w:r>
    </w:p>
  </w:footnote>
  <w:footnote w:id="2">
    <w:p w:rsidR="00D71E25" w:rsidRPr="00593A4A" w:rsidRDefault="00D71E25" w:rsidP="00593A4A">
      <w:pPr>
        <w:pStyle w:val="FootnoteText"/>
        <w:ind w:left="567" w:hanging="567"/>
        <w:rPr>
          <w:sz w:val="24"/>
          <w:lang w:val="sl-SI"/>
        </w:rPr>
      </w:pPr>
      <w:r w:rsidRPr="00593A4A">
        <w:rPr>
          <w:rStyle w:val="FootnoteReference"/>
          <w:sz w:val="24"/>
          <w:lang w:val="sl-SI"/>
        </w:rPr>
        <w:footnoteRef/>
      </w:r>
      <w:r w:rsidR="00593A4A" w:rsidRPr="00593A4A">
        <w:rPr>
          <w:sz w:val="24"/>
          <w:lang w:val="sl-SI"/>
        </w:rPr>
        <w:t xml:space="preserve"> </w:t>
      </w:r>
      <w:r w:rsidR="00593A4A" w:rsidRPr="00593A4A">
        <w:rPr>
          <w:sz w:val="24"/>
          <w:lang w:val="sl-SI"/>
        </w:rPr>
        <w:tab/>
      </w:r>
      <w:r w:rsidRPr="00593A4A">
        <w:rPr>
          <w:sz w:val="24"/>
          <w:lang w:val="sl-SI"/>
        </w:rPr>
        <w:t>UL C, C/2023/112, 12.10.2023.</w:t>
      </w:r>
    </w:p>
  </w:footnote>
  <w:footnote w:id="3">
    <w:p w:rsidR="00D71E25" w:rsidRPr="00593A4A" w:rsidRDefault="00D71E25" w:rsidP="00593A4A">
      <w:pPr>
        <w:pStyle w:val="FootnoteText"/>
        <w:ind w:left="567" w:hanging="567"/>
        <w:rPr>
          <w:sz w:val="24"/>
          <w:lang w:val="sl-SI"/>
        </w:rPr>
      </w:pPr>
      <w:r w:rsidRPr="00593A4A">
        <w:rPr>
          <w:rStyle w:val="FootnoteReference"/>
          <w:sz w:val="24"/>
          <w:lang w:val="sl-SI"/>
        </w:rPr>
        <w:footnoteRef/>
      </w:r>
      <w:r w:rsidR="00593A4A" w:rsidRPr="00593A4A">
        <w:rPr>
          <w:sz w:val="24"/>
          <w:lang w:val="sl-SI"/>
        </w:rPr>
        <w:t xml:space="preserve"> </w:t>
      </w:r>
      <w:r w:rsidR="00593A4A" w:rsidRPr="00593A4A">
        <w:rPr>
          <w:sz w:val="24"/>
          <w:lang w:val="sl-SI"/>
        </w:rPr>
        <w:tab/>
      </w:r>
      <w:r w:rsidRPr="00593A4A">
        <w:rPr>
          <w:sz w:val="24"/>
          <w:lang w:val="sl-SI"/>
        </w:rPr>
        <w:t>UL L 193, 30.7.2018, str. 1.</w:t>
      </w:r>
    </w:p>
  </w:footnote>
  <w:footnote w:id="4">
    <w:p w:rsidR="00D71E25" w:rsidRPr="00593A4A" w:rsidRDefault="00D71E25" w:rsidP="00593A4A">
      <w:pPr>
        <w:pStyle w:val="FootnoteText"/>
        <w:ind w:left="567" w:hanging="567"/>
        <w:rPr>
          <w:sz w:val="24"/>
          <w:lang w:val="sl-SI"/>
        </w:rPr>
      </w:pPr>
      <w:r w:rsidRPr="00593A4A">
        <w:rPr>
          <w:rStyle w:val="FootnoteReference"/>
          <w:sz w:val="24"/>
          <w:lang w:val="sl-SI"/>
        </w:rPr>
        <w:footnoteRef/>
      </w:r>
      <w:r w:rsidR="00593A4A" w:rsidRPr="00593A4A">
        <w:rPr>
          <w:sz w:val="24"/>
          <w:lang w:val="sl-SI"/>
        </w:rPr>
        <w:t xml:space="preserve"> </w:t>
      </w:r>
      <w:r w:rsidR="00593A4A" w:rsidRPr="00593A4A">
        <w:rPr>
          <w:sz w:val="24"/>
          <w:lang w:val="sl-SI"/>
        </w:rPr>
        <w:tab/>
      </w:r>
      <w:r w:rsidRPr="00593A4A">
        <w:rPr>
          <w:sz w:val="24"/>
          <w:lang w:val="sl-SI"/>
        </w:rPr>
        <w:t>UL L 208, 5.8.2002, str. 1.</w:t>
      </w:r>
    </w:p>
  </w:footnote>
  <w:footnote w:id="5">
    <w:p w:rsidR="00D71E25" w:rsidRPr="00593A4A" w:rsidRDefault="00D71E25" w:rsidP="00593A4A">
      <w:pPr>
        <w:pStyle w:val="FootnoteText"/>
        <w:ind w:left="567" w:hanging="567"/>
        <w:rPr>
          <w:sz w:val="24"/>
          <w:lang w:val="sl-SI"/>
        </w:rPr>
      </w:pPr>
      <w:r w:rsidRPr="00593A4A">
        <w:rPr>
          <w:rStyle w:val="FootnoteReference"/>
          <w:sz w:val="24"/>
          <w:lang w:val="sl-SI"/>
        </w:rPr>
        <w:footnoteRef/>
      </w:r>
      <w:r w:rsidR="00593A4A" w:rsidRPr="00593A4A">
        <w:rPr>
          <w:sz w:val="24"/>
          <w:lang w:val="sl-SI"/>
        </w:rPr>
        <w:t xml:space="preserve"> </w:t>
      </w:r>
      <w:r w:rsidR="00593A4A" w:rsidRPr="00593A4A">
        <w:rPr>
          <w:sz w:val="24"/>
          <w:lang w:val="sl-SI"/>
        </w:rPr>
        <w:tab/>
      </w:r>
      <w:r w:rsidRPr="00593A4A">
        <w:rPr>
          <w:sz w:val="24"/>
          <w:lang w:val="sl-SI"/>
        </w:rPr>
        <w:t>UL L 122, 10.5.2019, str. 1.</w:t>
      </w:r>
    </w:p>
  </w:footnote>
  <w:footnote w:id="6">
    <w:p w:rsidR="00D71E25" w:rsidRPr="00593A4A" w:rsidRDefault="00D71E25" w:rsidP="00593A4A">
      <w:pPr>
        <w:pStyle w:val="FootnoteText"/>
        <w:ind w:left="567" w:hanging="567"/>
        <w:rPr>
          <w:sz w:val="24"/>
          <w:lang w:val="sl-SI"/>
        </w:rPr>
      </w:pPr>
      <w:r w:rsidRPr="00593A4A">
        <w:rPr>
          <w:rStyle w:val="FootnoteReference"/>
          <w:sz w:val="24"/>
          <w:lang w:val="sl-SI"/>
        </w:rPr>
        <w:footnoteRef/>
      </w:r>
      <w:r w:rsidR="00593A4A" w:rsidRPr="00593A4A">
        <w:rPr>
          <w:sz w:val="24"/>
          <w:lang w:val="sl-SI"/>
        </w:rPr>
        <w:t xml:space="preserve"> </w:t>
      </w:r>
      <w:r w:rsidR="00593A4A" w:rsidRPr="00593A4A">
        <w:rPr>
          <w:sz w:val="24"/>
          <w:lang w:val="sl-SI"/>
        </w:rPr>
        <w:tab/>
      </w:r>
      <w:r w:rsidRPr="00593A4A">
        <w:rPr>
          <w:sz w:val="24"/>
          <w:lang w:val="sl-SI"/>
        </w:rPr>
        <w:t>UL C, C/2023/594, 27.10.2023.</w:t>
      </w:r>
    </w:p>
  </w:footnote>
  <w:footnote w:id="7">
    <w:p w:rsidR="00D71E25" w:rsidRPr="00593A4A" w:rsidRDefault="00D71E25" w:rsidP="00593A4A">
      <w:pPr>
        <w:pStyle w:val="FootnoteText"/>
        <w:ind w:left="567" w:hanging="567"/>
        <w:rPr>
          <w:sz w:val="24"/>
          <w:lang w:val="sl-SI"/>
        </w:rPr>
      </w:pPr>
      <w:r w:rsidRPr="00593A4A">
        <w:rPr>
          <w:rStyle w:val="FootnoteReference"/>
          <w:sz w:val="24"/>
          <w:lang w:val="sl-SI"/>
        </w:rPr>
        <w:footnoteRef/>
      </w:r>
      <w:r w:rsidR="00593A4A" w:rsidRPr="00593A4A">
        <w:rPr>
          <w:sz w:val="24"/>
          <w:lang w:val="sl-SI"/>
        </w:rPr>
        <w:t xml:space="preserve"> </w:t>
      </w:r>
      <w:r w:rsidR="00593A4A" w:rsidRPr="00593A4A">
        <w:rPr>
          <w:sz w:val="24"/>
          <w:lang w:val="sl-SI"/>
        </w:rPr>
        <w:tab/>
      </w:r>
      <w:r w:rsidRPr="00593A4A">
        <w:rPr>
          <w:sz w:val="24"/>
          <w:lang w:val="sl-SI"/>
        </w:rPr>
        <w:t>UL C, C/2023/112, 12.10.2023.</w:t>
      </w:r>
    </w:p>
  </w:footnote>
  <w:footnote w:id="8">
    <w:p w:rsidR="00D71E25" w:rsidRPr="00593A4A" w:rsidRDefault="00D71E25" w:rsidP="00593A4A">
      <w:pPr>
        <w:pStyle w:val="FootnoteText"/>
        <w:ind w:left="567" w:hanging="567"/>
        <w:rPr>
          <w:sz w:val="24"/>
          <w:lang w:val="sl-SI"/>
        </w:rPr>
      </w:pPr>
      <w:r w:rsidRPr="00593A4A">
        <w:rPr>
          <w:rStyle w:val="FootnoteReference"/>
          <w:sz w:val="24"/>
          <w:lang w:val="sl-SI"/>
        </w:rPr>
        <w:footnoteRef/>
      </w:r>
      <w:r w:rsidR="00593A4A" w:rsidRPr="00593A4A">
        <w:rPr>
          <w:sz w:val="24"/>
          <w:lang w:val="sl-SI"/>
        </w:rPr>
        <w:t xml:space="preserve"> </w:t>
      </w:r>
      <w:r w:rsidR="00593A4A" w:rsidRPr="00593A4A">
        <w:rPr>
          <w:sz w:val="24"/>
          <w:lang w:val="sl-SI"/>
        </w:rPr>
        <w:tab/>
      </w:r>
      <w:r w:rsidRPr="00593A4A">
        <w:rPr>
          <w:sz w:val="24"/>
          <w:lang w:val="sl-SI"/>
        </w:rPr>
        <w:t>UL L 193, 30.7.2018, str. 1.</w:t>
      </w:r>
    </w:p>
  </w:footnote>
  <w:footnote w:id="9">
    <w:p w:rsidR="00D71E25" w:rsidRPr="00593A4A" w:rsidRDefault="00D71E25" w:rsidP="00593A4A">
      <w:pPr>
        <w:pStyle w:val="FootnoteText"/>
        <w:ind w:left="567" w:hanging="567"/>
        <w:rPr>
          <w:sz w:val="24"/>
          <w:lang w:val="sl-SI"/>
        </w:rPr>
      </w:pPr>
      <w:r w:rsidRPr="00593A4A">
        <w:rPr>
          <w:rStyle w:val="FootnoteReference"/>
          <w:sz w:val="24"/>
          <w:lang w:val="sl-SI"/>
        </w:rPr>
        <w:footnoteRef/>
      </w:r>
      <w:r w:rsidR="00593A4A" w:rsidRPr="00593A4A">
        <w:rPr>
          <w:sz w:val="24"/>
          <w:lang w:val="sl-SI"/>
        </w:rPr>
        <w:t xml:space="preserve"> </w:t>
      </w:r>
      <w:r w:rsidR="00593A4A" w:rsidRPr="00593A4A">
        <w:rPr>
          <w:sz w:val="24"/>
          <w:lang w:val="sl-SI"/>
        </w:rPr>
        <w:tab/>
      </w:r>
      <w:r w:rsidRPr="00593A4A">
        <w:rPr>
          <w:sz w:val="24"/>
          <w:lang w:val="sl-SI"/>
        </w:rPr>
        <w:t>UL L 208, 5.8.2002, str. 1.</w:t>
      </w:r>
    </w:p>
  </w:footnote>
  <w:footnote w:id="10">
    <w:p w:rsidR="00D71E25" w:rsidRPr="00593A4A" w:rsidRDefault="00D71E25" w:rsidP="00593A4A">
      <w:pPr>
        <w:pStyle w:val="FootnoteText"/>
        <w:ind w:left="567" w:hanging="567"/>
        <w:rPr>
          <w:sz w:val="24"/>
          <w:lang w:val="sl-SI"/>
        </w:rPr>
      </w:pPr>
      <w:r w:rsidRPr="00593A4A">
        <w:rPr>
          <w:rStyle w:val="FootnoteReference"/>
          <w:sz w:val="24"/>
          <w:lang w:val="sl-SI"/>
        </w:rPr>
        <w:footnoteRef/>
      </w:r>
      <w:r w:rsidR="00593A4A" w:rsidRPr="00593A4A">
        <w:rPr>
          <w:sz w:val="24"/>
          <w:lang w:val="sl-SI"/>
        </w:rPr>
        <w:t xml:space="preserve"> </w:t>
      </w:r>
      <w:r w:rsidR="00593A4A" w:rsidRPr="00593A4A">
        <w:rPr>
          <w:sz w:val="24"/>
          <w:lang w:val="sl-SI"/>
        </w:rPr>
        <w:tab/>
      </w:r>
      <w:r w:rsidRPr="00593A4A">
        <w:rPr>
          <w:sz w:val="24"/>
          <w:lang w:val="sl-SI"/>
        </w:rPr>
        <w:t>UL L 122, 10.5.2019, str. 1.</w:t>
      </w:r>
    </w:p>
  </w:footnote>
  <w:footnote w:id="11">
    <w:p w:rsidR="00D71E25" w:rsidRPr="00593A4A" w:rsidRDefault="00D71E25" w:rsidP="00B75CC8">
      <w:pPr>
        <w:pStyle w:val="FootnoteText"/>
        <w:ind w:left="567" w:hanging="567"/>
        <w:rPr>
          <w:sz w:val="24"/>
          <w:lang w:val="sl-SI"/>
        </w:rPr>
      </w:pPr>
      <w:r w:rsidRPr="00593A4A">
        <w:rPr>
          <w:rStyle w:val="FootnoteReference"/>
          <w:sz w:val="24"/>
          <w:lang w:val="sl-SI"/>
        </w:rPr>
        <w:footnoteRef/>
      </w:r>
      <w:r w:rsidR="00593A4A" w:rsidRPr="00593A4A">
        <w:rPr>
          <w:sz w:val="24"/>
          <w:lang w:val="sl-SI"/>
        </w:rPr>
        <w:t xml:space="preserve"> </w:t>
      </w:r>
      <w:r w:rsidR="00593A4A" w:rsidRPr="00593A4A">
        <w:rPr>
          <w:sz w:val="24"/>
          <w:lang w:val="sl-SI"/>
        </w:rPr>
        <w:tab/>
      </w:r>
      <w:r w:rsidRPr="00593A4A">
        <w:rPr>
          <w:sz w:val="24"/>
          <w:lang w:val="sl-SI"/>
        </w:rPr>
        <w:t>UL C 73, 28.2.2023, str.</w:t>
      </w:r>
      <w:r w:rsidR="00544CB3">
        <w:rPr>
          <w:sz w:val="24"/>
          <w:lang w:val="sl-SI"/>
        </w:rPr>
        <w:t xml:space="preserve"> </w:t>
      </w:r>
      <w:r w:rsidRPr="00593A4A">
        <w:rPr>
          <w:sz w:val="24"/>
          <w:lang w:val="sl-SI"/>
        </w:rPr>
        <w:t>9</w:t>
      </w:r>
      <w:r w:rsidR="00B75CC8">
        <w:rPr>
          <w:sz w:val="24"/>
          <w:lang w:val="sl-SI"/>
        </w:rPr>
        <w:t>1</w:t>
      </w:r>
      <w:bookmarkStart w:id="10" w:name="_GoBack"/>
      <w:bookmarkEnd w:id="10"/>
      <w:r w:rsidRPr="00593A4A">
        <w:rPr>
          <w:sz w:val="24"/>
          <w:lang w:val="sl-SI"/>
        </w:rPr>
        <w:t>.</w:t>
      </w:r>
    </w:p>
  </w:footnote>
  <w:footnote w:id="12">
    <w:p w:rsidR="00D71E25" w:rsidRPr="00593A4A" w:rsidRDefault="00D71E25" w:rsidP="00593A4A">
      <w:pPr>
        <w:pStyle w:val="FootnoteText"/>
        <w:ind w:left="567" w:hanging="567"/>
        <w:rPr>
          <w:sz w:val="24"/>
          <w:lang w:val="sl-SI"/>
        </w:rPr>
      </w:pPr>
      <w:r w:rsidRPr="00593A4A">
        <w:rPr>
          <w:rStyle w:val="FootnoteReference"/>
          <w:sz w:val="24"/>
          <w:lang w:val="sl-SI"/>
        </w:rPr>
        <w:footnoteRef/>
      </w:r>
      <w:r w:rsidR="00593A4A" w:rsidRPr="00593A4A">
        <w:rPr>
          <w:sz w:val="24"/>
          <w:lang w:val="sl-SI"/>
        </w:rPr>
        <w:t xml:space="preserve"> </w:t>
      </w:r>
      <w:r w:rsidR="00593A4A" w:rsidRPr="00593A4A">
        <w:rPr>
          <w:sz w:val="24"/>
          <w:lang w:val="sl-SI"/>
        </w:rPr>
        <w:tab/>
      </w:r>
      <w:r w:rsidRPr="00593A4A">
        <w:rPr>
          <w:sz w:val="24"/>
          <w:lang w:val="sl-SI"/>
        </w:rPr>
        <w:t>Sprejeta besedila na ta dan, P9_TA(2024)</w:t>
      </w:r>
      <w:r w:rsidR="00F658EC">
        <w:rPr>
          <w:sz w:val="24"/>
          <w:lang w:val="sl-SI"/>
        </w:rPr>
        <w:t>0280</w:t>
      </w:r>
      <w:r w:rsidRPr="00593A4A">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E25" w:rsidRPr="00593A4A" w:rsidRDefault="00D71E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E25" w:rsidRPr="00593A4A" w:rsidRDefault="00D71E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1E25" w:rsidRPr="00593A4A" w:rsidRDefault="00D71E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3A4A"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3A4A"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93A4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SL"/>
    <w:docVar w:name="dvnumam" w:val="0"/>
    <w:docVar w:name="dvpe" w:val="753.526"/>
    <w:docVar w:name="dvrapporteur" w:val="Poročevalec: "/>
    <w:docVar w:name="dvtitre" w:val="Sklep Evropskega parlamenta z dne … 2024 o razrešnici glede izvrševanja proračuna Evropske agencije za pomorsko varnost za proračunsko leto 2022(2023/2158(DEC))"/>
  </w:docVars>
  <w:rsids>
    <w:rsidRoot w:val="003E729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3E7297"/>
    <w:rsid w:val="00411CCE"/>
    <w:rsid w:val="0041666E"/>
    <w:rsid w:val="00421060"/>
    <w:rsid w:val="00471C19"/>
    <w:rsid w:val="004867E3"/>
    <w:rsid w:val="00494A28"/>
    <w:rsid w:val="004C0004"/>
    <w:rsid w:val="004C5D52"/>
    <w:rsid w:val="004D02D0"/>
    <w:rsid w:val="0050519A"/>
    <w:rsid w:val="005072A1"/>
    <w:rsid w:val="00514517"/>
    <w:rsid w:val="00544CB3"/>
    <w:rsid w:val="00545827"/>
    <w:rsid w:val="00560270"/>
    <w:rsid w:val="00593A4A"/>
    <w:rsid w:val="005C2568"/>
    <w:rsid w:val="006037C0"/>
    <w:rsid w:val="006631B6"/>
    <w:rsid w:val="00680577"/>
    <w:rsid w:val="006F74FA"/>
    <w:rsid w:val="00731ADD"/>
    <w:rsid w:val="00734777"/>
    <w:rsid w:val="00747932"/>
    <w:rsid w:val="00751A4A"/>
    <w:rsid w:val="00756632"/>
    <w:rsid w:val="00762C74"/>
    <w:rsid w:val="00786EC0"/>
    <w:rsid w:val="007C3E28"/>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6655"/>
    <w:rsid w:val="00A1687D"/>
    <w:rsid w:val="00A43E52"/>
    <w:rsid w:val="00A4678D"/>
    <w:rsid w:val="00A778C7"/>
    <w:rsid w:val="00AB441E"/>
    <w:rsid w:val="00AB6293"/>
    <w:rsid w:val="00AE0928"/>
    <w:rsid w:val="00AF3B82"/>
    <w:rsid w:val="00B12E95"/>
    <w:rsid w:val="00B22876"/>
    <w:rsid w:val="00B558F0"/>
    <w:rsid w:val="00B75CC8"/>
    <w:rsid w:val="00BD48FE"/>
    <w:rsid w:val="00BD7BD8"/>
    <w:rsid w:val="00BE6ADC"/>
    <w:rsid w:val="00C05BFE"/>
    <w:rsid w:val="00C23CD4"/>
    <w:rsid w:val="00C61C0C"/>
    <w:rsid w:val="00C941CB"/>
    <w:rsid w:val="00CC2357"/>
    <w:rsid w:val="00CF071A"/>
    <w:rsid w:val="00D058B8"/>
    <w:rsid w:val="00D56C11"/>
    <w:rsid w:val="00D71E25"/>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58E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62C327"/>
  <w15:chartTrackingRefBased/>
  <w15:docId w15:val="{55F58FCE-BD9B-4629-92AD-6AF0CC128E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71E2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71E25"/>
    <w:pPr>
      <w:spacing w:before="480" w:after="240"/>
    </w:pPr>
  </w:style>
  <w:style w:type="paragraph" w:customStyle="1" w:styleId="PageHeading">
    <w:name w:val="PageHeading"/>
    <w:basedOn w:val="Normal"/>
    <w:rsid w:val="00D71E25"/>
    <w:pPr>
      <w:keepNext/>
      <w:spacing w:after="480"/>
      <w:jc w:val="center"/>
    </w:pPr>
    <w:rPr>
      <w:rFonts w:ascii="Arial" w:hAnsi="Arial" w:cs="Arial"/>
      <w:b/>
    </w:rPr>
  </w:style>
  <w:style w:type="paragraph" w:customStyle="1" w:styleId="NormalBold">
    <w:name w:val="NormalBold"/>
    <w:basedOn w:val="Normal"/>
    <w:rsid w:val="00D71E25"/>
    <w:rPr>
      <w:b/>
    </w:rPr>
  </w:style>
  <w:style w:type="paragraph" w:customStyle="1" w:styleId="NormalHanging12a">
    <w:name w:val="NormalHanging12a"/>
    <w:basedOn w:val="Normal"/>
    <w:link w:val="NormalHanging12aChar"/>
    <w:rsid w:val="00D71E25"/>
    <w:pPr>
      <w:spacing w:after="240"/>
      <w:ind w:left="567" w:hanging="567"/>
    </w:pPr>
  </w:style>
  <w:style w:type="paragraph" w:customStyle="1" w:styleId="NormalCenter12a">
    <w:name w:val="NormalCenter12a"/>
    <w:basedOn w:val="Normal"/>
    <w:rsid w:val="00D71E25"/>
    <w:pPr>
      <w:spacing w:after="240"/>
      <w:jc w:val="center"/>
    </w:pPr>
  </w:style>
  <w:style w:type="paragraph" w:styleId="Header">
    <w:name w:val="header"/>
    <w:basedOn w:val="Normal"/>
    <w:link w:val="HeaderChar"/>
    <w:rsid w:val="00D71E25"/>
    <w:pPr>
      <w:tabs>
        <w:tab w:val="center" w:pos="4513"/>
        <w:tab w:val="right" w:pos="9026"/>
      </w:tabs>
    </w:pPr>
  </w:style>
  <w:style w:type="character" w:customStyle="1" w:styleId="HeaderChar">
    <w:name w:val="Header Char"/>
    <w:basedOn w:val="DefaultParagraphFont"/>
    <w:link w:val="Header"/>
    <w:rsid w:val="00D71E25"/>
    <w:rPr>
      <w:sz w:val="24"/>
      <w:lang w:val="sl-SI"/>
    </w:rPr>
  </w:style>
  <w:style w:type="paragraph" w:customStyle="1" w:styleId="EPFooter">
    <w:name w:val="EPFooter"/>
    <w:basedOn w:val="Normal"/>
    <w:rsid w:val="00D71E2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D71E25"/>
    <w:rPr>
      <w:sz w:val="24"/>
      <w:lang w:val="sl-SI"/>
    </w:rPr>
  </w:style>
  <w:style w:type="paragraph" w:customStyle="1" w:styleId="Normal12Hanging">
    <w:name w:val="Normal12Hanging"/>
    <w:basedOn w:val="Normal"/>
    <w:rsid w:val="00D71E25"/>
    <w:pPr>
      <w:spacing w:after="240"/>
      <w:ind w:left="567" w:hanging="567"/>
    </w:pPr>
  </w:style>
  <w:style w:type="paragraph" w:styleId="BalloonText">
    <w:name w:val="Balloon Text"/>
    <w:basedOn w:val="Normal"/>
    <w:link w:val="BalloonTextChar"/>
    <w:rsid w:val="00544CB3"/>
    <w:rPr>
      <w:rFonts w:ascii="Segoe UI" w:hAnsi="Segoe UI" w:cs="Segoe UI"/>
      <w:sz w:val="18"/>
      <w:szCs w:val="18"/>
    </w:rPr>
  </w:style>
  <w:style w:type="character" w:customStyle="1" w:styleId="BalloonTextChar">
    <w:name w:val="Balloon Text Char"/>
    <w:basedOn w:val="DefaultParagraphFont"/>
    <w:link w:val="BalloonText"/>
    <w:rsid w:val="00544CB3"/>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61694-69A0-49F4-AFEE-123D11B08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2821</Words>
  <Characters>16751</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GOROPECNIK Tina</cp:lastModifiedBy>
  <cp:revision>2</cp:revision>
  <cp:lastPrinted>2004-11-19T15:42:00Z</cp:lastPrinted>
  <dcterms:created xsi:type="dcterms:W3CDTF">2024-05-22T12:39:00Z</dcterms:created>
  <dcterms:modified xsi:type="dcterms:W3CDTF">2024-05-22T12:39:00Z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P9_TA(2024)0248_</vt:lpwstr>
  </property>
  <property fmtid="{D5CDD505-2E9C-101B-9397-08002B2CF9AE}" pid="4" name="&lt;Type&gt;">
    <vt:lpwstr>RR</vt:lpwstr>
  </property>
</Properties>
</file>