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184F" w:rsidTr="0010095E">
        <w:trPr>
          <w:trHeight w:hRule="exact" w:val="1418"/>
        </w:trPr>
        <w:tc>
          <w:tcPr>
            <w:tcW w:w="6804" w:type="dxa"/>
            <w:shd w:val="clear" w:color="auto" w:fill="auto"/>
            <w:vAlign w:val="center"/>
          </w:tcPr>
          <w:p w:rsidR="00751A4A" w:rsidRPr="002D184F" w:rsidRDefault="00D03BD0" w:rsidP="0010095E">
            <w:pPr>
              <w:pStyle w:val="EPName"/>
            </w:pPr>
            <w:r w:rsidRPr="002D184F">
              <w:t>Europaparlamentet</w:t>
            </w:r>
          </w:p>
          <w:p w:rsidR="00751A4A" w:rsidRPr="002D184F" w:rsidRDefault="00817416" w:rsidP="00756632">
            <w:pPr>
              <w:pStyle w:val="EPTerm"/>
              <w:rPr>
                <w:rStyle w:val="HideTWBExt"/>
                <w:noProof w:val="0"/>
                <w:vanish w:val="0"/>
                <w:color w:val="auto"/>
              </w:rPr>
            </w:pPr>
            <w:r w:rsidRPr="002D184F">
              <w:t>2019-2024</w:t>
            </w:r>
          </w:p>
        </w:tc>
        <w:tc>
          <w:tcPr>
            <w:tcW w:w="2268" w:type="dxa"/>
            <w:shd w:val="clear" w:color="auto" w:fill="auto"/>
          </w:tcPr>
          <w:p w:rsidR="00751A4A" w:rsidRPr="002D184F" w:rsidRDefault="00187494" w:rsidP="0010095E">
            <w:pPr>
              <w:pStyle w:val="EPLogo"/>
            </w:pPr>
            <w:r w:rsidRPr="002D18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184F" w:rsidRDefault="00D058B8" w:rsidP="004C5D52">
      <w:pPr>
        <w:pStyle w:val="LineTop"/>
      </w:pPr>
    </w:p>
    <w:p w:rsidR="00680577" w:rsidRPr="002D184F" w:rsidRDefault="00D03BD0" w:rsidP="00680577">
      <w:pPr>
        <w:pStyle w:val="EPBodyTA1"/>
      </w:pPr>
      <w:r w:rsidRPr="002D184F">
        <w:t>ANTAGNA TEXTER</w:t>
      </w:r>
    </w:p>
    <w:p w:rsidR="00D058B8" w:rsidRPr="002D184F" w:rsidRDefault="00D058B8" w:rsidP="00D058B8">
      <w:pPr>
        <w:pStyle w:val="LineBottom"/>
      </w:pPr>
    </w:p>
    <w:p w:rsidR="00D03BD0" w:rsidRPr="002D184F" w:rsidRDefault="00D03BD0" w:rsidP="00D03BD0">
      <w:pPr>
        <w:pStyle w:val="ATHeading1"/>
      </w:pPr>
      <w:bookmarkStart w:id="0" w:name="TANumber"/>
      <w:r w:rsidRPr="002D184F">
        <w:t>P9_TA(2024)0</w:t>
      </w:r>
      <w:bookmarkEnd w:id="0"/>
      <w:r w:rsidR="002D184F" w:rsidRPr="002D184F">
        <w:t>248</w:t>
      </w:r>
    </w:p>
    <w:p w:rsidR="00D03BD0" w:rsidRPr="002D184F" w:rsidRDefault="00D03BD0" w:rsidP="00D03BD0">
      <w:pPr>
        <w:pStyle w:val="ATHeading2"/>
      </w:pPr>
      <w:bookmarkStart w:id="1" w:name="title"/>
      <w:r w:rsidRPr="002D184F">
        <w:t>Ansvarsfrihet 2022: Europeiska sjösäkerhetsbyrån</w:t>
      </w:r>
      <w:bookmarkEnd w:id="1"/>
    </w:p>
    <w:p w:rsidR="00D03BD0" w:rsidRPr="002D184F" w:rsidRDefault="00D03BD0" w:rsidP="00D03BD0">
      <w:pPr>
        <w:rPr>
          <w:i/>
          <w:vanish/>
        </w:rPr>
      </w:pPr>
      <w:r w:rsidRPr="002D184F">
        <w:rPr>
          <w:i/>
        </w:rPr>
        <w:fldChar w:fldCharType="begin"/>
      </w:r>
      <w:r w:rsidRPr="002D184F">
        <w:rPr>
          <w:i/>
        </w:rPr>
        <w:instrText xml:space="preserve"> TC"(</w:instrText>
      </w:r>
      <w:bookmarkStart w:id="2" w:name="DocNumber"/>
      <w:r w:rsidRPr="002D184F">
        <w:rPr>
          <w:i/>
        </w:rPr>
        <w:instrText>A9-0107/2024</w:instrText>
      </w:r>
      <w:bookmarkEnd w:id="2"/>
      <w:r w:rsidRPr="002D184F">
        <w:rPr>
          <w:i/>
        </w:rPr>
        <w:instrText xml:space="preserve"> - Föredragande: Petri Sarvamaa)"\l3 \n&gt; \* MERGEFORMAT </w:instrText>
      </w:r>
      <w:r w:rsidRPr="002D184F">
        <w:rPr>
          <w:i/>
        </w:rPr>
        <w:fldChar w:fldCharType="end"/>
      </w:r>
    </w:p>
    <w:p w:rsidR="00D03BD0" w:rsidRPr="002D184F" w:rsidRDefault="00D03BD0" w:rsidP="00D03BD0">
      <w:pPr>
        <w:rPr>
          <w:vanish/>
        </w:rPr>
      </w:pPr>
      <w:bookmarkStart w:id="3" w:name="Commission"/>
      <w:r w:rsidRPr="002D184F">
        <w:rPr>
          <w:vanish/>
        </w:rPr>
        <w:t>Budgetkontrollutskottet</w:t>
      </w:r>
      <w:bookmarkEnd w:id="3"/>
    </w:p>
    <w:p w:rsidR="00D03BD0" w:rsidRPr="002D184F" w:rsidRDefault="00D03BD0" w:rsidP="00D03BD0">
      <w:pPr>
        <w:rPr>
          <w:vanish/>
        </w:rPr>
      </w:pPr>
      <w:bookmarkStart w:id="4" w:name="PE"/>
      <w:r w:rsidRPr="002D184F">
        <w:rPr>
          <w:vanish/>
        </w:rPr>
        <w:t>PE753.526</w:t>
      </w:r>
      <w:bookmarkEnd w:id="4"/>
    </w:p>
    <w:p w:rsidR="00D03BD0" w:rsidRPr="002D184F" w:rsidRDefault="00CD3F2B" w:rsidP="00D03BD0">
      <w:pPr>
        <w:pStyle w:val="ATHeading3"/>
      </w:pPr>
      <w:bookmarkStart w:id="5" w:name="Sujet"/>
      <w:r w:rsidRPr="002D184F">
        <w:t>1. E</w:t>
      </w:r>
      <w:r w:rsidR="00D03BD0" w:rsidRPr="002D184F">
        <w:t>uropa</w:t>
      </w:r>
      <w:r w:rsidRPr="002D184F">
        <w:t>parlamentets beslut av den 11 april</w:t>
      </w:r>
      <w:r w:rsidR="00D03BD0" w:rsidRPr="002D184F">
        <w:t xml:space="preserve"> 2024 om ansvarsfrihet för genomförandet av budgeten för Europeiska sjösäkerhetsbyrån för budgetåret 2022</w:t>
      </w:r>
      <w:bookmarkEnd w:id="5"/>
      <w:r w:rsidR="00D03BD0" w:rsidRPr="002D184F">
        <w:t xml:space="preserve"> </w:t>
      </w:r>
      <w:bookmarkStart w:id="6" w:name="References"/>
      <w:r w:rsidR="00D03BD0" w:rsidRPr="002D184F">
        <w:t>(2023/2158(DEC))</w:t>
      </w:r>
      <w:bookmarkEnd w:id="6"/>
    </w:p>
    <w:p w:rsidR="00C300FA" w:rsidRPr="002D184F" w:rsidRDefault="00C300FA" w:rsidP="00C300FA">
      <w:pPr>
        <w:pStyle w:val="EPComma"/>
      </w:pPr>
      <w:bookmarkStart w:id="7" w:name="_Toc86200285"/>
      <w:bookmarkStart w:id="8" w:name="_Toc26759888"/>
      <w:r w:rsidRPr="002D184F">
        <w:rPr>
          <w:i/>
        </w:rPr>
        <w:t>Europaparlamentet fattar detta beslut</w:t>
      </w:r>
    </w:p>
    <w:p w:rsidR="00C300FA" w:rsidRPr="002D184F" w:rsidRDefault="00C300FA" w:rsidP="00C300FA">
      <w:pPr>
        <w:pStyle w:val="NormalHanging12a"/>
      </w:pPr>
      <w:r w:rsidRPr="002D184F">
        <w:t>–</w:t>
      </w:r>
      <w:r w:rsidRPr="002D184F">
        <w:tab/>
        <w:t>med beaktande av den slutliga årsredovisningen för Europeiska sjösäkerhetsbyrån för budgetåret 2022,</w:t>
      </w:r>
    </w:p>
    <w:p w:rsidR="00C300FA" w:rsidRPr="002D184F" w:rsidRDefault="00C300FA" w:rsidP="00C300FA">
      <w:pPr>
        <w:pStyle w:val="NormalHanging12a"/>
      </w:pPr>
      <w:r w:rsidRPr="002D184F">
        <w:t>–</w:t>
      </w:r>
      <w:r w:rsidRPr="002D184F">
        <w:tab/>
        <w:t>med beaktande av revisionsrättens årsrapport om EU:s byråer för budgetåret 2022, med byråernas svar</w:t>
      </w:r>
      <w:r w:rsidRPr="002D184F">
        <w:rPr>
          <w:rStyle w:val="FootnoteReference"/>
        </w:rPr>
        <w:footnoteReference w:id="1"/>
      </w:r>
      <w:r w:rsidRPr="002D184F">
        <w:t>,</w:t>
      </w:r>
    </w:p>
    <w:p w:rsidR="00C300FA" w:rsidRPr="002D184F" w:rsidRDefault="00C300FA" w:rsidP="00C300FA">
      <w:pPr>
        <w:pStyle w:val="NormalHanging12a"/>
      </w:pPr>
      <w:r w:rsidRPr="002D184F">
        <w:t>–</w:t>
      </w:r>
      <w:r w:rsidRPr="002D184F">
        <w:tab/>
        <w:t>med beaktande av förklaringen om räkenskapernas tillförlitlighet och de underliggande transaktionernas laglighet och korrekthet</w:t>
      </w:r>
      <w:r w:rsidRPr="002D184F">
        <w:rPr>
          <w:rStyle w:val="FootnoteReference"/>
        </w:rPr>
        <w:footnoteReference w:id="2"/>
      </w:r>
      <w:r w:rsidRPr="002D184F">
        <w:t>, som avgetts av revisionsrätten för budgetåret 2022 i enlighet med artikel 287 i fördraget om Europeiska unionens funktionssätt,</w:t>
      </w:r>
    </w:p>
    <w:p w:rsidR="00C300FA" w:rsidRPr="002D184F" w:rsidRDefault="00C300FA" w:rsidP="00C300FA">
      <w:pPr>
        <w:pStyle w:val="NormalHanging12a"/>
      </w:pPr>
      <w:r w:rsidRPr="002D184F">
        <w:t>–</w:t>
      </w:r>
      <w:r w:rsidRPr="002D184F">
        <w:tab/>
        <w:t>med beaktande av rådets rekommendation av den 22 februari 2024 om att bevilja byrån ansvarsfrihet för genomförandet av budgeten för budgetåret 2022 (</w:t>
      </w:r>
      <w:r w:rsidR="006531D8" w:rsidRPr="002D184F">
        <w:t>06180</w:t>
      </w:r>
      <w:r w:rsidRPr="002D184F">
        <w:t>/2024 – C9</w:t>
      </w:r>
      <w:r w:rsidRPr="002D184F">
        <w:noBreakHyphen/>
      </w:r>
      <w:r w:rsidR="006531D8" w:rsidRPr="002D184F">
        <w:t>0096</w:t>
      </w:r>
      <w:r w:rsidRPr="002D184F">
        <w:t>/2024),</w:t>
      </w:r>
    </w:p>
    <w:p w:rsidR="00C300FA" w:rsidRPr="002D184F" w:rsidRDefault="00C300FA" w:rsidP="00C300FA">
      <w:pPr>
        <w:pStyle w:val="NormalHanging12a"/>
      </w:pPr>
      <w:r w:rsidRPr="002D184F">
        <w:t>–</w:t>
      </w:r>
      <w:r w:rsidRPr="002D184F">
        <w:tab/>
        <w:t>med beaktande av artikel 319 i fördraget om Europeiska unionens funktionssätt,</w:t>
      </w:r>
    </w:p>
    <w:p w:rsidR="00C300FA" w:rsidRPr="002D184F" w:rsidRDefault="00C300FA" w:rsidP="00C300FA">
      <w:pPr>
        <w:pStyle w:val="NormalHanging12a"/>
      </w:pPr>
      <w:r w:rsidRPr="002D184F">
        <w:t>–</w:t>
      </w:r>
      <w:r w:rsidRPr="002D184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2D184F">
        <w:rPr>
          <w:rStyle w:val="FootnoteReference"/>
        </w:rPr>
        <w:footnoteReference w:id="3"/>
      </w:r>
      <w:r w:rsidRPr="002D184F">
        <w:t>, särskilt artikel 70,</w:t>
      </w:r>
    </w:p>
    <w:p w:rsidR="00C300FA" w:rsidRPr="002D184F" w:rsidRDefault="00C300FA" w:rsidP="00C300FA">
      <w:pPr>
        <w:pStyle w:val="NormalHanging12a"/>
      </w:pPr>
      <w:r w:rsidRPr="002D184F">
        <w:t>–</w:t>
      </w:r>
      <w:r w:rsidRPr="002D184F">
        <w:tab/>
        <w:t xml:space="preserve">med beaktande av Europaparlamentets och rådets förordning (EG) nr 1406/2002 av </w:t>
      </w:r>
      <w:r w:rsidRPr="002D184F">
        <w:lastRenderedPageBreak/>
        <w:t>den 27 juni 2002 om inrättande av en europeisk sjösäkerhetsbyrå</w:t>
      </w:r>
      <w:r w:rsidRPr="002D184F">
        <w:rPr>
          <w:rStyle w:val="FootnoteReference"/>
        </w:rPr>
        <w:footnoteReference w:id="4"/>
      </w:r>
      <w:r w:rsidRPr="002D184F">
        <w:t>, särskilt artikel 19,</w:t>
      </w:r>
    </w:p>
    <w:p w:rsidR="00C300FA" w:rsidRPr="002D184F" w:rsidRDefault="00C300FA" w:rsidP="00C300FA">
      <w:pPr>
        <w:pStyle w:val="NormalHanging12a"/>
      </w:pPr>
      <w:r w:rsidRPr="002D184F">
        <w:t>–</w:t>
      </w:r>
      <w:r w:rsidRPr="002D184F">
        <w:tab/>
        <w:t>med beaktande av kommissionens delegerade förordning (EU) 2019/715 av den 18 december 2018 med rambudgetförordning för de organ som inrättats enligt EUF</w:t>
      </w:r>
      <w:r w:rsidRPr="002D184F">
        <w:noBreakHyphen/>
        <w:t>fördraget och Euratomfördraget och som avses i artikel 70 i Europaparlamentets och rådets förordning (EU, Euratom) 2018/1046</w:t>
      </w:r>
      <w:r w:rsidRPr="002D184F">
        <w:rPr>
          <w:rStyle w:val="FootnoteReference"/>
        </w:rPr>
        <w:footnoteReference w:id="5"/>
      </w:r>
      <w:r w:rsidRPr="002D184F">
        <w:t>, särskilt artikel 105,</w:t>
      </w:r>
    </w:p>
    <w:p w:rsidR="00C300FA" w:rsidRPr="002D184F" w:rsidRDefault="00C300FA" w:rsidP="00C300FA">
      <w:pPr>
        <w:pStyle w:val="NormalHanging12a"/>
      </w:pPr>
      <w:r w:rsidRPr="002D184F">
        <w:t>–</w:t>
      </w:r>
      <w:r w:rsidRPr="002D184F">
        <w:tab/>
        <w:t>med beaktande av artikel 100 och bilaga V i arbetsordningen,</w:t>
      </w:r>
    </w:p>
    <w:p w:rsidR="00C300FA" w:rsidRPr="002D184F" w:rsidRDefault="00C300FA" w:rsidP="00C300FA">
      <w:pPr>
        <w:pStyle w:val="NormalHanging12a"/>
      </w:pPr>
      <w:r w:rsidRPr="002D184F">
        <w:t>–</w:t>
      </w:r>
      <w:r w:rsidRPr="002D184F">
        <w:tab/>
        <w:t>med beaktande av yttrandet från utskottet för transport och turism,</w:t>
      </w:r>
    </w:p>
    <w:p w:rsidR="00C300FA" w:rsidRPr="002D184F" w:rsidRDefault="00C300FA" w:rsidP="00C300FA">
      <w:pPr>
        <w:pStyle w:val="NormalHanging12a"/>
      </w:pPr>
      <w:r w:rsidRPr="002D184F">
        <w:t>–</w:t>
      </w:r>
      <w:r w:rsidRPr="002D184F">
        <w:tab/>
        <w:t>med beaktande av betänkandet från budgetkontrollutskottet (A9-0107/2024).</w:t>
      </w:r>
    </w:p>
    <w:p w:rsidR="00C300FA" w:rsidRPr="002D184F" w:rsidRDefault="00C300FA" w:rsidP="00C300FA">
      <w:pPr>
        <w:pStyle w:val="NormalHanging12a"/>
      </w:pPr>
      <w:r w:rsidRPr="002D184F">
        <w:t>1.</w:t>
      </w:r>
      <w:r w:rsidRPr="002D184F">
        <w:tab/>
        <w:t>Europaparlamentet beviljar verkställande direktören för Europeiska sjösäkerhetsbyrån ansvarsfrihet för genomförandet av byråns budget för budgetåret 2022.</w:t>
      </w:r>
    </w:p>
    <w:p w:rsidR="00C300FA" w:rsidRPr="002D184F" w:rsidRDefault="00C300FA" w:rsidP="00C300FA">
      <w:pPr>
        <w:pStyle w:val="NormalHanging12a"/>
      </w:pPr>
      <w:r w:rsidRPr="002D184F">
        <w:t>2.</w:t>
      </w:r>
      <w:r w:rsidRPr="002D184F">
        <w:tab/>
        <w:t>Europaparlamentet redovisar sina iakttagelser i resolutionen nedan.</w:t>
      </w:r>
    </w:p>
    <w:p w:rsidR="00C300FA" w:rsidRPr="002D184F" w:rsidRDefault="00C300FA" w:rsidP="00C300FA">
      <w:pPr>
        <w:pStyle w:val="NormalHanging12a"/>
      </w:pPr>
      <w:r w:rsidRPr="002D184F">
        <w:t>3.</w:t>
      </w:r>
      <w:r w:rsidRPr="002D184F">
        <w:tab/>
        <w:t xml:space="preserve">Europaparlamentet uppdrar åt talmannen att översända detta beslut och den resolution som utgör en del av beslutet till verkställande direktören för Europeiska sjösäkerhetsbyrån, rådet, kommissionen och revisionsrätten samt att se till att de offentliggörs i </w:t>
      </w:r>
      <w:r w:rsidRPr="002D184F">
        <w:rPr>
          <w:i/>
          <w:iCs/>
        </w:rPr>
        <w:t>Europeiska unionens officiella tidning</w:t>
      </w:r>
      <w:r w:rsidRPr="002D184F">
        <w:t xml:space="preserve"> (L</w:t>
      </w:r>
      <w:r w:rsidRPr="002D184F">
        <w:noBreakHyphen/>
        <w:t>serien).</w:t>
      </w:r>
    </w:p>
    <w:p w:rsidR="00C300FA" w:rsidRPr="002D184F" w:rsidRDefault="00C300FA" w:rsidP="00C300FA">
      <w:pPr>
        <w:widowControl/>
        <w:rPr>
          <w:rFonts w:ascii="Arial" w:hAnsi="Arial" w:cs="Arial"/>
          <w:b/>
        </w:rPr>
        <w:sectPr w:rsidR="00C300FA" w:rsidRPr="002D184F" w:rsidSect="002C059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300FA" w:rsidRPr="002D184F" w:rsidRDefault="00CD3F2B" w:rsidP="00CD3F2B">
      <w:pPr>
        <w:pStyle w:val="ATHeading3"/>
      </w:pPr>
      <w:r w:rsidRPr="002D184F">
        <w:lastRenderedPageBreak/>
        <w:t xml:space="preserve">2. Europaparlamentets beslut av den 11 april 2024 </w:t>
      </w:r>
      <w:r w:rsidR="00C300FA" w:rsidRPr="002D184F">
        <w:t>om avslutande av räkenskaperna för Europeiska sjösäkerhetsbyrån för budgetåret 2022</w:t>
      </w:r>
      <w:r w:rsidRPr="002D184F">
        <w:t xml:space="preserve"> </w:t>
      </w:r>
      <w:r w:rsidR="00C300FA" w:rsidRPr="002D184F">
        <w:t>(2023/2158(DEC))</w:t>
      </w:r>
    </w:p>
    <w:p w:rsidR="00C300FA" w:rsidRPr="002D184F" w:rsidRDefault="00C300FA" w:rsidP="00C300FA">
      <w:pPr>
        <w:pStyle w:val="EPComma"/>
      </w:pPr>
      <w:r w:rsidRPr="002D184F">
        <w:rPr>
          <w:i/>
        </w:rPr>
        <w:t>Europaparlamentet fattar detta beslut</w:t>
      </w:r>
    </w:p>
    <w:p w:rsidR="00C300FA" w:rsidRPr="002D184F" w:rsidRDefault="00C300FA" w:rsidP="00C300FA">
      <w:pPr>
        <w:pStyle w:val="NormalHanging12a"/>
      </w:pPr>
      <w:r w:rsidRPr="002D184F">
        <w:t>–</w:t>
      </w:r>
      <w:r w:rsidRPr="002D184F">
        <w:tab/>
        <w:t>med beaktande av den slutliga årsredovisningen för Europeiska sjösäkerhetsbyrån för budgetåret 2022,</w:t>
      </w:r>
    </w:p>
    <w:p w:rsidR="00C300FA" w:rsidRPr="002D184F" w:rsidRDefault="00C300FA" w:rsidP="00C300FA">
      <w:pPr>
        <w:pStyle w:val="NormalHanging12a"/>
      </w:pPr>
      <w:r w:rsidRPr="002D184F">
        <w:t>–</w:t>
      </w:r>
      <w:r w:rsidRPr="002D184F">
        <w:tab/>
        <w:t>med beaktande av revisionsrättens årsrapport om EU:s byråer för budgetåret 2022, med byråernas svar</w:t>
      </w:r>
      <w:r w:rsidRPr="002D184F">
        <w:rPr>
          <w:rStyle w:val="FootnoteReference"/>
        </w:rPr>
        <w:footnoteReference w:id="6"/>
      </w:r>
      <w:r w:rsidRPr="002D184F">
        <w:t>,</w:t>
      </w:r>
    </w:p>
    <w:p w:rsidR="00C300FA" w:rsidRPr="002D184F" w:rsidRDefault="00C300FA" w:rsidP="00C300FA">
      <w:pPr>
        <w:pStyle w:val="NormalHanging12a"/>
      </w:pPr>
      <w:r w:rsidRPr="002D184F">
        <w:t>–</w:t>
      </w:r>
      <w:r w:rsidRPr="002D184F">
        <w:tab/>
        <w:t>med beaktande av förklaringen om räkenskapernas tillförlitlighet och de underliggande transaktionernas laglighet och korrekthet</w:t>
      </w:r>
      <w:r w:rsidRPr="002D184F">
        <w:rPr>
          <w:rStyle w:val="FootnoteReference"/>
        </w:rPr>
        <w:footnoteReference w:id="7"/>
      </w:r>
      <w:r w:rsidRPr="002D184F">
        <w:t>, som avgetts av revisionsrätten för budgetåret 2022 i enlighet med artikel 287 i fördraget om Europeiska unionens funktionssätt,</w:t>
      </w:r>
    </w:p>
    <w:p w:rsidR="00C300FA" w:rsidRPr="002D184F" w:rsidRDefault="00C300FA" w:rsidP="00C300FA">
      <w:pPr>
        <w:pStyle w:val="NormalHanging12a"/>
      </w:pPr>
      <w:r w:rsidRPr="002D184F">
        <w:t>–</w:t>
      </w:r>
      <w:r w:rsidRPr="002D184F">
        <w:tab/>
        <w:t>med beaktande av rådets rekommendation av den 22 februari 2024 om att bevilja byrån ansvarsfrihet för genomförandet av budgeten för budgetåret 2022 (</w:t>
      </w:r>
      <w:r w:rsidR="006531D8" w:rsidRPr="002D184F">
        <w:t>06180</w:t>
      </w:r>
      <w:r w:rsidRPr="002D184F">
        <w:t>/2024 – C9</w:t>
      </w:r>
      <w:r w:rsidRPr="002D184F">
        <w:noBreakHyphen/>
      </w:r>
      <w:r w:rsidR="006531D8" w:rsidRPr="002D184F">
        <w:t>0096</w:t>
      </w:r>
      <w:r w:rsidRPr="002D184F">
        <w:t>/2024),</w:t>
      </w:r>
    </w:p>
    <w:p w:rsidR="00C300FA" w:rsidRPr="002D184F" w:rsidRDefault="00C300FA" w:rsidP="00C300FA">
      <w:pPr>
        <w:pStyle w:val="NormalHanging12a"/>
      </w:pPr>
      <w:r w:rsidRPr="002D184F">
        <w:t>–</w:t>
      </w:r>
      <w:r w:rsidRPr="002D184F">
        <w:tab/>
        <w:t>med beaktande av artikel 319 i fördraget om Europeiska unionens funktionssätt,</w:t>
      </w:r>
    </w:p>
    <w:p w:rsidR="00C300FA" w:rsidRPr="002D184F" w:rsidRDefault="00C300FA" w:rsidP="00C300FA">
      <w:pPr>
        <w:pStyle w:val="NormalHanging12a"/>
      </w:pPr>
      <w:r w:rsidRPr="002D184F">
        <w:t>–</w:t>
      </w:r>
      <w:r w:rsidRPr="002D184F">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2D184F">
        <w:rPr>
          <w:rStyle w:val="FootnoteReference"/>
        </w:rPr>
        <w:footnoteReference w:id="8"/>
      </w:r>
      <w:r w:rsidRPr="002D184F">
        <w:t>, särskilt artikel 70,</w:t>
      </w:r>
    </w:p>
    <w:p w:rsidR="00C300FA" w:rsidRPr="002D184F" w:rsidRDefault="00C300FA" w:rsidP="00C300FA">
      <w:pPr>
        <w:pStyle w:val="NormalHanging12a"/>
      </w:pPr>
      <w:r w:rsidRPr="002D184F">
        <w:t>–</w:t>
      </w:r>
      <w:r w:rsidRPr="002D184F">
        <w:tab/>
        <w:t>med beaktande av Europaparlamentets och rådets förordning (EG) nr 1406/2002 av den 27 juni 2002 om inrättande av en europeisk sjösäkerhetsbyrå</w:t>
      </w:r>
      <w:r w:rsidRPr="002D184F">
        <w:rPr>
          <w:rStyle w:val="FootnoteReference"/>
        </w:rPr>
        <w:footnoteReference w:id="9"/>
      </w:r>
      <w:r w:rsidRPr="002D184F">
        <w:t>, särskilt artikel 19,</w:t>
      </w:r>
    </w:p>
    <w:p w:rsidR="00C300FA" w:rsidRPr="002D184F" w:rsidRDefault="00C300FA" w:rsidP="00C300FA">
      <w:pPr>
        <w:pStyle w:val="NormalHanging12a"/>
      </w:pPr>
      <w:r w:rsidRPr="002D184F">
        <w:t>–</w:t>
      </w:r>
      <w:r w:rsidRPr="002D184F">
        <w:tab/>
        <w:t>med beaktande av kommissionens delegerade förordning (EU) 2019/715 av den 18 december 2018 med rambudgetförordning för de organ som inrättats enligt EUF</w:t>
      </w:r>
      <w:r w:rsidRPr="002D184F">
        <w:noBreakHyphen/>
        <w:t>fördraget och Euratomfördraget och som avses i artikel 70 i Europaparlamentets och rådets förordning (EU, Euratom) 2018/1046</w:t>
      </w:r>
      <w:r w:rsidRPr="002D184F">
        <w:rPr>
          <w:rStyle w:val="FootnoteReference"/>
        </w:rPr>
        <w:footnoteReference w:id="10"/>
      </w:r>
      <w:r w:rsidRPr="002D184F">
        <w:t>, särskilt artikel 105,</w:t>
      </w:r>
    </w:p>
    <w:p w:rsidR="00C300FA" w:rsidRPr="002D184F" w:rsidRDefault="00C300FA" w:rsidP="00C300FA">
      <w:pPr>
        <w:pStyle w:val="NormalHanging12a"/>
      </w:pPr>
      <w:r w:rsidRPr="002D184F">
        <w:t>–</w:t>
      </w:r>
      <w:r w:rsidRPr="002D184F">
        <w:tab/>
        <w:t>med beaktande av artikel 100 och bilaga V i arbetsordningen,</w:t>
      </w:r>
    </w:p>
    <w:p w:rsidR="00C300FA" w:rsidRPr="002D184F" w:rsidRDefault="00C300FA" w:rsidP="00C300FA">
      <w:pPr>
        <w:pStyle w:val="NormalHanging12a"/>
      </w:pPr>
      <w:r w:rsidRPr="002D184F">
        <w:t>–</w:t>
      </w:r>
      <w:r w:rsidRPr="002D184F">
        <w:tab/>
        <w:t>med beaktande av yttrandet från utskottet för transport och turism,</w:t>
      </w:r>
    </w:p>
    <w:p w:rsidR="00C300FA" w:rsidRPr="002D184F" w:rsidRDefault="00C300FA" w:rsidP="00C300FA">
      <w:pPr>
        <w:pStyle w:val="NormalHanging12a"/>
      </w:pPr>
      <w:r w:rsidRPr="002D184F">
        <w:t>–</w:t>
      </w:r>
      <w:r w:rsidRPr="002D184F">
        <w:tab/>
        <w:t>med beaktande av betänkandet från budgetkontrollutskottet (A9-0107/2024).</w:t>
      </w:r>
    </w:p>
    <w:p w:rsidR="00C300FA" w:rsidRPr="002D184F" w:rsidRDefault="00C300FA" w:rsidP="00C300FA">
      <w:pPr>
        <w:pStyle w:val="NormalHanging12a"/>
      </w:pPr>
      <w:r w:rsidRPr="002D184F">
        <w:t>1.</w:t>
      </w:r>
      <w:r w:rsidRPr="002D184F">
        <w:tab/>
        <w:t>Europaparlamentet godkänner avslutandet av räkenskaperna för Europeiska sjösäkerhetsbyrån för budgetåret 2022.</w:t>
      </w:r>
    </w:p>
    <w:p w:rsidR="00C300FA" w:rsidRPr="002D184F" w:rsidRDefault="00C300FA" w:rsidP="00C300FA">
      <w:pPr>
        <w:pStyle w:val="NormalHanging12a"/>
      </w:pPr>
      <w:r w:rsidRPr="002D184F">
        <w:lastRenderedPageBreak/>
        <w:t>2.</w:t>
      </w:r>
      <w:r w:rsidRPr="002D184F">
        <w:tab/>
        <w:t xml:space="preserve">Europaparlamentet uppdrar åt talmannen att översända detta beslut till verkställande direktören för Europeiska byrån för luftfartssäkerhet, rådet, kommissionen och revisionsrätten samt att se till att det offentliggörs i </w:t>
      </w:r>
      <w:r w:rsidRPr="002D184F">
        <w:rPr>
          <w:i/>
          <w:iCs/>
        </w:rPr>
        <w:t>Europeiska unionens officiella tidning</w:t>
      </w:r>
      <w:r w:rsidRPr="002D184F">
        <w:t xml:space="preserve"> (L</w:t>
      </w:r>
      <w:r w:rsidRPr="002D184F">
        <w:noBreakHyphen/>
        <w:t>serien).</w:t>
      </w:r>
    </w:p>
    <w:p w:rsidR="00C300FA" w:rsidRPr="002D184F" w:rsidRDefault="00C300FA" w:rsidP="00C300FA">
      <w:pPr>
        <w:widowControl/>
        <w:rPr>
          <w:rFonts w:ascii="Arial" w:hAnsi="Arial" w:cs="Arial"/>
          <w:b/>
        </w:rPr>
        <w:sectPr w:rsidR="00C300FA" w:rsidRPr="002D184F" w:rsidSect="002C059E">
          <w:footnotePr>
            <w:numRestart w:val="eachPage"/>
          </w:footnotePr>
          <w:endnotePr>
            <w:numFmt w:val="decimal"/>
          </w:endnotePr>
          <w:pgSz w:w="11906" w:h="16838"/>
          <w:pgMar w:top="1134" w:right="1418" w:bottom="1418" w:left="1418" w:header="567" w:footer="567" w:gutter="0"/>
          <w:cols w:space="720"/>
          <w:docGrid w:linePitch="326"/>
        </w:sectPr>
      </w:pPr>
    </w:p>
    <w:bookmarkEnd w:id="7"/>
    <w:bookmarkEnd w:id="8"/>
    <w:p w:rsidR="00C300FA" w:rsidRPr="002D184F" w:rsidRDefault="00CD3F2B" w:rsidP="00CD3F2B">
      <w:pPr>
        <w:pStyle w:val="ATHeading3"/>
      </w:pPr>
      <w:r w:rsidRPr="002D184F">
        <w:lastRenderedPageBreak/>
        <w:t xml:space="preserve">3. Europaparlamentets resolution av den 11 april 2024 </w:t>
      </w:r>
      <w:r w:rsidR="00C300FA" w:rsidRPr="002D184F">
        <w:t>med de iakttagelser som utgör en del av beslutet om ansvarsfrihet för genomförandet av budgeten för Europeiska sjösäkerhetsbyrån för budgetåret 2022</w:t>
      </w:r>
      <w:r w:rsidRPr="002D184F">
        <w:t xml:space="preserve"> </w:t>
      </w:r>
      <w:r w:rsidR="00C300FA" w:rsidRPr="002D184F">
        <w:t>(2023/2158(DEC))</w:t>
      </w:r>
    </w:p>
    <w:p w:rsidR="00C300FA" w:rsidRPr="002D184F" w:rsidRDefault="00C300FA" w:rsidP="00C300FA">
      <w:pPr>
        <w:pStyle w:val="EPComma"/>
      </w:pPr>
      <w:r w:rsidRPr="002D184F">
        <w:rPr>
          <w:i/>
        </w:rPr>
        <w:t>Europaparlamentet utfärdar denna resolution</w:t>
      </w:r>
    </w:p>
    <w:p w:rsidR="00C300FA" w:rsidRPr="002D184F" w:rsidRDefault="00C300FA" w:rsidP="00C300FA">
      <w:pPr>
        <w:pStyle w:val="NormalHanging12a"/>
      </w:pPr>
      <w:r w:rsidRPr="002D184F">
        <w:t>–</w:t>
      </w:r>
      <w:r w:rsidRPr="002D184F">
        <w:tab/>
        <w:t>med beaktande av sitt beslut om ansvarsfrihet för genomförandet av budgeten för Europeiska sjösäkerhetsbyrån för budgetåret 2022,</w:t>
      </w:r>
    </w:p>
    <w:p w:rsidR="00C300FA" w:rsidRPr="002D184F" w:rsidRDefault="00C300FA" w:rsidP="00C300FA">
      <w:pPr>
        <w:pStyle w:val="NormalHanging12a"/>
      </w:pPr>
      <w:r w:rsidRPr="002D184F">
        <w:t>–</w:t>
      </w:r>
      <w:r w:rsidRPr="002D184F">
        <w:tab/>
        <w:t>med beaktande av artikel 100 och bilaga V i arbetsordningen,</w:t>
      </w:r>
    </w:p>
    <w:p w:rsidR="00C300FA" w:rsidRPr="002D184F" w:rsidRDefault="00C300FA" w:rsidP="00C300FA">
      <w:pPr>
        <w:pStyle w:val="NormalHanging12a"/>
      </w:pPr>
      <w:r w:rsidRPr="002D184F">
        <w:t>–</w:t>
      </w:r>
      <w:r w:rsidRPr="002D184F">
        <w:tab/>
        <w:t>med beaktande av yttrandet från utskottet för transport och turism,</w:t>
      </w:r>
    </w:p>
    <w:p w:rsidR="00C300FA" w:rsidRPr="002D184F" w:rsidRDefault="00C300FA" w:rsidP="00C300FA">
      <w:pPr>
        <w:pStyle w:val="NormalHanging12a"/>
      </w:pPr>
      <w:r w:rsidRPr="002D184F">
        <w:t>–</w:t>
      </w:r>
      <w:r w:rsidRPr="002D184F">
        <w:tab/>
        <w:t>med beaktande av betänkandet från budgetkontrollutskottet (A9-0107/2024), och av följande skäl:</w:t>
      </w:r>
    </w:p>
    <w:p w:rsidR="00C300FA" w:rsidRPr="002D184F" w:rsidRDefault="00C300FA" w:rsidP="00C300FA">
      <w:pPr>
        <w:spacing w:after="240"/>
        <w:ind w:left="567" w:hanging="567"/>
        <w:rPr>
          <w:szCs w:val="24"/>
        </w:rPr>
      </w:pPr>
      <w:r w:rsidRPr="002D184F">
        <w:t>A.</w:t>
      </w:r>
      <w:r w:rsidRPr="002D184F">
        <w:tab/>
        <w:t>Enligt sammanställningen över inkomster och utgifter</w:t>
      </w:r>
      <w:r w:rsidRPr="002D184F">
        <w:rPr>
          <w:rStyle w:val="FootnoteReference"/>
          <w:szCs w:val="24"/>
        </w:rPr>
        <w:footnoteReference w:id="11"/>
      </w:r>
      <w:r w:rsidRPr="002D184F">
        <w:t xml:space="preserve"> för Europeiska sjösäkerhetsbyrån (</w:t>
      </w:r>
      <w:r w:rsidRPr="002D184F">
        <w:rPr>
          <w:i/>
          <w:iCs/>
        </w:rPr>
        <w:t>byrån</w:t>
      </w:r>
      <w:r w:rsidRPr="002D184F">
        <w:t>) uppgick den slutliga budgeten för budgetåret 2022 till 115 807 269,88 EUR, vilket utgör en ökning med 9,48 % jämfört med 2021. Byråns budget kommer från unionens budget och driftsintäkter.</w:t>
      </w:r>
    </w:p>
    <w:p w:rsidR="00C300FA" w:rsidRPr="002D184F" w:rsidRDefault="00C300FA" w:rsidP="00C300FA">
      <w:pPr>
        <w:spacing w:after="240"/>
        <w:ind w:left="567" w:hanging="567"/>
        <w:rPr>
          <w:szCs w:val="24"/>
        </w:rPr>
      </w:pPr>
      <w:r w:rsidRPr="002D184F">
        <w:t>B.</w:t>
      </w:r>
      <w:r w:rsidRPr="002D184F">
        <w:tab/>
        <w:t>Revisionsrätten fastställer i sin rapport om årsredovisningen för byrån för budgetåret 2022 att man har uppnått en rimlig säkerhet om att byråns årliga räkenskaper är tillförlitliga och att de underliggande transaktionerna är lagliga och korrekta.</w:t>
      </w:r>
    </w:p>
    <w:p w:rsidR="00C300FA" w:rsidRPr="002D184F" w:rsidRDefault="00C300FA" w:rsidP="00C300FA">
      <w:pPr>
        <w:spacing w:after="240"/>
        <w:ind w:left="567" w:hanging="567"/>
        <w:rPr>
          <w:szCs w:val="24"/>
        </w:rPr>
      </w:pPr>
      <w:r w:rsidRPr="002D184F">
        <w:t>C.</w:t>
      </w:r>
      <w:r w:rsidRPr="002D184F">
        <w:tab/>
        <w:t>När det gäller byråns upphandlingssektor rapporterades inga problem som krävde korrigerande åtgärder för 2022, och det finns inte heller några pågående eller ej genomförda korrigera</w:t>
      </w:r>
      <w:bookmarkStart w:id="9" w:name="_GoBack"/>
      <w:bookmarkEnd w:id="9"/>
      <w:r w:rsidRPr="002D184F">
        <w:t>nde åtgärder från tidigare års revisioner och bedömningar.</w:t>
      </w:r>
    </w:p>
    <w:p w:rsidR="00C300FA" w:rsidRPr="002D184F" w:rsidRDefault="00C300FA" w:rsidP="00C300FA">
      <w:pPr>
        <w:widowControl/>
        <w:spacing w:after="240"/>
        <w:ind w:left="567" w:hanging="567"/>
        <w:rPr>
          <w:szCs w:val="24"/>
        </w:rPr>
      </w:pPr>
      <w:r w:rsidRPr="002D184F">
        <w:t>D.</w:t>
      </w:r>
      <w:r w:rsidRPr="002D184F">
        <w:tab/>
        <w:t>När det gäller byråns interna kontrollsystem rapporterades inga problem som krävde korrigerande åtgärder för 2022, och det finns inte heller några pågående eller ej genomförda korrigerande åtgärder från tidigare års revisioner och bedömningar.</w:t>
      </w:r>
    </w:p>
    <w:p w:rsidR="00C300FA" w:rsidRPr="002D184F" w:rsidRDefault="00C300FA" w:rsidP="00C300FA">
      <w:pPr>
        <w:spacing w:after="240"/>
        <w:ind w:left="567" w:hanging="567"/>
        <w:rPr>
          <w:b/>
          <w:i/>
          <w:szCs w:val="24"/>
        </w:rPr>
      </w:pPr>
      <w:r w:rsidRPr="002D184F">
        <w:rPr>
          <w:b/>
          <w:i/>
        </w:rPr>
        <w:t>Budgetförvaltning och ekonomisk förvaltning</w:t>
      </w:r>
    </w:p>
    <w:p w:rsidR="00C300FA" w:rsidRPr="002D184F" w:rsidRDefault="00C300FA" w:rsidP="00C300FA">
      <w:pPr>
        <w:spacing w:after="240"/>
        <w:ind w:left="567" w:hanging="567"/>
        <w:rPr>
          <w:szCs w:val="24"/>
        </w:rPr>
      </w:pPr>
      <w:r w:rsidRPr="002D184F">
        <w:t>1.</w:t>
      </w:r>
      <w:r w:rsidRPr="002D184F">
        <w:tab/>
        <w:t>Europaparlamentet noterar med uppskattning att insatserna för uppföljning av budgeten under budgetåret 2022 resulterade i ett budgetgenomförande av årets åtagandebemyndiganden på 99,80 %, vilket utgör en liten ökning med 0,14 % jämfört med 2021, och en genomförandegrad för årets betalningsbemyndiganden på 98,42 %, vilket också är en liten ökning med 1,10 %.</w:t>
      </w:r>
    </w:p>
    <w:p w:rsidR="00C300FA" w:rsidRPr="002D184F" w:rsidRDefault="00C300FA" w:rsidP="00C300FA">
      <w:pPr>
        <w:keepNext/>
        <w:keepLines/>
        <w:widowControl/>
        <w:spacing w:after="240"/>
        <w:ind w:left="567" w:hanging="567"/>
        <w:rPr>
          <w:b/>
          <w:i/>
          <w:szCs w:val="24"/>
        </w:rPr>
      </w:pPr>
      <w:r w:rsidRPr="002D184F">
        <w:rPr>
          <w:b/>
          <w:i/>
        </w:rPr>
        <w:lastRenderedPageBreak/>
        <w:t>Verksamhetsresultat</w:t>
      </w:r>
    </w:p>
    <w:p w:rsidR="00C300FA" w:rsidRPr="002D184F" w:rsidRDefault="00C300FA" w:rsidP="00C300FA">
      <w:pPr>
        <w:keepNext/>
        <w:keepLines/>
        <w:widowControl/>
        <w:spacing w:after="240"/>
        <w:ind w:left="567" w:hanging="567"/>
        <w:rPr>
          <w:szCs w:val="24"/>
        </w:rPr>
      </w:pPr>
      <w:r w:rsidRPr="002D184F">
        <w:t>2.</w:t>
      </w:r>
      <w:r w:rsidRPr="002D184F">
        <w:tab/>
        <w:t>Europaparlamentet välkomnar att byrån använder nyckelprestationsindikatorer för att mäta genomförandet av sitt årliga arbetsprogram på de nyckelområden som byrån bidrar till och dess övergripande verksamhet (hållbarhet, övervakning, skydd och säkerhet, förenkling, digitalisering, tekniskt bistånd, kapacitetsuppbyggnad och strategiskt stöd). Parlamentet lovordar att de övergripande målen har uppnåtts, och att mycket få mål släpar efter, främst av motiverade skäl. Parlamentet noterar vidare att byrån har uppnått sina mål för 2022 i enlighet med det årliga arbetsprogrammet och den fleråriga strategiska ramen.</w:t>
      </w:r>
    </w:p>
    <w:p w:rsidR="00C300FA" w:rsidRPr="002D184F" w:rsidRDefault="00C300FA" w:rsidP="00C300FA">
      <w:pPr>
        <w:spacing w:after="240"/>
        <w:ind w:left="567" w:hanging="567"/>
        <w:rPr>
          <w:szCs w:val="24"/>
        </w:rPr>
      </w:pPr>
      <w:r w:rsidRPr="002D184F">
        <w:t>3.</w:t>
      </w:r>
      <w:r w:rsidRPr="002D184F">
        <w:tab/>
        <w:t>Europaparlamentet noterar att byrån har varit aktivt involverad i flera initiativ med anknytning till den europeiska gröna given och tillhandahållit kommissionen och medlemsstaterna stöd och data, med särskild tonvikt på olika förslag inom ramen för 55 % -paketet, såsom förslaget om FuelEU Maritime och förslaget som syftar till att utvidga systemet för handel med utsläppsrätter till sjötransporter.</w:t>
      </w:r>
    </w:p>
    <w:p w:rsidR="00C300FA" w:rsidRPr="002D184F" w:rsidRDefault="00C300FA" w:rsidP="00C300FA">
      <w:pPr>
        <w:spacing w:after="240"/>
        <w:ind w:left="567" w:hanging="567"/>
        <w:rPr>
          <w:szCs w:val="24"/>
        </w:rPr>
      </w:pPr>
      <w:r w:rsidRPr="002D184F">
        <w:t>4.</w:t>
      </w:r>
      <w:r w:rsidRPr="002D184F">
        <w:tab/>
        <w:t>Europaparlamentet välkomnar att byrån har blivit en viktig aktör när det gäller övervakning av och rapportering om fartyg av intresse efter den olagliga och oprovocerade ryska invasionen av Ukraina i februari 2022. Parlamentet noterar i detta avseende att den maritima stödtjänsten rapporterade om ryskflaggade fartyg till medlemsstaterna och kommissionen, om fartygs anlöp till EU-hamnar till specifika medlemsstater och</w:t>
      </w:r>
      <w:r w:rsidR="006531D8" w:rsidRPr="002D184F">
        <w:t xml:space="preserve"> till</w:t>
      </w:r>
      <w:r w:rsidRPr="002D184F">
        <w:t xml:space="preserve"> kommissionen och om fartygsanlöp i samband med sanktioner (t.ex. kolimport).</w:t>
      </w:r>
    </w:p>
    <w:p w:rsidR="00C300FA" w:rsidRPr="002D184F" w:rsidRDefault="00C300FA" w:rsidP="00C300FA">
      <w:pPr>
        <w:spacing w:after="240"/>
        <w:ind w:left="567" w:hanging="567"/>
        <w:rPr>
          <w:szCs w:val="24"/>
        </w:rPr>
      </w:pPr>
      <w:r w:rsidRPr="002D184F">
        <w:t>5.</w:t>
      </w:r>
      <w:r w:rsidRPr="002D184F">
        <w:tab/>
        <w:t>Europaparlamentet noterar att byråns jordobservationstjänster fortsatte att utveckla och tillhandahålla Frontex övervakningskapacitet, med tonvikt på den europeiska tjänsten för satellitövervakning av oljeutsläpp (CleanSeaNet) och Copernicus tjänst för övervakning till havs, och stöd vid nödsituationer till sjöss inom ramen för byråns beredskapsplan.</w:t>
      </w:r>
    </w:p>
    <w:p w:rsidR="00C300FA" w:rsidRPr="002D184F" w:rsidRDefault="00C300FA" w:rsidP="00C300FA">
      <w:pPr>
        <w:spacing w:after="240"/>
        <w:ind w:left="567" w:hanging="567"/>
        <w:rPr>
          <w:szCs w:val="24"/>
        </w:rPr>
      </w:pPr>
      <w:r w:rsidRPr="002D184F">
        <w:t>6.</w:t>
      </w:r>
      <w:r w:rsidRPr="002D184F">
        <w:tab/>
        <w:t xml:space="preserve">Europaparlamentet välkomnar att byrån gav tekniskt stöd till kommissionen och </w:t>
      </w:r>
      <w:r w:rsidR="006531D8" w:rsidRPr="002D184F">
        <w:t xml:space="preserve">till </w:t>
      </w:r>
      <w:r w:rsidRPr="002D184F">
        <w:t>Eftas övervakningsmyndighet genom att delta i de inspektioner som de organiserade för att bedöma och kontrollera genomförandet och efterlevnaden av EU:s lagstiftning om sjöfartsskydd i medlemsstaterna.</w:t>
      </w:r>
    </w:p>
    <w:p w:rsidR="00C300FA" w:rsidRPr="002D184F" w:rsidRDefault="00C300FA" w:rsidP="00C300FA">
      <w:pPr>
        <w:spacing w:after="240"/>
        <w:ind w:left="567" w:hanging="567"/>
        <w:rPr>
          <w:szCs w:val="24"/>
        </w:rPr>
      </w:pPr>
      <w:r w:rsidRPr="002D184F">
        <w:t>7.</w:t>
      </w:r>
      <w:r w:rsidRPr="002D184F">
        <w:tab/>
        <w:t>Europaparlamentet konstaterar att byrån 2022 gav Europeiska unionens byrå för samarbete inom brottsbekämpning (Europol) tillgång till maritima informations- och övervakningstjänster för att stödja Europol på områdena brottsbekämpning och organiserad brottslighet till havs.</w:t>
      </w:r>
    </w:p>
    <w:p w:rsidR="00C300FA" w:rsidRPr="002D184F" w:rsidRDefault="00C300FA" w:rsidP="00C300FA">
      <w:pPr>
        <w:spacing w:after="240"/>
        <w:ind w:left="567" w:hanging="567"/>
        <w:rPr>
          <w:i/>
          <w:szCs w:val="24"/>
        </w:rPr>
      </w:pPr>
      <w:r w:rsidRPr="002D184F">
        <w:t>8.</w:t>
      </w:r>
      <w:r w:rsidRPr="002D184F">
        <w:tab/>
        <w:t>Europaparlamentet noterar att byrån behöll sin roll som kompetenscentrum för kapacitetsuppbyggnad, genomförande av IPA II-projektet och avslutande av projekt för tekniskt bistånd i Medelhavet (Safemed IV) och Svarta havet och Kaspiska havet (BCSEA) under 2022.</w:t>
      </w:r>
    </w:p>
    <w:p w:rsidR="00C300FA" w:rsidRPr="002D184F" w:rsidRDefault="00C300FA" w:rsidP="00C300FA">
      <w:pPr>
        <w:keepNext/>
        <w:keepLines/>
        <w:widowControl/>
        <w:spacing w:after="240"/>
        <w:ind w:left="567" w:hanging="567"/>
      </w:pPr>
      <w:r w:rsidRPr="002D184F">
        <w:lastRenderedPageBreak/>
        <w:t>9.</w:t>
      </w:r>
      <w:r w:rsidRPr="002D184F">
        <w:tab/>
        <w:t>Europaparlamentet gläder sig över byråns stöd till kommissionen i IMO, särskilt i forum som MEPC, PPR och CCC. Detta stöd täcker viktiga områden för förebyggande av föroreningar och hållbarhet, inbegripet IMO:s strategi för minskning av växthusgasutsläppen, sjöfartens koldioxidintensitet, säkerhet, utvärdering, spridning och användning av hållbara alternativa bränslen och tekniker, marint skräp och undervattensbuller. Parlamentet framhåller att IMO:s kommande arbete med att utveckla motsvarande krav och standarder för användning av nya bränslen och ny teknik kommer att vara av avgörande betydelse för deras användning på både global nivå och EU-nivå.</w:t>
      </w:r>
    </w:p>
    <w:p w:rsidR="00C300FA" w:rsidRPr="002D184F" w:rsidRDefault="00C300FA" w:rsidP="00C300FA">
      <w:pPr>
        <w:pStyle w:val="NormalHanging12a"/>
        <w:rPr>
          <w:b/>
          <w:i/>
          <w:color w:val="000000" w:themeColor="text1"/>
          <w:szCs w:val="24"/>
        </w:rPr>
      </w:pPr>
      <w:r w:rsidRPr="002D184F">
        <w:rPr>
          <w:b/>
          <w:i/>
          <w:color w:val="000000" w:themeColor="text1"/>
        </w:rPr>
        <w:t>Effektivitet och förbättringar</w:t>
      </w:r>
    </w:p>
    <w:p w:rsidR="00C300FA" w:rsidRPr="002D184F" w:rsidRDefault="00C300FA" w:rsidP="00C300FA">
      <w:pPr>
        <w:widowControl/>
        <w:spacing w:after="240"/>
        <w:ind w:left="567" w:hanging="567"/>
        <w:rPr>
          <w:szCs w:val="24"/>
        </w:rPr>
      </w:pPr>
      <w:r w:rsidRPr="002D184F">
        <w:rPr>
          <w:color w:val="000000" w:themeColor="text1"/>
        </w:rPr>
        <w:t>10.</w:t>
      </w:r>
      <w:r w:rsidRPr="002D184F">
        <w:rPr>
          <w:color w:val="000000" w:themeColor="text1"/>
        </w:rPr>
        <w:tab/>
      </w:r>
      <w:r w:rsidRPr="002D184F">
        <w:t>Europaparlamentet noterar att byrån inom ramen för det nya mandatet för europeiskt samarbete om kustbevakningsuppgifter har utbytt information, expertis, förfaranden, utbildningsmaterial och verktyg med Europeiska fiskerikontrollbyrån (EFCA) och Frontex.</w:t>
      </w:r>
      <w:r w:rsidRPr="002D184F">
        <w:rPr>
          <w:color w:val="000000" w:themeColor="text1"/>
        </w:rPr>
        <w:t xml:space="preserve"> Parlamentet noterar vidare att byrån fortsätter sitt nära samarbete med Europeiska centrumet för kontroll av narkotika och narkotikamissbruk (ECNN) för att öka dess effektivitet och minska kostnaderna på grund av de båda byråernas geografiska närhet. Parlamentet välkomnar att byrån stödde ECNN genom kunskapsutbyte när det gäller Emas-registrering och att EFCA fortsatte att säkerställa det ömsesidiga backuparrangemang som finns för redovisningsfunktionen inom de båda byråerna. </w:t>
      </w:r>
      <w:r w:rsidRPr="002D184F">
        <w:t>Parlamentet framhåller de övergripande fördelarna med att samarbeta och anpassa bästa praxis och att gemensamma initiativ för samman olika perspektiv, minskar dubbelarbete, förbättrar lärandet och stärker relationerna mellan deltagarna.</w:t>
      </w:r>
    </w:p>
    <w:p w:rsidR="00C300FA" w:rsidRPr="002D184F" w:rsidRDefault="00C300FA" w:rsidP="00C300FA">
      <w:pPr>
        <w:pStyle w:val="NormalHanging12a"/>
        <w:rPr>
          <w:color w:val="000000" w:themeColor="text1"/>
          <w:szCs w:val="24"/>
        </w:rPr>
      </w:pPr>
      <w:r w:rsidRPr="002D184F">
        <w:rPr>
          <w:color w:val="000000" w:themeColor="text1"/>
        </w:rPr>
        <w:t>11.</w:t>
      </w:r>
      <w:r w:rsidRPr="002D184F">
        <w:rPr>
          <w:color w:val="000000" w:themeColor="text1"/>
        </w:rPr>
        <w:tab/>
        <w:t>Europaparlamentet noterar att byrån har arbetat för att förbättra sin effektivitet och ändamålsenlighet genom automatisering av förfaranden i syfte att avsevärt minska den administrativa arbetsbördan för specifik personal och göra det möjligt för dem att fokusera på uppgifter inom relaterade områden med högre mervärde. Parlamentet konstaterar dessutom att byrån har inlett pilotprojekt för kvalificerad elektronisk underskrift och integrering av interna verktyg med Ares. Parlamentet uppmanar byrån att hitta fler interna förfaranden som skulle kunna effektiviseras genom automatisering.</w:t>
      </w:r>
    </w:p>
    <w:p w:rsidR="00C300FA" w:rsidRPr="002D184F" w:rsidRDefault="00C300FA" w:rsidP="00C300FA">
      <w:pPr>
        <w:spacing w:after="240"/>
        <w:ind w:left="567" w:hanging="567"/>
        <w:rPr>
          <w:b/>
          <w:i/>
          <w:szCs w:val="24"/>
        </w:rPr>
      </w:pPr>
      <w:r w:rsidRPr="002D184F">
        <w:rPr>
          <w:b/>
          <w:i/>
        </w:rPr>
        <w:t>Personalpolitik</w:t>
      </w:r>
    </w:p>
    <w:p w:rsidR="00C300FA" w:rsidRPr="002D184F" w:rsidRDefault="00C300FA" w:rsidP="00C300FA">
      <w:pPr>
        <w:pStyle w:val="NormalHanging12a"/>
        <w:rPr>
          <w:szCs w:val="24"/>
        </w:rPr>
      </w:pPr>
      <w:r w:rsidRPr="002D184F">
        <w:t>12.</w:t>
      </w:r>
      <w:r w:rsidRPr="002D184F">
        <w:tab/>
        <w:t>Europaparlamentet noterar att 99,06 % av tjänsterna i tjänsteförteckningen var tillsatta den 31 december 2022. Av de 212 tjänster för tjänstemän och tillfälligt anställda som får tillsättas enligt unionsbudgeten hade 210 tillsatts (samma antal som 2021). Parlamentet noterar dessutom att 28 kontraktsanställda och 16 utstationerade nationella experter arbetade för byrån under 2022.</w:t>
      </w:r>
    </w:p>
    <w:p w:rsidR="00C300FA" w:rsidRPr="002D184F" w:rsidRDefault="00C300FA" w:rsidP="00C300FA">
      <w:pPr>
        <w:pStyle w:val="NormalHanging12a"/>
        <w:keepNext/>
        <w:keepLines/>
        <w:widowControl/>
      </w:pPr>
      <w:r w:rsidRPr="002D184F">
        <w:lastRenderedPageBreak/>
        <w:t>13.</w:t>
      </w:r>
      <w:r w:rsidRPr="002D184F">
        <w:tab/>
        <w:t>Europaparlamentet noterar byråns sneda könsfördelning på högre chefsnivå och mellanchefsnivå, där 5 av 16 chefer (31 %) är kvinnor. Parlamentet noterar den sneda könsfördelningen bland byråns styrelseledamöter, där 10 av 57 ledamöter (18 %) är kvinnor. Parlamentet noterar vidare den sneda könsfördelningen hos byråns personal överlag, där 99 av 264 anställda (38 %) är kvinnor. Parlamentet påminner om vikten av att säkerställa en jämn könsfördelning och uppmanar byrån att ta hänsyn till denna aspekt i samband med framtida rekryteringar av personal och utnämningar på högre chefsnivå och mellanchefsnivå. Parlamentet välkomnar i detta avseende att byrån har lanserat en handlingsplan för jämställdhet för 2022–2025, med fokus på en jämnare könsfördelning och jämställdhet på lång sikt på kvalitetsbasis. Parlamentet uppmanar kommissionen och medlemsstaterna att beakta vikten av en jämn könsfördelning när de nominerar sina ledamöter till byråns styrelse. Parlamentet uppmuntrar byrån att också anta stadgan om mångfald och inkludering och fortsätta att delta i initiativ som främjar mångfald och inkludering på arbetsplatsen på alla hierarkinivåer.</w:t>
      </w:r>
    </w:p>
    <w:p w:rsidR="00C300FA" w:rsidRPr="002D184F" w:rsidRDefault="00C300FA" w:rsidP="00C300FA">
      <w:pPr>
        <w:spacing w:after="240"/>
        <w:ind w:left="567" w:hanging="567"/>
      </w:pPr>
      <w:r w:rsidRPr="002D184F">
        <w:t>14.</w:t>
      </w:r>
      <w:r w:rsidRPr="002D184F">
        <w:tab/>
        <w:t>Europaparlamentet betonar de nuvarande utmaningarna när det gäller att rekrytera utstationerade nationella experter på grund av svårigheterna med att locka experter från medlemsstaterna. Parlamentet påpekar att byrån har genomfört några ansökningsomgångar utan resultat. Parlamentet föreslår att interna kontraktsanställda ges möjlighet att avancera till nästa tjänstegrupp genom ett allmänt urvalsförfarande. Parlamentet påpekar att byrån när det gäller effektivitetsvinsterna strävar efter och arbetar med att förbättra sina förfaranden för att öka sin effektivitet och ändamålsenlighet och säkra bästa möjliga användning av sina mänskliga och ekonomiska resurser.</w:t>
      </w:r>
    </w:p>
    <w:p w:rsidR="00C300FA" w:rsidRPr="002D184F" w:rsidRDefault="00C300FA" w:rsidP="00C300FA">
      <w:pPr>
        <w:pStyle w:val="NormalHanging12a"/>
      </w:pPr>
      <w:r w:rsidRPr="002D184F">
        <w:t>15.</w:t>
      </w:r>
      <w:r w:rsidRPr="002D184F">
        <w:tab/>
        <w:t>Europaparlamentet välkomnar att sex nya konfidentiella rådgivare utsågs i samband med förebyggande av trakasserier på arbetsplatsen, efter att de framgångsrikt hade genomgått en obligatorisk utbildning, och att de nu är aktiva i denna roll vid byrån.</w:t>
      </w:r>
    </w:p>
    <w:p w:rsidR="00C300FA" w:rsidRPr="002D184F" w:rsidRDefault="00C300FA" w:rsidP="00C300FA">
      <w:pPr>
        <w:pStyle w:val="NormalHanging12a"/>
      </w:pPr>
      <w:r w:rsidRPr="002D184F">
        <w:t>16.</w:t>
      </w:r>
      <w:r w:rsidRPr="002D184F">
        <w:tab/>
        <w:t>Europaparlamentet noterar att byrån inledde ett personalstrategiprojekt i samråd med personalen, ledningen och personalkommittén, ett projekt för att skapa ett introduktionsprogram online för nyanställda och det förberedande arbetet i samband med beslutet om arbetstid och hybridarbete, som förväntades antas under 2023. Parlamentet uppmanar byrån att hålla den ansvarsbefrielsebeviljande myndigheten informerad om de framsteg som görs i dessa avseenden.</w:t>
      </w:r>
    </w:p>
    <w:p w:rsidR="00C300FA" w:rsidRPr="002D184F" w:rsidRDefault="00C300FA" w:rsidP="00C300FA">
      <w:pPr>
        <w:pStyle w:val="NormalHanging12a"/>
        <w:rPr>
          <w:b/>
          <w:i/>
          <w:szCs w:val="24"/>
        </w:rPr>
      </w:pPr>
      <w:r w:rsidRPr="002D184F">
        <w:rPr>
          <w:b/>
          <w:i/>
        </w:rPr>
        <w:t>Förebyggande och hantering av intressekonflikter samt transparens</w:t>
      </w:r>
    </w:p>
    <w:p w:rsidR="00C300FA" w:rsidRPr="002D184F" w:rsidRDefault="00C300FA" w:rsidP="00C300FA">
      <w:pPr>
        <w:spacing w:after="240"/>
        <w:ind w:left="567" w:hanging="567"/>
        <w:rPr>
          <w:szCs w:val="24"/>
        </w:rPr>
      </w:pPr>
      <w:r w:rsidRPr="002D184F">
        <w:t>17.</w:t>
      </w:r>
      <w:r w:rsidRPr="002D184F">
        <w:tab/>
        <w:t>Europaparlamentet konstaterar att ledamöterna och suppleanterna i byråns styrelse uppmanas att underteckna en åtagande- och sekretessförklaring vid nomineringen och årligen, att i början av varje styrelsemöte redovisa eventuella (potentiella) intressekonflikter som skulle kunna inverka negativt på behandlingen av en punkt på dagordningen. Parlamentet noterar att all personal (inklusive den högsta ledningen som deltar i särskilda förfaranden) är skyldig att deklarera (potentiella) intressekonflikter i olika förfaranden, såsom upphandling och rekrytering. Parlamentet noterar att en medlem i en urvalskommitté under 2022 deklarerade ett fall av intressekonflikt i samband med ett rekryteringsförfarande, och efter en analys av den angivna konflikten ersattes medlemmen.</w:t>
      </w:r>
    </w:p>
    <w:p w:rsidR="00C300FA" w:rsidRPr="002D184F" w:rsidRDefault="00C300FA" w:rsidP="00C300FA">
      <w:pPr>
        <w:spacing w:after="240"/>
        <w:ind w:left="567" w:hanging="567"/>
        <w:rPr>
          <w:szCs w:val="24"/>
        </w:rPr>
      </w:pPr>
      <w:r w:rsidRPr="002D184F">
        <w:t>18.</w:t>
      </w:r>
      <w:r w:rsidRPr="002D184F">
        <w:tab/>
        <w:t xml:space="preserve">Europaparlamentet noterar att byrån har antagit Emsa:s styrelses policy för intressekonflikter, i vilken man fastställer principer för ledamöternas och suppleanternas </w:t>
      </w:r>
      <w:r w:rsidRPr="002D184F">
        <w:lastRenderedPageBreak/>
        <w:t>opartiskhet och oberoende och åtgärder för att säkerställa deras praktiska tillämpning i syfte att förebygga och minska riskerna för att tidigare, nuvarande eller framtida intressen på ett otillbörligt sätt kan påverka styrelseledamöternas opartiskhet och oberoende under utövandet av deras uppdrag.</w:t>
      </w:r>
    </w:p>
    <w:p w:rsidR="00C300FA" w:rsidRPr="002D184F" w:rsidRDefault="00C300FA" w:rsidP="00C300FA">
      <w:pPr>
        <w:spacing w:after="240"/>
        <w:ind w:left="567" w:hanging="567"/>
        <w:rPr>
          <w:szCs w:val="24"/>
        </w:rPr>
      </w:pPr>
      <w:r w:rsidRPr="002D184F">
        <w:t>19.</w:t>
      </w:r>
      <w:r w:rsidRPr="002D184F">
        <w:tab/>
        <w:t xml:space="preserve">Europaparlamentet noterar </w:t>
      </w:r>
      <w:r w:rsidR="006531D8" w:rsidRPr="002D184F">
        <w:t xml:space="preserve">det faktum </w:t>
      </w:r>
      <w:r w:rsidRPr="002D184F">
        <w:t>att meritförteckningen för styrelseledamöter och personal i ledande befattning offentliggörs på byråns webbplats.</w:t>
      </w:r>
    </w:p>
    <w:p w:rsidR="00C300FA" w:rsidRPr="002D184F" w:rsidRDefault="00C300FA" w:rsidP="00C300FA">
      <w:pPr>
        <w:pStyle w:val="Normal12Hanging"/>
        <w:rPr>
          <w:b/>
          <w:i/>
          <w:szCs w:val="24"/>
        </w:rPr>
      </w:pPr>
      <w:r w:rsidRPr="002D184F">
        <w:rPr>
          <w:b/>
          <w:i/>
        </w:rPr>
        <w:t>Övriga kommentarer</w:t>
      </w:r>
    </w:p>
    <w:p w:rsidR="00C300FA" w:rsidRPr="002D184F" w:rsidRDefault="00C300FA" w:rsidP="00C300FA">
      <w:pPr>
        <w:spacing w:after="240"/>
        <w:ind w:left="567" w:hanging="567"/>
        <w:rPr>
          <w:szCs w:val="24"/>
        </w:rPr>
      </w:pPr>
      <w:r w:rsidRPr="002D184F">
        <w:t>20.</w:t>
      </w:r>
      <w:r w:rsidRPr="002D184F">
        <w:tab/>
        <w:t>Europaparlamentet lovordar att riskregistret, i enlighet med byråns ram för riskhantering, uppdaterades fullt ut och finjusterades 2022, och att särskild uppmärksamhet då ägnades åt att identifiera potentiella bedrägerirelaterade risker och övergripande möjligheter. Parlamentet välkomnar också att man efter Rysslands invasion i Ukraina har identifierat ett antal nya risker och möjligheter i samband med denna stora kris och att man inkluderat dem i de uppdaterade riskregistren.</w:t>
      </w:r>
    </w:p>
    <w:p w:rsidR="00C300FA" w:rsidRPr="002D184F" w:rsidRDefault="00C300FA" w:rsidP="00C300FA">
      <w:pPr>
        <w:spacing w:after="240"/>
        <w:ind w:left="567" w:hanging="567"/>
        <w:rPr>
          <w:szCs w:val="24"/>
        </w:rPr>
      </w:pPr>
      <w:r w:rsidRPr="002D184F">
        <w:t>21.</w:t>
      </w:r>
      <w:r w:rsidRPr="002D184F">
        <w:tab/>
        <w:t>Europaparlamentet välkomnar att byrån utvecklade ett antal ad hoc-produkter för att bistå medlemsstaterna och kommissionen i genomförandet av EU:s sanktioner i samband med Ryska federationens invasion av Ukraina, såsom rapportering av hamnanlöp för särskilda laster och flaggor. Parlamentet välkomnar också att byrån har utarbetat en månatlig rapport som tillhandahålls berörda parter om effekterna av utvecklingen i Ukraina på sjöfarten och handeln.</w:t>
      </w:r>
    </w:p>
    <w:p w:rsidR="00C300FA" w:rsidRPr="002D184F" w:rsidRDefault="00C300FA" w:rsidP="00C300FA">
      <w:pPr>
        <w:spacing w:after="240"/>
        <w:ind w:left="567" w:hanging="567"/>
        <w:rPr>
          <w:szCs w:val="24"/>
        </w:rPr>
      </w:pPr>
      <w:r w:rsidRPr="002D184F">
        <w:t>22.</w:t>
      </w:r>
      <w:r w:rsidRPr="002D184F">
        <w:tab/>
        <w:t>Europaparlamentet välkomnar att byrån genomfört olika miljöanpassningsåtgärder under 2022, såsom en omfattande informationskampanj om miljöanpassning, inrättande av ett återanvändbart stationärt rum, deltagande i Europeiska mobilitetsveckan och sänkning av grundtemperatur i lokalerna under vintersäsongen.</w:t>
      </w:r>
    </w:p>
    <w:p w:rsidR="00C300FA" w:rsidRPr="002D184F" w:rsidRDefault="00C300FA" w:rsidP="00C300FA">
      <w:pPr>
        <w:spacing w:after="240"/>
        <w:ind w:left="567" w:hanging="567"/>
        <w:rPr>
          <w:szCs w:val="24"/>
        </w:rPr>
      </w:pPr>
      <w:r w:rsidRPr="002D184F">
        <w:t>23.</w:t>
      </w:r>
      <w:r w:rsidRPr="002D184F">
        <w:tab/>
        <w:t>Europaparlamentet påminner om att byrån lanserade ”Greening Emsa” 2019 i syfte att införa miljöledning, och att det sista steget av den externa kontrollen ägde rum i januari 2022. Parlamentet noterar att byrån som en följd av detta har mottagit Emas</w:t>
      </w:r>
      <w:r w:rsidRPr="002D184F">
        <w:noBreakHyphen/>
        <w:t xml:space="preserve">märkningen och har fått sin miljöredovisning offentliggjord. </w:t>
      </w:r>
    </w:p>
    <w:p w:rsidR="00C300FA" w:rsidRPr="002D184F" w:rsidRDefault="00C300FA" w:rsidP="00C300FA">
      <w:pPr>
        <w:spacing w:after="240"/>
        <w:ind w:left="567" w:hanging="567"/>
        <w:rPr>
          <w:szCs w:val="24"/>
        </w:rPr>
      </w:pPr>
      <w:r w:rsidRPr="002D184F">
        <w:t>24.</w:t>
      </w:r>
      <w:r w:rsidRPr="002D184F">
        <w:tab/>
        <w:t>Europaparlamentet noterar att byrån har intensifierat sitt samarbete med Europeiska unionens cybersäkerhetsbyrå genom att delta i pilotprojektet för det framtida genomförandet av den kommande cybersäkerhetsförordningen. Parlamentet noterar vidare att byrån har stärkt sitt samarbete med incidenthanteringsorganisationen för EU:s institutioner, organ och byråer (CERT EU) genom att förnya ett särskilt servicenivåavtal som nu omfattar fler åtgärder, såsom ett ökat antal säkerhetsbedömningar, och genom att ge tillgång till realtidsövervakning av säkerhetshändelser i Emsa:s it-infrastruktur. Parlamentet noterar vidare att byrån genomför regelbundna säkerhetsbedömningar tillsammans med CERT EU och rådets interinstitutionella leverantör av säkerhetstjänster.</w:t>
      </w:r>
    </w:p>
    <w:p w:rsidR="00C300FA" w:rsidRPr="002D184F" w:rsidRDefault="00C300FA" w:rsidP="00C300FA">
      <w:pPr>
        <w:keepNext/>
        <w:keepLines/>
        <w:widowControl/>
        <w:spacing w:after="240"/>
        <w:ind w:left="567" w:hanging="567"/>
        <w:rPr>
          <w:szCs w:val="24"/>
        </w:rPr>
      </w:pPr>
      <w:r w:rsidRPr="002D184F">
        <w:lastRenderedPageBreak/>
        <w:t>25.</w:t>
      </w:r>
      <w:r w:rsidRPr="002D184F">
        <w:tab/>
        <w:t>Europaparlamentet noterar att byrån har genomfört olika åtgärder för att öka sin synlighet för allmänheten och sin närvaro online, såsom att stå värd för konferenser, dela videor som förklarar byråns huvudsakliga verksamhet och befogenheter, direktströmning och lanseringen av konceptet ”Emsa:s öppna dag”.</w:t>
      </w:r>
    </w:p>
    <w:p w:rsidR="00C300FA" w:rsidRPr="002D184F" w:rsidRDefault="00C300FA" w:rsidP="00C300FA">
      <w:pPr>
        <w:pStyle w:val="NormalHanging12a"/>
      </w:pPr>
      <w:r w:rsidRPr="002D184F">
        <w:t>26.</w:t>
      </w:r>
      <w:r w:rsidRPr="002D184F">
        <w:tab/>
        <w:t>Europaparlamentet välkomnar byråns åtagande att förbättra sin flerspråkiga kommunikation för att säkerställa större tillgänglighet för alla EU-medborgare. Parlamentet noterar att byråns femårsstrategi, rapporten om den europeiska havsmiljön och den europeiska sjösäkerhetsrapporten nu är tillgängliga på alla 24 EU-språk.</w:t>
      </w:r>
    </w:p>
    <w:p w:rsidR="00C300FA" w:rsidRPr="002D184F" w:rsidRDefault="00C300FA" w:rsidP="00C300FA">
      <w:pPr>
        <w:spacing w:after="240"/>
        <w:ind w:left="567" w:hanging="567"/>
      </w:pPr>
      <w:r w:rsidRPr="002D184F">
        <w:t>27.</w:t>
      </w:r>
      <w:r w:rsidRPr="002D184F">
        <w:tab/>
        <w:t xml:space="preserve">Europaparlamentet betonar vikten av byråns verksamhet på området sjöfartsskydd och vill att den fortsätter att tillhandahålla tekniskt bistånd till kommissionen i samband med inspektioner på detta område inom ramen för Europaparlamentets och rådets förordning </w:t>
      </w:r>
      <w:r w:rsidR="008E5FB6">
        <w:t xml:space="preserve">(EG) </w:t>
      </w:r>
      <w:r w:rsidRPr="002D184F">
        <w:t>nr 725/2004 om förbättrat sjöfartsskydd på fartyg och i hamnanläggningar. Parlamentet betonar den avsevärda ökningen av antalet cybersäkerhetsincidenter inom sjöfartssektorn under de senaste åren.</w:t>
      </w:r>
    </w:p>
    <w:p w:rsidR="00C300FA" w:rsidRPr="002D184F" w:rsidRDefault="00C300FA" w:rsidP="00C300FA">
      <w:pPr>
        <w:spacing w:after="240"/>
        <w:ind w:left="567" w:hanging="567"/>
      </w:pPr>
      <w:r w:rsidRPr="002D184F">
        <w:t>28.</w:t>
      </w:r>
      <w:r w:rsidRPr="002D184F">
        <w:tab/>
        <w:t>Europaparlamentet vill främja digitaliseringen av sjöfartssektorn genom att underlätta elektronisk dataöverföring, stödja förenkling och tillhandahålla integrerade system och tjänster för sjöövervakning och maritim lägesbild till kommissionen och medlemsstaterna.</w:t>
      </w:r>
    </w:p>
    <w:p w:rsidR="00C300FA" w:rsidRPr="002D184F" w:rsidRDefault="00C300FA" w:rsidP="00C300FA">
      <w:pPr>
        <w:spacing w:after="240"/>
        <w:ind w:left="567" w:hanging="567"/>
      </w:pPr>
      <w:r w:rsidRPr="002D184F">
        <w:t>29.</w:t>
      </w:r>
      <w:r w:rsidRPr="002D184F">
        <w:tab/>
        <w:t>Europaparlamentet betonar att tillväxten inom EU:s flotta (både när det gäller fartyg och tonnage) är långsammare än tillväxten inom den globala flottan. Under de senaste fem åren har EU:s flotta haft en tillväxt på 3,4 %, till skillnad från den globala flottan som uppvisade en mer betydande tillväxt på 7 %.</w:t>
      </w:r>
    </w:p>
    <w:p w:rsidR="00C300FA" w:rsidRPr="002D184F" w:rsidRDefault="00C300FA" w:rsidP="00C300FA">
      <w:pPr>
        <w:spacing w:after="240"/>
        <w:ind w:left="567" w:hanging="567"/>
        <w:jc w:val="center"/>
        <w:rPr>
          <w:szCs w:val="24"/>
        </w:rPr>
      </w:pPr>
      <w:r w:rsidRPr="002D184F">
        <w:t>°</w:t>
      </w:r>
    </w:p>
    <w:p w:rsidR="00C300FA" w:rsidRPr="002D184F" w:rsidRDefault="00C300FA" w:rsidP="00C300FA">
      <w:pPr>
        <w:pStyle w:val="NormalCenter12a"/>
        <w:rPr>
          <w:szCs w:val="24"/>
        </w:rPr>
      </w:pPr>
      <w:r w:rsidRPr="002D184F">
        <w:t>°</w:t>
      </w:r>
      <w:r w:rsidRPr="002D184F">
        <w:tab/>
        <w:t>°</w:t>
      </w:r>
    </w:p>
    <w:p w:rsidR="00C300FA" w:rsidRPr="002D184F" w:rsidRDefault="00C300FA" w:rsidP="00C300FA">
      <w:pPr>
        <w:widowControl/>
        <w:ind w:left="567" w:hanging="567"/>
      </w:pPr>
      <w:r w:rsidRPr="002D184F">
        <w:t>30.</w:t>
      </w:r>
      <w:r w:rsidRPr="002D184F">
        <w:tab/>
        <w:t xml:space="preserve">När det gäller andra övergripande iakttagelser som utgör en del av beslutet om ansvarsfrihet hänvisar Europaparlamentet till sin resolution av den </w:t>
      </w:r>
      <w:r w:rsidR="00CD3F2B" w:rsidRPr="002D184F">
        <w:t>11 april 2024</w:t>
      </w:r>
      <w:r w:rsidRPr="002D184F">
        <w:rPr>
          <w:rStyle w:val="FootnoteReference"/>
        </w:rPr>
        <w:footnoteReference w:id="12"/>
      </w:r>
      <w:r w:rsidRPr="002D184F">
        <w:t xml:space="preserve"> om byråernas verksamhetsresultat, ekonomiska förvaltning och kontroll.</w:t>
      </w:r>
    </w:p>
    <w:p w:rsidR="00E365E1" w:rsidRPr="002D184F" w:rsidRDefault="00E365E1" w:rsidP="00D03BD0">
      <w:bookmarkStart w:id="10" w:name="TextBodyEnd"/>
      <w:bookmarkEnd w:id="10"/>
    </w:p>
    <w:sectPr w:rsidR="00E365E1" w:rsidRPr="002D184F" w:rsidSect="002C059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BD0" w:rsidRPr="002C059E" w:rsidRDefault="00D03BD0">
      <w:r w:rsidRPr="002C059E">
        <w:separator/>
      </w:r>
    </w:p>
  </w:endnote>
  <w:endnote w:type="continuationSeparator" w:id="0">
    <w:p w:rsidR="00D03BD0" w:rsidRPr="002C059E" w:rsidRDefault="00D03BD0">
      <w:r w:rsidRPr="002C0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0FA" w:rsidRPr="002C059E" w:rsidRDefault="00C300FA" w:rsidP="004A631B">
    <w:pPr>
      <w:pStyle w:val="EPFooter"/>
    </w:pPr>
    <w:r w:rsidRPr="002C059E">
      <w:t>PE</w:t>
    </w:r>
    <w:r w:rsidRPr="002C059E">
      <w:rPr>
        <w:rStyle w:val="HideTWBExt"/>
      </w:rPr>
      <w:t>&lt;NoPE&gt;</w:t>
    </w:r>
    <w:r w:rsidRPr="002C059E">
      <w:t>753.526</w:t>
    </w:r>
    <w:r w:rsidRPr="002C059E">
      <w:rPr>
        <w:rStyle w:val="HideTWBExt"/>
      </w:rPr>
      <w:t>&lt;/NoPE&gt;&lt;Version&gt;</w:t>
    </w:r>
    <w:r w:rsidRPr="002C059E">
      <w:t>v02-00</w:t>
    </w:r>
    <w:r w:rsidRPr="002C059E">
      <w:rPr>
        <w:rStyle w:val="HideTWBExt"/>
      </w:rPr>
      <w:t>&lt;/Version&gt;</w:t>
    </w:r>
    <w:r w:rsidRPr="002C059E">
      <w:tab/>
    </w:r>
    <w:r w:rsidRPr="002C059E">
      <w:fldChar w:fldCharType="begin"/>
    </w:r>
    <w:r w:rsidRPr="002C059E">
      <w:instrText xml:space="preserve"> PAGE  \* MERGEFORMAT </w:instrText>
    </w:r>
    <w:r w:rsidRPr="002C059E">
      <w:fldChar w:fldCharType="separate"/>
    </w:r>
    <w:r w:rsidR="002C059E" w:rsidRPr="002C059E">
      <w:rPr>
        <w:noProof/>
      </w:rPr>
      <w:t>2</w:t>
    </w:r>
    <w:r w:rsidRPr="002C059E">
      <w:fldChar w:fldCharType="end"/>
    </w:r>
    <w:r w:rsidRPr="002C059E">
      <w:t>/</w:t>
    </w:r>
    <w:r w:rsidR="00B773FB">
      <w:fldChar w:fldCharType="begin"/>
    </w:r>
    <w:r w:rsidR="00B773FB">
      <w:instrText xml:space="preserve"> NUMPAGES  \* MERGEFORMAT </w:instrText>
    </w:r>
    <w:r w:rsidR="00B773FB">
      <w:fldChar w:fldCharType="separate"/>
    </w:r>
    <w:r w:rsidR="002C059E" w:rsidRPr="002C059E">
      <w:rPr>
        <w:noProof/>
      </w:rPr>
      <w:t>3</w:t>
    </w:r>
    <w:r w:rsidR="00B773FB">
      <w:rPr>
        <w:noProof/>
      </w:rPr>
      <w:fldChar w:fldCharType="end"/>
    </w:r>
    <w:r w:rsidRPr="002C059E">
      <w:tab/>
    </w:r>
    <w:r w:rsidRPr="002C059E">
      <w:rPr>
        <w:rStyle w:val="HideTWBExt"/>
      </w:rPr>
      <w:t>&lt;PathFdR&gt;</w:t>
    </w:r>
    <w:r w:rsidRPr="002C059E">
      <w:t>RR\1298830SV.docx</w:t>
    </w:r>
    <w:r w:rsidRPr="002C059E">
      <w:rPr>
        <w:rStyle w:val="HideTWBExt"/>
      </w:rPr>
      <w:t>&lt;/PathFdR&gt;</w:t>
    </w:r>
  </w:p>
  <w:p w:rsidR="00C300FA" w:rsidRPr="002C059E" w:rsidRDefault="00C300FA" w:rsidP="004A631B">
    <w:pPr>
      <w:pStyle w:val="EPFooter2"/>
    </w:pPr>
    <w:r w:rsidRPr="002C059E">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0FA" w:rsidRPr="002C059E" w:rsidRDefault="00C300FA" w:rsidP="004A631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0FA" w:rsidRPr="002C059E" w:rsidRDefault="00C300FA" w:rsidP="004A631B">
    <w:pPr>
      <w:pStyle w:val="EPFooter"/>
    </w:pPr>
    <w:r w:rsidRPr="002C059E">
      <w:rPr>
        <w:rStyle w:val="HideTWBExt"/>
      </w:rPr>
      <w:t>&lt;PathFdR&gt;</w:t>
    </w:r>
    <w:r w:rsidRPr="002C059E">
      <w:t>RR\1298830SV.docx</w:t>
    </w:r>
    <w:r w:rsidRPr="002C059E">
      <w:rPr>
        <w:rStyle w:val="HideTWBExt"/>
      </w:rPr>
      <w:t>&lt;/PathFdR&gt;</w:t>
    </w:r>
    <w:r w:rsidRPr="002C059E">
      <w:tab/>
    </w:r>
    <w:r w:rsidRPr="002C059E">
      <w:tab/>
      <w:t>PE</w:t>
    </w:r>
    <w:r w:rsidRPr="002C059E">
      <w:rPr>
        <w:rStyle w:val="HideTWBExt"/>
      </w:rPr>
      <w:t>&lt;NoPE&gt;</w:t>
    </w:r>
    <w:r w:rsidRPr="002C059E">
      <w:t>753.526</w:t>
    </w:r>
    <w:r w:rsidRPr="002C059E">
      <w:rPr>
        <w:rStyle w:val="HideTWBExt"/>
      </w:rPr>
      <w:t>&lt;/NoPE&gt;&lt;Version&gt;</w:t>
    </w:r>
    <w:r w:rsidRPr="002C059E">
      <w:t>v02-00</w:t>
    </w:r>
    <w:r w:rsidRPr="002C059E">
      <w:rPr>
        <w:rStyle w:val="HideTWBExt"/>
      </w:rPr>
      <w:t>&lt;/Version&gt;</w:t>
    </w:r>
  </w:p>
  <w:p w:rsidR="00C300FA" w:rsidRPr="002C059E" w:rsidRDefault="00C300FA" w:rsidP="004A631B">
    <w:pPr>
      <w:pStyle w:val="EPFooter2"/>
    </w:pPr>
    <w:r w:rsidRPr="002C059E">
      <w:t>SV</w:t>
    </w:r>
    <w:r w:rsidRPr="002C059E">
      <w:tab/>
    </w:r>
    <w:r w:rsidRPr="002C059E">
      <w:rPr>
        <w:b w:val="0"/>
        <w:i/>
        <w:color w:val="C0C0C0"/>
        <w:sz w:val="22"/>
      </w:rPr>
      <w:t>Förenade i mångfalden</w:t>
    </w:r>
    <w:r w:rsidRPr="002C059E">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059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059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05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BD0" w:rsidRPr="002C059E" w:rsidRDefault="00D03BD0">
      <w:r w:rsidRPr="002C059E">
        <w:separator/>
      </w:r>
    </w:p>
  </w:footnote>
  <w:footnote w:type="continuationSeparator" w:id="0">
    <w:p w:rsidR="00D03BD0" w:rsidRPr="002C059E" w:rsidRDefault="00D03BD0">
      <w:r w:rsidRPr="002C059E">
        <w:continuationSeparator/>
      </w:r>
    </w:p>
  </w:footnote>
  <w:footnote w:id="1">
    <w:p w:rsidR="00C300FA" w:rsidRPr="002D184F" w:rsidRDefault="00C300FA" w:rsidP="002C059E">
      <w:pPr>
        <w:pStyle w:val="FootnoteText"/>
        <w:ind w:left="567" w:hanging="567"/>
        <w:rPr>
          <w:sz w:val="24"/>
        </w:rPr>
      </w:pPr>
      <w:r w:rsidRPr="002D184F">
        <w:rPr>
          <w:rStyle w:val="FootnoteReference"/>
          <w:sz w:val="24"/>
          <w:lang w:val="sv-SE"/>
        </w:rPr>
        <w:footnoteRef/>
      </w:r>
      <w:r w:rsidR="002C059E" w:rsidRPr="002D184F">
        <w:rPr>
          <w:sz w:val="24"/>
        </w:rPr>
        <w:t xml:space="preserve"> </w:t>
      </w:r>
      <w:r w:rsidR="002C059E" w:rsidRPr="002D184F">
        <w:rPr>
          <w:sz w:val="24"/>
        </w:rPr>
        <w:tab/>
      </w:r>
      <w:r w:rsidRPr="002D184F">
        <w:rPr>
          <w:sz w:val="24"/>
        </w:rPr>
        <w:t>EUT C, C/2023/594, 27.10.2023.</w:t>
      </w:r>
    </w:p>
  </w:footnote>
  <w:footnote w:id="2">
    <w:p w:rsidR="00C300FA" w:rsidRPr="002D184F" w:rsidRDefault="00C300FA" w:rsidP="002C059E">
      <w:pPr>
        <w:pStyle w:val="FootnoteText"/>
        <w:ind w:left="567" w:hanging="567"/>
        <w:rPr>
          <w:sz w:val="24"/>
        </w:rPr>
      </w:pPr>
      <w:r w:rsidRPr="002D184F">
        <w:rPr>
          <w:rStyle w:val="FootnoteReference"/>
          <w:sz w:val="24"/>
          <w:lang w:val="sv-SE"/>
        </w:rPr>
        <w:footnoteRef/>
      </w:r>
      <w:r w:rsidR="002C059E" w:rsidRPr="002D184F">
        <w:rPr>
          <w:sz w:val="24"/>
        </w:rPr>
        <w:t xml:space="preserve"> </w:t>
      </w:r>
      <w:r w:rsidR="002C059E" w:rsidRPr="002D184F">
        <w:rPr>
          <w:sz w:val="24"/>
        </w:rPr>
        <w:tab/>
      </w:r>
      <w:r w:rsidRPr="002D184F">
        <w:rPr>
          <w:sz w:val="24"/>
        </w:rPr>
        <w:t>EUT C, C/2023/112, 12.10.2023.</w:t>
      </w:r>
    </w:p>
  </w:footnote>
  <w:footnote w:id="3">
    <w:p w:rsidR="00C300FA" w:rsidRPr="002D184F" w:rsidRDefault="00C300FA" w:rsidP="002C059E">
      <w:pPr>
        <w:pStyle w:val="FootnoteText"/>
        <w:ind w:left="567" w:hanging="567"/>
        <w:rPr>
          <w:sz w:val="24"/>
          <w:lang w:val="de-DE"/>
        </w:rPr>
      </w:pPr>
      <w:r w:rsidRPr="002D184F">
        <w:rPr>
          <w:rStyle w:val="FootnoteReference"/>
          <w:sz w:val="24"/>
          <w:lang w:val="sv-SE"/>
        </w:rPr>
        <w:footnoteRef/>
      </w:r>
      <w:r w:rsidR="002C059E" w:rsidRPr="002D184F">
        <w:rPr>
          <w:sz w:val="24"/>
          <w:lang w:val="de-DE"/>
        </w:rPr>
        <w:t xml:space="preserve"> </w:t>
      </w:r>
      <w:r w:rsidR="002C059E" w:rsidRPr="002D184F">
        <w:rPr>
          <w:sz w:val="24"/>
          <w:lang w:val="de-DE"/>
        </w:rPr>
        <w:tab/>
      </w:r>
      <w:r w:rsidRPr="002D184F">
        <w:rPr>
          <w:sz w:val="24"/>
          <w:lang w:val="de-DE"/>
        </w:rPr>
        <w:t>EUT L 193, 30.7.2018, s. 1.</w:t>
      </w:r>
    </w:p>
  </w:footnote>
  <w:footnote w:id="4">
    <w:p w:rsidR="00C300FA" w:rsidRPr="002D184F" w:rsidRDefault="00C300FA" w:rsidP="002C059E">
      <w:pPr>
        <w:pStyle w:val="FootnoteText"/>
        <w:ind w:left="567" w:hanging="567"/>
        <w:rPr>
          <w:sz w:val="24"/>
          <w:lang w:val="de-DE"/>
        </w:rPr>
      </w:pPr>
      <w:r w:rsidRPr="002D184F">
        <w:rPr>
          <w:rStyle w:val="FootnoteReference"/>
          <w:sz w:val="24"/>
          <w:lang w:val="sv-SE"/>
        </w:rPr>
        <w:footnoteRef/>
      </w:r>
      <w:r w:rsidR="002C059E" w:rsidRPr="002D184F">
        <w:rPr>
          <w:sz w:val="24"/>
          <w:lang w:val="de-DE"/>
        </w:rPr>
        <w:t xml:space="preserve"> </w:t>
      </w:r>
      <w:r w:rsidR="002C059E" w:rsidRPr="002D184F">
        <w:rPr>
          <w:sz w:val="24"/>
          <w:lang w:val="de-DE"/>
        </w:rPr>
        <w:tab/>
      </w:r>
      <w:r w:rsidRPr="002D184F">
        <w:rPr>
          <w:sz w:val="24"/>
          <w:lang w:val="de-DE"/>
        </w:rPr>
        <w:t>EGT L 208, 5.8.2002, s. 1.</w:t>
      </w:r>
    </w:p>
  </w:footnote>
  <w:footnote w:id="5">
    <w:p w:rsidR="00C300FA" w:rsidRPr="002D184F" w:rsidRDefault="00C300FA" w:rsidP="002C059E">
      <w:pPr>
        <w:pStyle w:val="FootnoteText"/>
        <w:ind w:left="567" w:hanging="567"/>
        <w:rPr>
          <w:sz w:val="24"/>
        </w:rPr>
      </w:pPr>
      <w:r w:rsidRPr="002D184F">
        <w:rPr>
          <w:rStyle w:val="FootnoteReference"/>
          <w:sz w:val="24"/>
          <w:lang w:val="sv-SE"/>
        </w:rPr>
        <w:footnoteRef/>
      </w:r>
      <w:r w:rsidR="002C059E" w:rsidRPr="002D184F">
        <w:rPr>
          <w:sz w:val="24"/>
        </w:rPr>
        <w:t xml:space="preserve"> </w:t>
      </w:r>
      <w:r w:rsidR="002C059E" w:rsidRPr="002D184F">
        <w:rPr>
          <w:sz w:val="24"/>
        </w:rPr>
        <w:tab/>
      </w:r>
      <w:r w:rsidRPr="002D184F">
        <w:rPr>
          <w:sz w:val="24"/>
        </w:rPr>
        <w:t>EUT L 122, 10.5.2019, s. 1.</w:t>
      </w:r>
    </w:p>
  </w:footnote>
  <w:footnote w:id="6">
    <w:p w:rsidR="00C300FA" w:rsidRPr="002D184F" w:rsidRDefault="00C300FA" w:rsidP="002C059E">
      <w:pPr>
        <w:pStyle w:val="FootnoteText"/>
        <w:ind w:left="567" w:hanging="567"/>
        <w:rPr>
          <w:sz w:val="24"/>
        </w:rPr>
      </w:pPr>
      <w:r w:rsidRPr="002D184F">
        <w:rPr>
          <w:rStyle w:val="FootnoteReference"/>
          <w:sz w:val="24"/>
          <w:lang w:val="sv-SE"/>
        </w:rPr>
        <w:footnoteRef/>
      </w:r>
      <w:r w:rsidR="002C059E" w:rsidRPr="002D184F">
        <w:rPr>
          <w:sz w:val="24"/>
        </w:rPr>
        <w:t xml:space="preserve"> </w:t>
      </w:r>
      <w:r w:rsidR="002C059E" w:rsidRPr="002D184F">
        <w:rPr>
          <w:sz w:val="24"/>
        </w:rPr>
        <w:tab/>
      </w:r>
      <w:r w:rsidRPr="002D184F">
        <w:rPr>
          <w:sz w:val="24"/>
        </w:rPr>
        <w:t>EUT C, C/2023/594, 27.10.2023.</w:t>
      </w:r>
    </w:p>
  </w:footnote>
  <w:footnote w:id="7">
    <w:p w:rsidR="00C300FA" w:rsidRPr="002D184F" w:rsidRDefault="00C300FA" w:rsidP="002C059E">
      <w:pPr>
        <w:pStyle w:val="FootnoteText"/>
        <w:ind w:left="567" w:hanging="567"/>
        <w:rPr>
          <w:sz w:val="24"/>
        </w:rPr>
      </w:pPr>
      <w:r w:rsidRPr="002D184F">
        <w:rPr>
          <w:rStyle w:val="FootnoteReference"/>
          <w:sz w:val="24"/>
          <w:lang w:val="sv-SE"/>
        </w:rPr>
        <w:footnoteRef/>
      </w:r>
      <w:r w:rsidR="002C059E" w:rsidRPr="002D184F">
        <w:rPr>
          <w:sz w:val="24"/>
        </w:rPr>
        <w:t xml:space="preserve"> </w:t>
      </w:r>
      <w:r w:rsidR="002C059E" w:rsidRPr="002D184F">
        <w:rPr>
          <w:sz w:val="24"/>
        </w:rPr>
        <w:tab/>
      </w:r>
      <w:r w:rsidRPr="002D184F">
        <w:rPr>
          <w:sz w:val="24"/>
        </w:rPr>
        <w:t>EUT C, C/2023/112, 12.10.2023.</w:t>
      </w:r>
    </w:p>
  </w:footnote>
  <w:footnote w:id="8">
    <w:p w:rsidR="00C300FA" w:rsidRPr="002D184F" w:rsidRDefault="00C300FA" w:rsidP="002C059E">
      <w:pPr>
        <w:pStyle w:val="FootnoteText"/>
        <w:ind w:left="567" w:hanging="567"/>
        <w:rPr>
          <w:sz w:val="24"/>
        </w:rPr>
      </w:pPr>
      <w:r w:rsidRPr="002D184F">
        <w:rPr>
          <w:rStyle w:val="FootnoteReference"/>
          <w:sz w:val="24"/>
          <w:lang w:val="sv-SE"/>
        </w:rPr>
        <w:footnoteRef/>
      </w:r>
      <w:r w:rsidR="002C059E" w:rsidRPr="002D184F">
        <w:rPr>
          <w:sz w:val="24"/>
        </w:rPr>
        <w:t xml:space="preserve"> </w:t>
      </w:r>
      <w:r w:rsidR="002C059E" w:rsidRPr="002D184F">
        <w:rPr>
          <w:sz w:val="24"/>
        </w:rPr>
        <w:tab/>
      </w:r>
      <w:r w:rsidRPr="002D184F">
        <w:rPr>
          <w:sz w:val="24"/>
        </w:rPr>
        <w:t>EUT L 193, 30.7.2018, s. 1.</w:t>
      </w:r>
    </w:p>
  </w:footnote>
  <w:footnote w:id="9">
    <w:p w:rsidR="00C300FA" w:rsidRPr="002D184F" w:rsidRDefault="00C300FA" w:rsidP="002C059E">
      <w:pPr>
        <w:pStyle w:val="FootnoteText"/>
        <w:ind w:left="567" w:hanging="567"/>
        <w:rPr>
          <w:sz w:val="24"/>
          <w:lang w:val="de-DE"/>
        </w:rPr>
      </w:pPr>
      <w:r w:rsidRPr="002D184F">
        <w:rPr>
          <w:rStyle w:val="FootnoteReference"/>
          <w:sz w:val="24"/>
          <w:lang w:val="sv-SE"/>
        </w:rPr>
        <w:footnoteRef/>
      </w:r>
      <w:r w:rsidR="002C059E" w:rsidRPr="002D184F">
        <w:rPr>
          <w:sz w:val="24"/>
          <w:lang w:val="de-DE"/>
        </w:rPr>
        <w:t xml:space="preserve"> </w:t>
      </w:r>
      <w:r w:rsidR="002C059E" w:rsidRPr="002D184F">
        <w:rPr>
          <w:sz w:val="24"/>
          <w:lang w:val="de-DE"/>
        </w:rPr>
        <w:tab/>
      </w:r>
      <w:r w:rsidRPr="002D184F">
        <w:rPr>
          <w:sz w:val="24"/>
          <w:lang w:val="de-DE"/>
        </w:rPr>
        <w:t>EGT L 208, 5.8.2002, s. 1.</w:t>
      </w:r>
    </w:p>
  </w:footnote>
  <w:footnote w:id="10">
    <w:p w:rsidR="00C300FA" w:rsidRPr="002D184F" w:rsidRDefault="00C300FA" w:rsidP="002C059E">
      <w:pPr>
        <w:pStyle w:val="FootnoteText"/>
        <w:ind w:left="567" w:hanging="567"/>
        <w:rPr>
          <w:sz w:val="24"/>
          <w:lang w:val="de-DE"/>
        </w:rPr>
      </w:pPr>
      <w:r w:rsidRPr="002D184F">
        <w:rPr>
          <w:rStyle w:val="FootnoteReference"/>
          <w:sz w:val="24"/>
          <w:lang w:val="sv-SE"/>
        </w:rPr>
        <w:footnoteRef/>
      </w:r>
      <w:r w:rsidR="002C059E" w:rsidRPr="002D184F">
        <w:rPr>
          <w:sz w:val="24"/>
          <w:lang w:val="de-DE"/>
        </w:rPr>
        <w:t xml:space="preserve"> </w:t>
      </w:r>
      <w:r w:rsidR="002C059E" w:rsidRPr="002D184F">
        <w:rPr>
          <w:sz w:val="24"/>
          <w:lang w:val="de-DE"/>
        </w:rPr>
        <w:tab/>
      </w:r>
      <w:r w:rsidRPr="002D184F">
        <w:rPr>
          <w:sz w:val="24"/>
          <w:lang w:val="de-DE"/>
        </w:rPr>
        <w:t>EUT L 122, 10.5.2019, s. 1.</w:t>
      </w:r>
    </w:p>
  </w:footnote>
  <w:footnote w:id="11">
    <w:p w:rsidR="00C300FA" w:rsidRPr="002D184F" w:rsidRDefault="00C300FA" w:rsidP="002C059E">
      <w:pPr>
        <w:pStyle w:val="FootnoteText"/>
        <w:ind w:left="567" w:hanging="567"/>
        <w:rPr>
          <w:sz w:val="24"/>
          <w:lang w:val="sv-SE"/>
        </w:rPr>
      </w:pPr>
      <w:r w:rsidRPr="002D184F">
        <w:rPr>
          <w:rStyle w:val="FootnoteReference"/>
          <w:sz w:val="24"/>
          <w:lang w:val="sv-SE"/>
        </w:rPr>
        <w:footnoteRef/>
      </w:r>
      <w:r w:rsidR="002C059E" w:rsidRPr="002D184F">
        <w:rPr>
          <w:sz w:val="24"/>
          <w:lang w:val="sv-SE"/>
        </w:rPr>
        <w:t xml:space="preserve"> </w:t>
      </w:r>
      <w:r w:rsidR="002C059E" w:rsidRPr="002D184F">
        <w:rPr>
          <w:sz w:val="24"/>
          <w:lang w:val="sv-SE"/>
        </w:rPr>
        <w:tab/>
      </w:r>
      <w:r w:rsidRPr="002D184F">
        <w:rPr>
          <w:sz w:val="24"/>
          <w:lang w:val="sv-SE"/>
        </w:rPr>
        <w:t>EUT C 73, 28.02.2023, s. 9</w:t>
      </w:r>
      <w:r w:rsidR="00B773FB">
        <w:rPr>
          <w:sz w:val="24"/>
          <w:lang w:val="sv-SE"/>
        </w:rPr>
        <w:t>1</w:t>
      </w:r>
      <w:r w:rsidRPr="002D184F">
        <w:rPr>
          <w:sz w:val="24"/>
          <w:lang w:val="sv-SE"/>
        </w:rPr>
        <w:t>.</w:t>
      </w:r>
    </w:p>
  </w:footnote>
  <w:footnote w:id="12">
    <w:p w:rsidR="00C300FA" w:rsidRPr="002C059E" w:rsidRDefault="00C300FA" w:rsidP="002C059E">
      <w:pPr>
        <w:pStyle w:val="FootnoteText"/>
        <w:ind w:left="567" w:hanging="567"/>
        <w:rPr>
          <w:sz w:val="24"/>
          <w:lang w:val="sv-SE"/>
        </w:rPr>
      </w:pPr>
      <w:r w:rsidRPr="002D184F">
        <w:rPr>
          <w:rStyle w:val="FootnoteReference"/>
          <w:sz w:val="24"/>
          <w:lang w:val="sv-SE"/>
        </w:rPr>
        <w:footnoteRef/>
      </w:r>
      <w:r w:rsidR="002C059E" w:rsidRPr="002D184F">
        <w:rPr>
          <w:sz w:val="24"/>
          <w:lang w:val="sv-SE"/>
        </w:rPr>
        <w:t xml:space="preserve"> </w:t>
      </w:r>
      <w:r w:rsidR="002C059E" w:rsidRPr="002D184F">
        <w:rPr>
          <w:sz w:val="24"/>
          <w:lang w:val="sv-SE"/>
        </w:rPr>
        <w:tab/>
      </w:r>
      <w:r w:rsidRPr="002D184F">
        <w:rPr>
          <w:sz w:val="24"/>
          <w:lang w:val="sv-SE"/>
        </w:rPr>
        <w:t>Antagna texter, P9_TA(2024)</w:t>
      </w:r>
      <w:r w:rsidR="002D184F" w:rsidRPr="002D184F">
        <w:rPr>
          <w:sz w:val="24"/>
          <w:lang w:val="sv-SE"/>
        </w:rPr>
        <w:t>0280</w:t>
      </w:r>
      <w:r w:rsidRPr="002D184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0FA" w:rsidRPr="002C059E" w:rsidRDefault="00C300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0FA" w:rsidRPr="002C059E" w:rsidRDefault="00C300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00FA" w:rsidRPr="002C059E" w:rsidRDefault="00C300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059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059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C05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SV"/>
    <w:docVar w:name="dvnumam" w:val="0"/>
    <w:docVar w:name="dvpe" w:val="753.526"/>
    <w:docVar w:name="dvrapporteur" w:val="Föredragande: "/>
    <w:docVar w:name="dvtitre" w:val="Europaparlamentets beslut av den xx xx 2024 om ansvarsfrihet för genomförandet av budgeten för Europeiska sjösäkerhetsbyrån för budgetåret 2022(2023/2158(DEC))"/>
  </w:docVars>
  <w:rsids>
    <w:rsidRoot w:val="00D03BD0"/>
    <w:rsid w:val="00002272"/>
    <w:rsid w:val="00064002"/>
    <w:rsid w:val="000677B9"/>
    <w:rsid w:val="000831BA"/>
    <w:rsid w:val="000A42CC"/>
    <w:rsid w:val="000E7DD9"/>
    <w:rsid w:val="0010095E"/>
    <w:rsid w:val="00125B37"/>
    <w:rsid w:val="00187494"/>
    <w:rsid w:val="001F32AE"/>
    <w:rsid w:val="002767FF"/>
    <w:rsid w:val="002B18FE"/>
    <w:rsid w:val="002B5493"/>
    <w:rsid w:val="002C059E"/>
    <w:rsid w:val="002D184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31D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FB6"/>
    <w:rsid w:val="00930C23"/>
    <w:rsid w:val="0093193B"/>
    <w:rsid w:val="009440F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3FB"/>
    <w:rsid w:val="00BD48FE"/>
    <w:rsid w:val="00BD7BD8"/>
    <w:rsid w:val="00BE6ADC"/>
    <w:rsid w:val="00C05BFE"/>
    <w:rsid w:val="00C23CD4"/>
    <w:rsid w:val="00C300FA"/>
    <w:rsid w:val="00C61C0C"/>
    <w:rsid w:val="00C941CB"/>
    <w:rsid w:val="00CC2357"/>
    <w:rsid w:val="00CD3F2B"/>
    <w:rsid w:val="00CF071A"/>
    <w:rsid w:val="00D03BD0"/>
    <w:rsid w:val="00D058B8"/>
    <w:rsid w:val="00D56C11"/>
    <w:rsid w:val="00D834A0"/>
    <w:rsid w:val="00D872DF"/>
    <w:rsid w:val="00D91E21"/>
    <w:rsid w:val="00DA7FCD"/>
    <w:rsid w:val="00E365E1"/>
    <w:rsid w:val="00E67AB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12CC8"/>
  <w15:chartTrackingRefBased/>
  <w15:docId w15:val="{8BAAC1DB-FF9E-44AE-9FFF-C160740B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00F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00FA"/>
    <w:pPr>
      <w:spacing w:before="480" w:after="240"/>
    </w:pPr>
  </w:style>
  <w:style w:type="paragraph" w:customStyle="1" w:styleId="PageHeading">
    <w:name w:val="PageHeading"/>
    <w:basedOn w:val="Normal"/>
    <w:rsid w:val="00C300FA"/>
    <w:pPr>
      <w:keepNext/>
      <w:spacing w:after="480"/>
      <w:jc w:val="center"/>
    </w:pPr>
    <w:rPr>
      <w:rFonts w:ascii="Arial" w:hAnsi="Arial" w:cs="Arial"/>
      <w:b/>
    </w:rPr>
  </w:style>
  <w:style w:type="paragraph" w:customStyle="1" w:styleId="NormalBold">
    <w:name w:val="NormalBold"/>
    <w:basedOn w:val="Normal"/>
    <w:rsid w:val="00C300FA"/>
    <w:rPr>
      <w:b/>
    </w:rPr>
  </w:style>
  <w:style w:type="paragraph" w:customStyle="1" w:styleId="NormalHanging12a">
    <w:name w:val="NormalHanging12a"/>
    <w:basedOn w:val="Normal"/>
    <w:link w:val="NormalHanging12aChar"/>
    <w:rsid w:val="00C300FA"/>
    <w:pPr>
      <w:spacing w:after="240"/>
      <w:ind w:left="567" w:hanging="567"/>
    </w:pPr>
  </w:style>
  <w:style w:type="paragraph" w:customStyle="1" w:styleId="NormalCenter12a">
    <w:name w:val="NormalCenter12a"/>
    <w:basedOn w:val="Normal"/>
    <w:rsid w:val="00C300FA"/>
    <w:pPr>
      <w:spacing w:after="240"/>
      <w:jc w:val="center"/>
    </w:pPr>
  </w:style>
  <w:style w:type="paragraph" w:styleId="Header">
    <w:name w:val="header"/>
    <w:basedOn w:val="Normal"/>
    <w:link w:val="HeaderChar"/>
    <w:rsid w:val="00C300FA"/>
    <w:pPr>
      <w:tabs>
        <w:tab w:val="center" w:pos="4513"/>
        <w:tab w:val="right" w:pos="9026"/>
      </w:tabs>
    </w:pPr>
  </w:style>
  <w:style w:type="character" w:customStyle="1" w:styleId="HeaderChar">
    <w:name w:val="Header Char"/>
    <w:basedOn w:val="DefaultParagraphFont"/>
    <w:link w:val="Header"/>
    <w:rsid w:val="00C300FA"/>
    <w:rPr>
      <w:sz w:val="24"/>
      <w:lang w:val="sv-SE"/>
    </w:rPr>
  </w:style>
  <w:style w:type="paragraph" w:customStyle="1" w:styleId="EPFooter">
    <w:name w:val="EPFooter"/>
    <w:basedOn w:val="Normal"/>
    <w:rsid w:val="00C300F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300FA"/>
    <w:rPr>
      <w:sz w:val="24"/>
      <w:lang w:val="sv-SE"/>
    </w:rPr>
  </w:style>
  <w:style w:type="paragraph" w:customStyle="1" w:styleId="Normal12Hanging">
    <w:name w:val="Normal12Hanging"/>
    <w:basedOn w:val="Normal"/>
    <w:rsid w:val="00C300FA"/>
    <w:pPr>
      <w:spacing w:after="240"/>
      <w:ind w:left="567" w:hanging="567"/>
    </w:pPr>
  </w:style>
  <w:style w:type="paragraph" w:styleId="BalloonText">
    <w:name w:val="Balloon Text"/>
    <w:basedOn w:val="Normal"/>
    <w:link w:val="BalloonTextChar"/>
    <w:rsid w:val="00CD3F2B"/>
    <w:rPr>
      <w:rFonts w:ascii="Segoe UI" w:hAnsi="Segoe UI" w:cs="Segoe UI"/>
      <w:sz w:val="18"/>
      <w:szCs w:val="18"/>
    </w:rPr>
  </w:style>
  <w:style w:type="character" w:customStyle="1" w:styleId="BalloonTextChar">
    <w:name w:val="Balloon Text Char"/>
    <w:basedOn w:val="DefaultParagraphFont"/>
    <w:link w:val="BalloonText"/>
    <w:rsid w:val="00CD3F2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B4CFF-CA21-4901-83BC-EF7DCAECF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2762</Words>
  <Characters>18241</Characters>
  <Application>Microsoft Office Word</Application>
  <DocSecurity>0</DocSecurity>
  <Lines>152</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2024-05-31T11:26:00Z</dcterms:created>
  <dcterms:modified xsi:type="dcterms:W3CDTF">2024-05-31T11:26:00Z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P9_TA(2024)0248_</vt:lpwstr>
  </property>
  <property fmtid="{D5CDD505-2E9C-101B-9397-08002B2CF9AE}" pid="4" name="&lt;Type&gt;">
    <vt:lpwstr>RR</vt:lpwstr>
  </property>
</Properties>
</file>