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19DE" w14:paraId="7C2AC98C" w14:textId="77777777" w:rsidTr="0010095E">
        <w:trPr>
          <w:trHeight w:hRule="exact" w:val="1418"/>
        </w:trPr>
        <w:tc>
          <w:tcPr>
            <w:tcW w:w="6804" w:type="dxa"/>
            <w:shd w:val="clear" w:color="auto" w:fill="auto"/>
            <w:vAlign w:val="center"/>
          </w:tcPr>
          <w:p w14:paraId="0865EB36" w14:textId="77777777" w:rsidR="00751A4A" w:rsidRPr="00DC19DE" w:rsidRDefault="00B3141E" w:rsidP="0010095E">
            <w:pPr>
              <w:pStyle w:val="EPName"/>
            </w:pPr>
            <w:r w:rsidRPr="00DC19DE">
              <w:t>Europa-Parlamentet</w:t>
            </w:r>
          </w:p>
          <w:p w14:paraId="48FD3110" w14:textId="77777777" w:rsidR="00751A4A" w:rsidRPr="00DC19DE" w:rsidRDefault="00817416" w:rsidP="00756632">
            <w:pPr>
              <w:pStyle w:val="EPTerm"/>
              <w:rPr>
                <w:rStyle w:val="HideTWBExt"/>
                <w:noProof w:val="0"/>
                <w:vanish w:val="0"/>
                <w:color w:val="auto"/>
              </w:rPr>
            </w:pPr>
            <w:r w:rsidRPr="00DC19DE">
              <w:t>2019-2024</w:t>
            </w:r>
          </w:p>
        </w:tc>
        <w:tc>
          <w:tcPr>
            <w:tcW w:w="2268" w:type="dxa"/>
            <w:shd w:val="clear" w:color="auto" w:fill="auto"/>
          </w:tcPr>
          <w:p w14:paraId="3450005D" w14:textId="77777777" w:rsidR="00751A4A" w:rsidRPr="00DC19DE" w:rsidRDefault="00187494" w:rsidP="0010095E">
            <w:pPr>
              <w:pStyle w:val="EPLogo"/>
            </w:pPr>
            <w:r w:rsidRPr="00DC19DE">
              <w:rPr>
                <w:noProof/>
                <w:lang w:eastAsia="da-DK"/>
              </w:rPr>
              <w:drawing>
                <wp:inline distT="0" distB="0" distL="0" distR="0" wp14:anchorId="5B30BEA6" wp14:editId="780EDB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82F0EE" w14:textId="77777777" w:rsidR="00D058B8" w:rsidRPr="00DC19DE" w:rsidRDefault="00D058B8" w:rsidP="004C5D52">
      <w:pPr>
        <w:pStyle w:val="LineTop"/>
      </w:pPr>
    </w:p>
    <w:p w14:paraId="0A6191B0" w14:textId="77777777" w:rsidR="00680577" w:rsidRPr="00DC19DE" w:rsidRDefault="00B3141E" w:rsidP="00680577">
      <w:pPr>
        <w:pStyle w:val="EPBodyTA1"/>
      </w:pPr>
      <w:r w:rsidRPr="00DC19DE">
        <w:t>VEDTAGNE TEKSTER</w:t>
      </w:r>
    </w:p>
    <w:p w14:paraId="5C1EBB64" w14:textId="77777777" w:rsidR="00D058B8" w:rsidRPr="00DC19DE" w:rsidRDefault="00D058B8" w:rsidP="00D058B8">
      <w:pPr>
        <w:pStyle w:val="LineBottom"/>
      </w:pPr>
    </w:p>
    <w:p w14:paraId="2207DCD9" w14:textId="365A2D89" w:rsidR="00B3141E" w:rsidRPr="00DC19DE" w:rsidRDefault="00B3141E" w:rsidP="00B3141E">
      <w:pPr>
        <w:pStyle w:val="ATHeading1"/>
      </w:pPr>
      <w:bookmarkStart w:id="0" w:name="TANumber"/>
      <w:r w:rsidRPr="00DC19DE">
        <w:t>P9_TA(2024)0</w:t>
      </w:r>
      <w:bookmarkEnd w:id="0"/>
      <w:r w:rsidR="002F7383">
        <w:t>249</w:t>
      </w:r>
    </w:p>
    <w:p w14:paraId="22B02B6E" w14:textId="77777777" w:rsidR="00B3141E" w:rsidRPr="00DC19DE" w:rsidRDefault="0014716D" w:rsidP="00B3141E">
      <w:pPr>
        <w:pStyle w:val="ATHeading2"/>
      </w:pPr>
      <w:r w:rsidRPr="0014716D">
        <w:t>Decharge 2022: Den Europæiske Unions Luftfartssikkerhedsagentur</w:t>
      </w:r>
    </w:p>
    <w:p w14:paraId="5B7ED015" w14:textId="77777777" w:rsidR="00B3141E" w:rsidRPr="00DC19DE" w:rsidRDefault="00B3141E" w:rsidP="00B3141E">
      <w:pPr>
        <w:rPr>
          <w:i/>
          <w:vanish/>
        </w:rPr>
      </w:pPr>
      <w:r w:rsidRPr="00DC19DE">
        <w:rPr>
          <w:i/>
        </w:rPr>
        <w:fldChar w:fldCharType="begin"/>
      </w:r>
      <w:r w:rsidRPr="00DC19DE">
        <w:rPr>
          <w:i/>
        </w:rPr>
        <w:instrText xml:space="preserve"> TC"(</w:instrText>
      </w:r>
      <w:bookmarkStart w:id="1" w:name="DocNumber"/>
      <w:r w:rsidRPr="00DC19DE">
        <w:rPr>
          <w:i/>
        </w:rPr>
        <w:instrText>A9-0116/2024</w:instrText>
      </w:r>
      <w:bookmarkEnd w:id="1"/>
      <w:r w:rsidRPr="00DC19DE">
        <w:rPr>
          <w:i/>
        </w:rPr>
        <w:instrText xml:space="preserve"> - Ordfører: Petri Sarvamaa)"\l3 \n&gt; \* MERGEFORMAT </w:instrText>
      </w:r>
      <w:r w:rsidRPr="00DC19DE">
        <w:rPr>
          <w:i/>
        </w:rPr>
        <w:fldChar w:fldCharType="end"/>
      </w:r>
    </w:p>
    <w:p w14:paraId="2B01AD84" w14:textId="77777777" w:rsidR="00B3141E" w:rsidRPr="00DC19DE" w:rsidRDefault="00B3141E" w:rsidP="00B3141E">
      <w:pPr>
        <w:rPr>
          <w:vanish/>
        </w:rPr>
      </w:pPr>
      <w:bookmarkStart w:id="2" w:name="Commission"/>
      <w:r w:rsidRPr="00DC19DE">
        <w:rPr>
          <w:vanish/>
        </w:rPr>
        <w:t>Budgetkontroludvalget</w:t>
      </w:r>
      <w:bookmarkEnd w:id="2"/>
    </w:p>
    <w:p w14:paraId="7A6A6C67" w14:textId="77777777" w:rsidR="00B3141E" w:rsidRPr="00DC19DE" w:rsidRDefault="00B3141E" w:rsidP="00B3141E">
      <w:pPr>
        <w:rPr>
          <w:vanish/>
        </w:rPr>
      </w:pPr>
      <w:bookmarkStart w:id="3" w:name="PE"/>
      <w:r w:rsidRPr="00DC19DE">
        <w:rPr>
          <w:vanish/>
        </w:rPr>
        <w:t>PE753.511</w:t>
      </w:r>
      <w:bookmarkEnd w:id="3"/>
    </w:p>
    <w:p w14:paraId="5FCDA83F" w14:textId="77777777" w:rsidR="00B3141E" w:rsidRPr="00DC19DE" w:rsidRDefault="00E36222" w:rsidP="00B3141E">
      <w:pPr>
        <w:pStyle w:val="ATHeading3"/>
      </w:pPr>
      <w:bookmarkStart w:id="4" w:name="Sujet"/>
      <w:r>
        <w:t xml:space="preserve">1. </w:t>
      </w:r>
      <w:r w:rsidRPr="009574E6">
        <w:t xml:space="preserve">Europa-Parlamentets </w:t>
      </w:r>
      <w:r>
        <w:t xml:space="preserve">afgørelse af 11. april 2024 </w:t>
      </w:r>
      <w:r w:rsidRPr="009574E6">
        <w:t>om decharge</w:t>
      </w:r>
      <w:r w:rsidR="00B3141E" w:rsidRPr="00DC19DE">
        <w:t xml:space="preserve"> for gennemførelsen af budgettet for Den Europæiske Unions Luftfartssikkerhedsagentur for regnskabsåret 2022</w:t>
      </w:r>
      <w:bookmarkEnd w:id="4"/>
      <w:r w:rsidR="00B3141E" w:rsidRPr="00DC19DE">
        <w:t xml:space="preserve"> </w:t>
      </w:r>
      <w:bookmarkStart w:id="5" w:name="References"/>
      <w:r w:rsidR="00B3141E" w:rsidRPr="00DC19DE">
        <w:t>(2023/2145(DEC))</w:t>
      </w:r>
      <w:bookmarkEnd w:id="5"/>
    </w:p>
    <w:p w14:paraId="6FBC6A67" w14:textId="77777777" w:rsidR="00567B31" w:rsidRPr="00DC19DE" w:rsidRDefault="00567B31" w:rsidP="00567B31">
      <w:pPr>
        <w:pStyle w:val="EPComma"/>
      </w:pPr>
      <w:bookmarkStart w:id="6" w:name="TextBodyBegin"/>
      <w:bookmarkEnd w:id="6"/>
      <w:r w:rsidRPr="00DC19DE">
        <w:rPr>
          <w:i/>
        </w:rPr>
        <w:t>Europa-Parlamentet</w:t>
      </w:r>
      <w:r w:rsidRPr="00DC19DE">
        <w:t>,</w:t>
      </w:r>
    </w:p>
    <w:p w14:paraId="2A4AD260" w14:textId="77777777" w:rsidR="00567B31" w:rsidRPr="00DC19DE" w:rsidRDefault="00567B31" w:rsidP="00567B31">
      <w:pPr>
        <w:pStyle w:val="NormalHanging12a"/>
      </w:pPr>
      <w:r w:rsidRPr="00DC19DE">
        <w:t>–</w:t>
      </w:r>
      <w:r w:rsidRPr="00DC19DE">
        <w:tab/>
        <w:t>der henviser til det endelige årsregnskab for Den Europæiske Unions Luftfartssikkerhedsagentur for regnskabsåret 2022,</w:t>
      </w:r>
    </w:p>
    <w:p w14:paraId="13758884" w14:textId="77777777" w:rsidR="00567B31" w:rsidRPr="00DC19DE" w:rsidRDefault="00567B31" w:rsidP="00567B31">
      <w:pPr>
        <w:pStyle w:val="NormalHanging12a"/>
      </w:pPr>
      <w:r w:rsidRPr="00DC19DE">
        <w:t>–</w:t>
      </w:r>
      <w:r w:rsidRPr="00DC19DE">
        <w:tab/>
        <w:t>der henviser til Revisionsrettens årsberetning om EU-agenturerne for regnskabsåret 2022, med agenturernes svar</w:t>
      </w:r>
      <w:r w:rsidRPr="00DC19DE">
        <w:rPr>
          <w:rStyle w:val="FootnoteReference"/>
        </w:rPr>
        <w:footnoteReference w:id="1"/>
      </w:r>
      <w:r w:rsidRPr="00DC19DE">
        <w:t>,</w:t>
      </w:r>
    </w:p>
    <w:p w14:paraId="1F02E90D" w14:textId="77777777" w:rsidR="00567B31" w:rsidRPr="00DC19DE" w:rsidRDefault="00567B31" w:rsidP="00567B31">
      <w:pPr>
        <w:pStyle w:val="NormalHanging12a"/>
      </w:pPr>
      <w:r w:rsidRPr="00DC19DE">
        <w:t>–</w:t>
      </w:r>
      <w:r w:rsidRPr="00DC19DE">
        <w:tab/>
        <w:t>der henviser til Revisionsrettens erklæring for regnskabsåret 2022 om regnskabernes rigtighed</w:t>
      </w:r>
      <w:r w:rsidRPr="00DC19DE">
        <w:rPr>
          <w:rStyle w:val="FootnoteReference"/>
        </w:rPr>
        <w:footnoteReference w:id="2"/>
      </w:r>
      <w:r w:rsidRPr="00DC19DE">
        <w:t xml:space="preserve"> og de underliggende transaktioners lovlighed og formelle rigtighed, jf. artikel 287 i traktaten om Den Europæiske Unions funktionsmåde,</w:t>
      </w:r>
    </w:p>
    <w:p w14:paraId="4DB35AEF" w14:textId="4CD3C244" w:rsidR="00567B31" w:rsidRPr="00DC19DE" w:rsidRDefault="00567B31" w:rsidP="00567B31">
      <w:pPr>
        <w:pStyle w:val="NormalHanging12a"/>
      </w:pPr>
      <w:r w:rsidRPr="00DC19DE">
        <w:t>–</w:t>
      </w:r>
      <w:r w:rsidRPr="00DC19DE">
        <w:tab/>
        <w:t>der henviser til Rådets henstilling af 22. februar 2024 om decharge til agenturet for gennemførelsen af budgettet for regnskabsåret 2022 (</w:t>
      </w:r>
      <w:r w:rsidR="00527A9E" w:rsidRPr="00897242">
        <w:t>06180</w:t>
      </w:r>
      <w:r w:rsidRPr="00DC19DE">
        <w:t>/2024 – C9</w:t>
      </w:r>
      <w:r w:rsidRPr="00DC19DE">
        <w:noBreakHyphen/>
        <w:t>00</w:t>
      </w:r>
      <w:r w:rsidR="00527A9E">
        <w:t>83</w:t>
      </w:r>
      <w:r w:rsidRPr="00DC19DE">
        <w:t>/2024),</w:t>
      </w:r>
    </w:p>
    <w:p w14:paraId="74B45A0A" w14:textId="77777777" w:rsidR="00567B31" w:rsidRPr="00DC19DE" w:rsidRDefault="00567B31" w:rsidP="00567B31">
      <w:pPr>
        <w:pStyle w:val="NormalHanging12a"/>
      </w:pPr>
      <w:r w:rsidRPr="00DC19DE">
        <w:t>–</w:t>
      </w:r>
      <w:r w:rsidRPr="00DC19DE">
        <w:tab/>
        <w:t>der henviser til artikel 319 i traktaten om Den Europæiske Unions funktionsmåde,</w:t>
      </w:r>
    </w:p>
    <w:p w14:paraId="45EF1BF5" w14:textId="77777777" w:rsidR="00567B31" w:rsidRPr="00DC19DE" w:rsidRDefault="00567B31" w:rsidP="00567B31">
      <w:pPr>
        <w:pStyle w:val="NormalHanging12a"/>
      </w:pPr>
      <w:r w:rsidRPr="00DC19DE">
        <w:t>–</w:t>
      </w:r>
      <w:r w:rsidRPr="00DC19DE">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DC19DE">
        <w:rPr>
          <w:rStyle w:val="FootnoteReference"/>
        </w:rPr>
        <w:footnoteReference w:id="3"/>
      </w:r>
      <w:r w:rsidRPr="00DC19DE">
        <w:t>, særlig artikel 70,</w:t>
      </w:r>
    </w:p>
    <w:p w14:paraId="01105642" w14:textId="77777777" w:rsidR="00567B31" w:rsidRPr="00DC19DE" w:rsidRDefault="00567B31" w:rsidP="00567B31">
      <w:pPr>
        <w:pStyle w:val="NormalHanging12a"/>
      </w:pPr>
      <w:r w:rsidRPr="00DC19DE">
        <w:t>–</w:t>
      </w:r>
      <w:r w:rsidRPr="00DC19DE">
        <w:tab/>
        <w:t xml:space="preserve">der henviser til Europa-Parlamentets og Rådets forordning (EU) 2018/1139 af 4. juli 2018 om fælles regler for civil luftfart og oprettelse af Den Europæiske Unions Luftfartssikkerhedsagentur og om ændring af forordning (EF) nr. 2111/2005, (EF) nr. </w:t>
      </w:r>
      <w:r w:rsidRPr="00DC19DE">
        <w:lastRenderedPageBreak/>
        <w:t>1008/2008, (EU) nr. 996/2010, (EU) nr. 376/2014 og direktiv 2014/30/EU og 2014/53/EU og om ophævelse af (EF) nr. 552/2004 og (EF) nr. 216/2008 og Rådets forordning (EØF) nr. 3922/91</w:t>
      </w:r>
      <w:r w:rsidRPr="00DC19DE">
        <w:rPr>
          <w:rStyle w:val="FootnoteReference"/>
        </w:rPr>
        <w:footnoteReference w:id="4"/>
      </w:r>
      <w:r w:rsidRPr="00DC19DE">
        <w:t>, særlig artikel 121,</w:t>
      </w:r>
    </w:p>
    <w:p w14:paraId="6AC9C3B1" w14:textId="77777777" w:rsidR="00567B31" w:rsidRPr="00DC19DE" w:rsidRDefault="00567B31" w:rsidP="00567B31">
      <w:pPr>
        <w:pStyle w:val="NormalHanging12a"/>
      </w:pPr>
      <w:r w:rsidRPr="00DC19DE">
        <w:t>–</w:t>
      </w:r>
      <w:r w:rsidRPr="00DC19DE">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DC19DE">
        <w:rPr>
          <w:rStyle w:val="FootnoteReference"/>
        </w:rPr>
        <w:footnoteReference w:id="5"/>
      </w:r>
      <w:r w:rsidRPr="00DC19DE">
        <w:t>, særlig artikel 105,</w:t>
      </w:r>
    </w:p>
    <w:p w14:paraId="59655376" w14:textId="77777777" w:rsidR="00567B31" w:rsidRPr="00DC19DE" w:rsidRDefault="00567B31" w:rsidP="00567B31">
      <w:pPr>
        <w:pStyle w:val="NormalHanging12a"/>
      </w:pPr>
      <w:r w:rsidRPr="00DC19DE">
        <w:t>–</w:t>
      </w:r>
      <w:r w:rsidRPr="00DC19DE">
        <w:tab/>
        <w:t>der henviser til forretningsordenens artikel 100 og bilag V,</w:t>
      </w:r>
    </w:p>
    <w:p w14:paraId="1F3FCC7B" w14:textId="77777777" w:rsidR="00567B31" w:rsidRPr="00DC19DE" w:rsidRDefault="00567B31" w:rsidP="00567B31">
      <w:pPr>
        <w:pStyle w:val="NormalHanging12a"/>
      </w:pPr>
      <w:r w:rsidRPr="00DC19DE">
        <w:t>–</w:t>
      </w:r>
      <w:r w:rsidRPr="00DC19DE">
        <w:tab/>
        <w:t>der henviser til udtalelse fra Transport- og Turismeudvalget,</w:t>
      </w:r>
    </w:p>
    <w:p w14:paraId="6D9452C3" w14:textId="77777777" w:rsidR="00567B31" w:rsidRPr="00DC19DE" w:rsidRDefault="00567B31" w:rsidP="00567B31">
      <w:pPr>
        <w:pStyle w:val="NormalHanging12a"/>
      </w:pPr>
      <w:r w:rsidRPr="00DC19DE">
        <w:t>–</w:t>
      </w:r>
      <w:r w:rsidRPr="00DC19DE">
        <w:tab/>
        <w:t>der henviser til betænkning fra Budgetkontroludvalget (A9-0116/2024),</w:t>
      </w:r>
    </w:p>
    <w:p w14:paraId="6E37F900" w14:textId="77777777" w:rsidR="00567B31" w:rsidRPr="00DC19DE" w:rsidRDefault="00567B31" w:rsidP="00567B31">
      <w:pPr>
        <w:pStyle w:val="NormalHanging12a"/>
      </w:pPr>
      <w:r w:rsidRPr="00DC19DE">
        <w:t>1.</w:t>
      </w:r>
      <w:r w:rsidRPr="00DC19DE">
        <w:tab/>
        <w:t>meddeler den administrerende direktør for Den Europæiske Unions Luftfartssikkerhedsagentur decharge for gennemførelsen af agenturets budget for regnskabsåret 2022;</w:t>
      </w:r>
    </w:p>
    <w:p w14:paraId="74586012" w14:textId="77777777" w:rsidR="00567B31" w:rsidRPr="00DC19DE" w:rsidRDefault="00567B31" w:rsidP="00567B31">
      <w:pPr>
        <w:pStyle w:val="NormalHanging12a"/>
      </w:pPr>
      <w:r w:rsidRPr="00DC19DE">
        <w:t>2.</w:t>
      </w:r>
      <w:r w:rsidRPr="00DC19DE">
        <w:tab/>
        <w:t>fremsætter sine bemærkninger i nedenstående beslutning;</w:t>
      </w:r>
    </w:p>
    <w:p w14:paraId="7D6A821B" w14:textId="06BFC0B9" w:rsidR="00567B31" w:rsidRPr="00DC19DE" w:rsidRDefault="00567B31" w:rsidP="00567B31">
      <w:pPr>
        <w:pStyle w:val="NormalHanging12a"/>
      </w:pPr>
      <w:r w:rsidRPr="00DC19DE">
        <w:t>3.</w:t>
      </w:r>
      <w:r w:rsidRPr="00DC19DE">
        <w:tab/>
        <w:t xml:space="preserve">pålægger sin formand at sende denne afgørelse og beslutningen, der er en integrerende del heraf, til den </w:t>
      </w:r>
      <w:r w:rsidR="00176853">
        <w:t xml:space="preserve">fungerende </w:t>
      </w:r>
      <w:r w:rsidRPr="00DC19DE">
        <w:t xml:space="preserve">administrerende direktør for Den Europæiske Unions Luftfartssikkerhedsagentur, Rådet, Kommissionen og Revisionsretten og drage omsorg for, at de offentliggøres i </w:t>
      </w:r>
      <w:r w:rsidRPr="00DC19DE">
        <w:rPr>
          <w:i/>
          <w:iCs/>
        </w:rPr>
        <w:t>Den Europæiske Unions Tidende</w:t>
      </w:r>
      <w:r w:rsidRPr="00DC19DE">
        <w:t xml:space="preserve"> (L-udgaven).</w:t>
      </w:r>
    </w:p>
    <w:p w14:paraId="7A0E317A" w14:textId="77777777" w:rsidR="00567B31" w:rsidRPr="00DC19DE" w:rsidRDefault="00567B31" w:rsidP="00567B31"/>
    <w:p w14:paraId="0D8D1646" w14:textId="77777777" w:rsidR="00567B31" w:rsidRPr="00DC19DE" w:rsidRDefault="00567B31" w:rsidP="00567B31">
      <w:pPr>
        <w:widowControl/>
        <w:rPr>
          <w:rFonts w:ascii="Arial" w:hAnsi="Arial" w:cs="Arial"/>
          <w:b/>
        </w:rPr>
        <w:sectPr w:rsidR="00567B31" w:rsidRPr="00DC19DE" w:rsidSect="00DC19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789C4621" w14:textId="77777777" w:rsidR="00E36222" w:rsidRPr="009574E6" w:rsidRDefault="00E36222" w:rsidP="00E36222">
      <w:pPr>
        <w:pStyle w:val="ATHeading3"/>
      </w:pPr>
      <w:r>
        <w:lastRenderedPageBreak/>
        <w:t xml:space="preserve">2. </w:t>
      </w:r>
      <w:r w:rsidRPr="009574E6">
        <w:t xml:space="preserve">Europa-Parlamentets afgørelse af </w:t>
      </w:r>
      <w:r>
        <w:t>11. april 2024</w:t>
      </w:r>
      <w:r w:rsidRPr="009574E6">
        <w:t xml:space="preserve"> </w:t>
      </w:r>
      <w:r w:rsidRPr="00DC19DE">
        <w:t>om afslutning af regnskaberne for Den Europæiske Unions Luftfartssikkerhedsagentur for regnskabsåret 2022</w:t>
      </w:r>
      <w:r>
        <w:t xml:space="preserve"> </w:t>
      </w:r>
      <w:r w:rsidRPr="00DC19DE">
        <w:t>(2023/2145(DEC))</w:t>
      </w:r>
    </w:p>
    <w:p w14:paraId="1E3B63DD" w14:textId="77777777" w:rsidR="00567B31" w:rsidRPr="00DC19DE" w:rsidRDefault="00567B31" w:rsidP="00567B31">
      <w:pPr>
        <w:pStyle w:val="EPComma"/>
      </w:pPr>
      <w:r w:rsidRPr="00DC19DE">
        <w:rPr>
          <w:i/>
          <w:iCs/>
        </w:rPr>
        <w:t>Europa-Parlamentet</w:t>
      </w:r>
      <w:r w:rsidRPr="00DC19DE">
        <w:t>,</w:t>
      </w:r>
    </w:p>
    <w:p w14:paraId="6772E322" w14:textId="77777777" w:rsidR="00567B31" w:rsidRPr="00DC19DE" w:rsidRDefault="00567B31" w:rsidP="00567B31">
      <w:pPr>
        <w:pStyle w:val="NormalHanging12a"/>
      </w:pPr>
      <w:r w:rsidRPr="00DC19DE">
        <w:t>–</w:t>
      </w:r>
      <w:r w:rsidRPr="00DC19DE">
        <w:tab/>
        <w:t>der henviser til det endelige årsregnskab for Den Europæiske Unions Luftfartssikkerhedsagentur for regnskabsåret 2022,</w:t>
      </w:r>
    </w:p>
    <w:p w14:paraId="3D8084FD" w14:textId="77777777" w:rsidR="00567B31" w:rsidRPr="00DC19DE" w:rsidRDefault="00567B31" w:rsidP="00567B31">
      <w:pPr>
        <w:pStyle w:val="NormalHanging12a"/>
      </w:pPr>
      <w:r w:rsidRPr="00DC19DE">
        <w:t>–</w:t>
      </w:r>
      <w:r w:rsidRPr="00DC19DE">
        <w:tab/>
        <w:t>der henviser til Revisionsrettens årsberetning om EU-agenturerne for regnskabsåret 2022, med agenturernes svar</w:t>
      </w:r>
      <w:r w:rsidRPr="00DC19DE">
        <w:rPr>
          <w:rStyle w:val="FootnoteReference"/>
        </w:rPr>
        <w:footnoteReference w:id="6"/>
      </w:r>
      <w:r w:rsidRPr="00DC19DE">
        <w:t>,</w:t>
      </w:r>
    </w:p>
    <w:p w14:paraId="067ABE7F" w14:textId="77777777" w:rsidR="00567B31" w:rsidRPr="00DC19DE" w:rsidRDefault="00567B31" w:rsidP="00567B31">
      <w:pPr>
        <w:pStyle w:val="NormalHanging12a"/>
      </w:pPr>
      <w:r w:rsidRPr="00DC19DE">
        <w:t>–</w:t>
      </w:r>
      <w:r w:rsidRPr="00DC19DE">
        <w:tab/>
        <w:t>der henviser til Revisionsrettens erklæring for regnskabsåret 2022 om regnskabernes rigtighed</w:t>
      </w:r>
      <w:r w:rsidRPr="00DC19DE">
        <w:rPr>
          <w:rStyle w:val="FootnoteReference"/>
        </w:rPr>
        <w:footnoteReference w:id="7"/>
      </w:r>
      <w:r w:rsidRPr="00DC19DE">
        <w:t xml:space="preserve"> og de underliggende transaktioners lovlighed og formelle rigtighed, jf. artikel 287 i traktaten om Den Europæiske Unions funktionsmåde,</w:t>
      </w:r>
    </w:p>
    <w:p w14:paraId="2DEAC6C9" w14:textId="449658E0" w:rsidR="00567B31" w:rsidRPr="00DC19DE" w:rsidRDefault="00567B31" w:rsidP="00567B31">
      <w:pPr>
        <w:pStyle w:val="NormalHanging12a"/>
      </w:pPr>
      <w:r w:rsidRPr="00DC19DE">
        <w:t>–</w:t>
      </w:r>
      <w:r w:rsidRPr="00DC19DE">
        <w:tab/>
        <w:t>der henviser til Rådets henstilling af 22. februar 2024 om decharge til agenturet for gennemførelsen af budgettet for regnskabsåret 2022 (</w:t>
      </w:r>
      <w:r w:rsidR="00527A9E" w:rsidRPr="00897242">
        <w:t>06180</w:t>
      </w:r>
      <w:r w:rsidRPr="00DC19DE">
        <w:t>/2024 – C9</w:t>
      </w:r>
      <w:r w:rsidRPr="00DC19DE">
        <w:noBreakHyphen/>
        <w:t>00</w:t>
      </w:r>
      <w:r w:rsidR="00527A9E">
        <w:t>83</w:t>
      </w:r>
      <w:r w:rsidRPr="00DC19DE">
        <w:t>/2024),</w:t>
      </w:r>
    </w:p>
    <w:p w14:paraId="22D8CCC9" w14:textId="77777777" w:rsidR="00567B31" w:rsidRPr="00DC19DE" w:rsidRDefault="00567B31" w:rsidP="00567B31">
      <w:pPr>
        <w:pStyle w:val="NormalHanging12a"/>
      </w:pPr>
      <w:r w:rsidRPr="00DC19DE">
        <w:t>–</w:t>
      </w:r>
      <w:r w:rsidRPr="00DC19DE">
        <w:tab/>
        <w:t>der henviser til artikel 319 i traktaten om Den Europæiske Unions funktionsmåde,</w:t>
      </w:r>
    </w:p>
    <w:p w14:paraId="72350499" w14:textId="77777777" w:rsidR="00567B31" w:rsidRPr="00DC19DE" w:rsidRDefault="00567B31" w:rsidP="00567B31">
      <w:pPr>
        <w:pStyle w:val="NormalHanging12a"/>
      </w:pPr>
      <w:r w:rsidRPr="00DC19DE">
        <w:t>–</w:t>
      </w:r>
      <w:r w:rsidRPr="00DC19DE">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DC19DE">
        <w:rPr>
          <w:rStyle w:val="FootnoteReference"/>
        </w:rPr>
        <w:footnoteReference w:id="8"/>
      </w:r>
      <w:r w:rsidRPr="00DC19DE">
        <w:t>, særlig artikel 70,</w:t>
      </w:r>
    </w:p>
    <w:p w14:paraId="76FE49A8" w14:textId="77777777" w:rsidR="00567B31" w:rsidRPr="00DC19DE" w:rsidRDefault="00567B31" w:rsidP="00567B31">
      <w:pPr>
        <w:pStyle w:val="NormalHanging12a"/>
      </w:pPr>
      <w:r w:rsidRPr="00DC19DE">
        <w:t>–</w:t>
      </w:r>
      <w:r w:rsidRPr="00DC19DE">
        <w:tab/>
        <w:t>der henviser til Europa-Parlamentets og Rådets forordning (EU) 2018/1139 af 4. juli 2018 om fælles regler for civil luftfart og oprettelse af Den Europæiske Unions Luftfartssikkerhedsagentur og om ændring af forordning (EF) nr. 2111/2005, (EF) nr. 1008/2008, (EU) nr. 996/2010, (EU) nr. 376/2014 og direktiv 2014/30/EU og 2014/53/EU og om ophævelse af (EF) nr. 552/2004 og (EF) nr. 216/2008 og Rådets forordning (EØF) nr. 3922/91</w:t>
      </w:r>
      <w:r w:rsidRPr="00DC19DE">
        <w:rPr>
          <w:rStyle w:val="FootnoteReference"/>
        </w:rPr>
        <w:footnoteReference w:id="9"/>
      </w:r>
      <w:r w:rsidRPr="00DC19DE">
        <w:t>, særlig artikel 121,</w:t>
      </w:r>
    </w:p>
    <w:p w14:paraId="145C976A" w14:textId="77777777" w:rsidR="00567B31" w:rsidRPr="00DC19DE" w:rsidRDefault="00567B31" w:rsidP="00567B31">
      <w:pPr>
        <w:pStyle w:val="NormalHanging12a"/>
      </w:pPr>
      <w:r w:rsidRPr="00DC19DE">
        <w:t>–</w:t>
      </w:r>
      <w:r w:rsidRPr="00DC19DE">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DC19DE">
        <w:rPr>
          <w:rStyle w:val="FootnoteReference"/>
        </w:rPr>
        <w:footnoteReference w:id="10"/>
      </w:r>
      <w:r w:rsidRPr="00DC19DE">
        <w:t>, særlig artikel 105,</w:t>
      </w:r>
    </w:p>
    <w:p w14:paraId="3F2967D8" w14:textId="77777777" w:rsidR="00567B31" w:rsidRPr="00DC19DE" w:rsidRDefault="00567B31" w:rsidP="00567B31">
      <w:pPr>
        <w:pStyle w:val="NormalHanging12a"/>
      </w:pPr>
      <w:r w:rsidRPr="00DC19DE">
        <w:t>–</w:t>
      </w:r>
      <w:r w:rsidRPr="00DC19DE">
        <w:tab/>
        <w:t>der henviser til forretningsordenens artikel 100 og bilag V,</w:t>
      </w:r>
    </w:p>
    <w:p w14:paraId="328194FF" w14:textId="77777777" w:rsidR="00567B31" w:rsidRPr="00DC19DE" w:rsidRDefault="00567B31" w:rsidP="00567B31">
      <w:pPr>
        <w:pStyle w:val="NormalHanging12a"/>
      </w:pPr>
      <w:r w:rsidRPr="00DC19DE">
        <w:t>–</w:t>
      </w:r>
      <w:r w:rsidRPr="00DC19DE">
        <w:tab/>
        <w:t>der henviser til udtalelse fra Transport- og Turismeudvalget,</w:t>
      </w:r>
    </w:p>
    <w:p w14:paraId="303DD813" w14:textId="77777777" w:rsidR="00567B31" w:rsidRPr="00DC19DE" w:rsidRDefault="00567B31" w:rsidP="00567B31">
      <w:pPr>
        <w:pStyle w:val="NormalHanging12a"/>
      </w:pPr>
      <w:r w:rsidRPr="00DC19DE">
        <w:t>–</w:t>
      </w:r>
      <w:r w:rsidRPr="00DC19DE">
        <w:tab/>
        <w:t>der henviser til betænkning fra Budgetkontroludvalget (A9-0116/2024),</w:t>
      </w:r>
    </w:p>
    <w:p w14:paraId="4F9717C9" w14:textId="77777777" w:rsidR="00567B31" w:rsidRPr="00DC19DE" w:rsidRDefault="00567B31" w:rsidP="00567B31">
      <w:pPr>
        <w:pStyle w:val="NormalHanging12a"/>
      </w:pPr>
      <w:r w:rsidRPr="00DC19DE">
        <w:lastRenderedPageBreak/>
        <w:t>1.</w:t>
      </w:r>
      <w:r w:rsidRPr="00DC19DE">
        <w:tab/>
        <w:t>godkender afslutningen af regnskaberne for Den Europæiske Unions Luftfartssikkerhedsagentur for regnskabsåret 2022;</w:t>
      </w:r>
    </w:p>
    <w:p w14:paraId="72784D69" w14:textId="5850271D" w:rsidR="00567B31" w:rsidRPr="00DC19DE" w:rsidRDefault="00567B31" w:rsidP="00567B31">
      <w:pPr>
        <w:pStyle w:val="NormalHanging12a"/>
      </w:pPr>
      <w:r w:rsidRPr="00DC19DE">
        <w:t>2.</w:t>
      </w:r>
      <w:r w:rsidRPr="00DC19DE">
        <w:tab/>
        <w:t xml:space="preserve">pålægger sin formand at sende denne afgørelse til den </w:t>
      </w:r>
      <w:r w:rsidR="00CD3C55">
        <w:t xml:space="preserve">fungerende </w:t>
      </w:r>
      <w:r w:rsidRPr="00DC19DE">
        <w:t xml:space="preserve">administrerende direktør for Den Europæiske Unions Luftfartssikkerhedsagentur, Rådet, Kommissionen og Revisionsretten og drage omsorg for, at den offentliggøres i </w:t>
      </w:r>
      <w:r w:rsidRPr="00DC19DE">
        <w:rPr>
          <w:i/>
          <w:iCs/>
        </w:rPr>
        <w:t>Den Europæiske Unions Tidende</w:t>
      </w:r>
      <w:r w:rsidRPr="00DC19DE">
        <w:t xml:space="preserve"> (L-udgaven).</w:t>
      </w:r>
    </w:p>
    <w:p w14:paraId="0C3EBBB8" w14:textId="77777777" w:rsidR="00567B31" w:rsidRPr="00DC19DE" w:rsidRDefault="00567B31" w:rsidP="00567B31"/>
    <w:p w14:paraId="5DB43E02" w14:textId="77777777" w:rsidR="00567B31" w:rsidRPr="00DC19DE" w:rsidRDefault="00567B31" w:rsidP="00567B31">
      <w:pPr>
        <w:widowControl/>
        <w:rPr>
          <w:rFonts w:ascii="Arial" w:hAnsi="Arial" w:cs="Arial"/>
          <w:b/>
        </w:rPr>
        <w:sectPr w:rsidR="00567B31" w:rsidRPr="00DC19DE" w:rsidSect="00DC19DE">
          <w:footnotePr>
            <w:numRestart w:val="eachPage"/>
          </w:footnotePr>
          <w:endnotePr>
            <w:numFmt w:val="decimal"/>
          </w:endnotePr>
          <w:pgSz w:w="11906" w:h="16838"/>
          <w:pgMar w:top="1134" w:right="1418" w:bottom="1418" w:left="1418" w:header="567" w:footer="567" w:gutter="0"/>
          <w:cols w:space="720"/>
          <w:docGrid w:linePitch="326"/>
        </w:sectPr>
      </w:pPr>
    </w:p>
    <w:p w14:paraId="66BBCD75" w14:textId="77777777" w:rsidR="00E36222" w:rsidRPr="009574E6" w:rsidRDefault="00E36222" w:rsidP="00E36222">
      <w:pPr>
        <w:pStyle w:val="ATHeading3"/>
      </w:pPr>
      <w:bookmarkStart w:id="7" w:name="_Toc323109679"/>
      <w:r>
        <w:lastRenderedPageBreak/>
        <w:t xml:space="preserve">3. </w:t>
      </w:r>
      <w:r w:rsidRPr="009574E6">
        <w:t>Europa-Parlamentets beslutning</w:t>
      </w:r>
      <w:bookmarkEnd w:id="7"/>
      <w:r w:rsidRPr="009574E6">
        <w:t xml:space="preserve"> </w:t>
      </w:r>
      <w:r w:rsidRPr="009366E9">
        <w:t xml:space="preserve">af </w:t>
      </w:r>
      <w:r>
        <w:t>11. april 2024</w:t>
      </w:r>
      <w:r w:rsidRPr="009574E6">
        <w:t xml:space="preserve"> </w:t>
      </w:r>
      <w:r w:rsidRPr="00DC19DE">
        <w:t>med bemærkningerne, der er en integrerende del af afgørelsen om decharge for gennemførelsen af budgettet for Den Europæiske Unions Luftfartssikkerhedsagentur for regnskabsåret 2022</w:t>
      </w:r>
      <w:r>
        <w:t xml:space="preserve"> </w:t>
      </w:r>
      <w:r w:rsidRPr="00DC19DE">
        <w:t>(2023/2145(DEC))</w:t>
      </w:r>
    </w:p>
    <w:p w14:paraId="4DC5EF93" w14:textId="77777777" w:rsidR="00567B31" w:rsidRPr="00DC19DE" w:rsidRDefault="00567B31" w:rsidP="00567B31">
      <w:pPr>
        <w:pStyle w:val="EPComma"/>
        <w:rPr>
          <w:szCs w:val="24"/>
        </w:rPr>
      </w:pPr>
      <w:r w:rsidRPr="00DC19DE">
        <w:rPr>
          <w:i/>
          <w:iCs/>
        </w:rPr>
        <w:t>Europa-Parlamentet</w:t>
      </w:r>
      <w:r w:rsidRPr="00DC19DE">
        <w:t>,</w:t>
      </w:r>
    </w:p>
    <w:p w14:paraId="3D84ADB9" w14:textId="77777777" w:rsidR="00567B31" w:rsidRPr="00DC19DE" w:rsidRDefault="00567B31" w:rsidP="00567B31">
      <w:pPr>
        <w:pStyle w:val="NormalHanging12a"/>
        <w:rPr>
          <w:szCs w:val="24"/>
        </w:rPr>
      </w:pPr>
      <w:r w:rsidRPr="00DC19DE">
        <w:t>–</w:t>
      </w:r>
      <w:r w:rsidRPr="00DC19DE">
        <w:tab/>
        <w:t>der henviser til sin afgørelse om decharge for gennemførelsen af budgettet for Den Europæiske Unions Luftfartssikkerhedsagentur for regnskabsåret 2022,</w:t>
      </w:r>
    </w:p>
    <w:p w14:paraId="26096B73" w14:textId="77777777" w:rsidR="00567B31" w:rsidRPr="00DC19DE" w:rsidRDefault="00567B31" w:rsidP="00567B31">
      <w:pPr>
        <w:pStyle w:val="NormalHanging12a"/>
        <w:rPr>
          <w:szCs w:val="24"/>
        </w:rPr>
      </w:pPr>
      <w:r w:rsidRPr="00DC19DE">
        <w:t>–</w:t>
      </w:r>
      <w:r w:rsidRPr="00DC19DE">
        <w:tab/>
        <w:t>der henviser til forretningsordenens artikel 100 og bilag V,</w:t>
      </w:r>
    </w:p>
    <w:p w14:paraId="526BDB11" w14:textId="77777777" w:rsidR="00567B31" w:rsidRPr="00DC19DE" w:rsidRDefault="00567B31" w:rsidP="00567B31">
      <w:pPr>
        <w:pStyle w:val="NormalHanging12a"/>
        <w:rPr>
          <w:szCs w:val="24"/>
        </w:rPr>
      </w:pPr>
      <w:r w:rsidRPr="00DC19DE">
        <w:t>–</w:t>
      </w:r>
      <w:r w:rsidRPr="00DC19DE">
        <w:tab/>
        <w:t>der henviser til udtalelse fra Transport- og Turismeudvalget,</w:t>
      </w:r>
    </w:p>
    <w:p w14:paraId="0EBFEF2C" w14:textId="77777777" w:rsidR="00567B31" w:rsidRPr="00DC19DE" w:rsidRDefault="00567B31" w:rsidP="00567B31">
      <w:pPr>
        <w:pStyle w:val="NormalHanging12a"/>
        <w:rPr>
          <w:szCs w:val="24"/>
        </w:rPr>
      </w:pPr>
      <w:r w:rsidRPr="00DC19DE">
        <w:t>–</w:t>
      </w:r>
      <w:r w:rsidRPr="00DC19DE">
        <w:tab/>
        <w:t>der henviser til betænkning fra Budgetkontroludvalget (A9-0116/2024),</w:t>
      </w:r>
    </w:p>
    <w:p w14:paraId="74473636" w14:textId="77777777" w:rsidR="00567B31" w:rsidRPr="00DC19DE" w:rsidRDefault="00567B31" w:rsidP="00567B31">
      <w:pPr>
        <w:spacing w:after="240"/>
        <w:ind w:left="567" w:hanging="567"/>
        <w:rPr>
          <w:szCs w:val="24"/>
        </w:rPr>
      </w:pPr>
      <w:r w:rsidRPr="00DC19DE">
        <w:t>A.</w:t>
      </w:r>
      <w:r w:rsidRPr="00DC19DE">
        <w:tab/>
        <w:t>der henviser til, at det endelige budget for Den Europæiske Unions Luftfartssikkerhedsagentur ("agenturet") for regnskabsåret 2022 ifølge dets oversigt over indtægter og udgifter</w:t>
      </w:r>
      <w:r w:rsidRPr="00DC19DE">
        <w:rPr>
          <w:szCs w:val="24"/>
          <w:vertAlign w:val="superscript"/>
        </w:rPr>
        <w:footnoteReference w:id="11"/>
      </w:r>
      <w:r w:rsidRPr="00DC19DE">
        <w:t xml:space="preserve"> var på 224 265 965 EUR, hvilket svarer til en stigning på 10,04 % i forhold til 2021; der henviser til, at 39 678 000 EUR af agenturets budget stammer fra Unionens budget, og 120 435 000 EUR er indtægter fra gebyrer og afgifter;</w:t>
      </w:r>
    </w:p>
    <w:p w14:paraId="6AF79D8A" w14:textId="77777777" w:rsidR="00567B31" w:rsidRPr="00DC19DE" w:rsidRDefault="00567B31" w:rsidP="00567B31">
      <w:pPr>
        <w:spacing w:after="240"/>
        <w:ind w:left="567" w:hanging="567"/>
        <w:rPr>
          <w:szCs w:val="24"/>
        </w:rPr>
      </w:pPr>
      <w:r w:rsidRPr="00DC19DE">
        <w:t>B.</w:t>
      </w:r>
      <w:r w:rsidRPr="00DC19DE">
        <w:tab/>
        <w:t>der henviser til, at Revisionsretten i sin beretning om Den Europæiske Unions Luftfartssikkerhedsagenturs årsregnskab for regnskabsåret 2022 ("Revisionsrettens beretning") fastslår, at den har fået rimelig sikkerhed for, at agenturets årsregnskab er rigtigt, og at de underliggende transaktioner er lovlige og formelt rigtige;</w:t>
      </w:r>
    </w:p>
    <w:p w14:paraId="3863B4F0" w14:textId="77777777" w:rsidR="00567B31" w:rsidRPr="00DC19DE" w:rsidRDefault="00567B31" w:rsidP="00567B31">
      <w:pPr>
        <w:spacing w:after="240"/>
        <w:ind w:left="567" w:hanging="567"/>
        <w:rPr>
          <w:b/>
          <w:i/>
          <w:szCs w:val="24"/>
        </w:rPr>
      </w:pPr>
      <w:r w:rsidRPr="00DC19DE">
        <w:rPr>
          <w:b/>
          <w:i/>
        </w:rPr>
        <w:t>Budgetmæssig og økonomisk forvaltning</w:t>
      </w:r>
    </w:p>
    <w:p w14:paraId="64213420" w14:textId="77777777" w:rsidR="00567B31" w:rsidRPr="00DC19DE" w:rsidRDefault="00567B31" w:rsidP="00567B31">
      <w:pPr>
        <w:spacing w:after="240"/>
        <w:ind w:left="567" w:hanging="567"/>
        <w:rPr>
          <w:szCs w:val="24"/>
        </w:rPr>
      </w:pPr>
      <w:r w:rsidRPr="00DC19DE">
        <w:t>1.</w:t>
      </w:r>
      <w:r w:rsidRPr="00DC19DE">
        <w:tab/>
        <w:t>bemærker, at budgetovervågningsindsatsen i regnskabsåret 2022 resulterede i en budgetgennemførelsesgrad i forpligtelsesbevillinger for det pågældende år på 97,08 %, hvilket svarer til en stigning på 0,77 % i forhold til 2021; bemærker endvidere, at udnyttelsesgraden for betalingsbevillinger i det pågældende år var på 87,18 %, hvilket viser et lille fald på 0,16 % i forhold til 2021;</w:t>
      </w:r>
    </w:p>
    <w:p w14:paraId="68D9A0C4" w14:textId="77777777" w:rsidR="00567B31" w:rsidRPr="00DC19DE" w:rsidRDefault="00567B31" w:rsidP="00567B31">
      <w:pPr>
        <w:spacing w:after="240"/>
        <w:ind w:left="567" w:hanging="567"/>
        <w:rPr>
          <w:szCs w:val="24"/>
        </w:rPr>
      </w:pPr>
      <w:r w:rsidRPr="00DC19DE">
        <w:t>2.</w:t>
      </w:r>
      <w:r w:rsidRPr="00DC19DE">
        <w:tab/>
      </w:r>
      <w:r w:rsidRPr="00DC19DE">
        <w:rPr>
          <w:shd w:val="clear" w:color="auto" w:fill="FFFFFF"/>
        </w:rPr>
        <w:t>bemærker, at agenturet afsluttede året med et negativt budgetresultat for gebyrer og afgifter på 8,2 mio. EUR (sammenlignet med 11,2 mio. EUR i 2021); bemærker, at agenturets akkumulerede overskud fra gebyrer og afgifter som konsekvens heraf faldt fra 72,1 mio. EUR til 63,9 mio. EUR;</w:t>
      </w:r>
      <w:r w:rsidRPr="00DC19DE">
        <w:t xml:space="preserve"> bemærker, at andelen af bortfaldne bevillinger vedrørende forpligtelser fremført til 2022 var på 2,82 %, hvilket er under det loft på 5 %, som Kommissionen har fastsat;</w:t>
      </w:r>
    </w:p>
    <w:p w14:paraId="7FF963AE" w14:textId="77777777" w:rsidR="00567B31" w:rsidRPr="00DC19DE" w:rsidRDefault="00567B31" w:rsidP="00567B31">
      <w:pPr>
        <w:pStyle w:val="NormalHanging12a"/>
      </w:pPr>
      <w:r w:rsidRPr="00DC19DE">
        <w:t>3.</w:t>
      </w:r>
      <w:r w:rsidRPr="00DC19DE">
        <w:tab/>
        <w:t>bemærker på baggrund af Revisionsrettens beretning, at agenturet opkræver gebyrer og afgifter for levering af certificeringstjenester, men ikke dokumenterer de kontroller, det foretager, for at sikre at disse indtægter opkræves korrekt, og derfor ikke overholder artikel 74, stk. 5, og artikel 75 i finansforordningen; noterer sig agenturets svar, hvori agenturet forpligter sig til at træffe de nødvendige foranstaltninger for at sikre, at kontrollen dokumenteres behørigt;</w:t>
      </w:r>
    </w:p>
    <w:p w14:paraId="1D71FA4E" w14:textId="77777777" w:rsidR="00567B31" w:rsidRPr="00DC19DE" w:rsidRDefault="00567B31" w:rsidP="00567B31">
      <w:pPr>
        <w:spacing w:after="240"/>
        <w:ind w:left="567" w:hanging="567"/>
        <w:rPr>
          <w:b/>
          <w:i/>
          <w:szCs w:val="24"/>
        </w:rPr>
      </w:pPr>
      <w:r w:rsidRPr="00DC19DE">
        <w:rPr>
          <w:b/>
          <w:i/>
        </w:rPr>
        <w:lastRenderedPageBreak/>
        <w:t>Performance</w:t>
      </w:r>
    </w:p>
    <w:p w14:paraId="389C51FC" w14:textId="77777777" w:rsidR="00567B31" w:rsidRPr="00DC19DE" w:rsidRDefault="00567B31" w:rsidP="00567B31">
      <w:pPr>
        <w:spacing w:after="240"/>
        <w:ind w:left="567" w:hanging="567"/>
        <w:rPr>
          <w:szCs w:val="24"/>
        </w:rPr>
      </w:pPr>
      <w:r w:rsidRPr="00DC19DE">
        <w:t>4.</w:t>
      </w:r>
      <w:r w:rsidRPr="00DC19DE">
        <w:tab/>
        <w:t>bemærker, at agenturet i 2022 anvendte visse foranstaltninger til at vurdere merværdien af sine aktiviteter og andre foranstaltninger for at forbedre sin budgetforvaltning ved hjælp af en blanding af 128 mål og 66 centrale resultatindikatorer (KPI'er) på 11 centrale indsatsområder; bemærker, at agenturet i 2022 havde meget gode resultater med en gennemførelsesgrad på 97 % af sit årlige arbejdsprogram for 2022 og 77 % af agenturets KPI'er på rette spor;</w:t>
      </w:r>
    </w:p>
    <w:p w14:paraId="60020D9B" w14:textId="77777777" w:rsidR="00567B31" w:rsidRPr="00DC19DE" w:rsidRDefault="00567B31" w:rsidP="00567B31">
      <w:pPr>
        <w:pStyle w:val="Default"/>
        <w:spacing w:after="240"/>
        <w:ind w:left="567" w:hanging="567"/>
        <w:rPr>
          <w:rFonts w:ascii="Times New Roman" w:hAnsi="Times New Roman" w:cs="Times New Roman"/>
        </w:rPr>
      </w:pPr>
      <w:r w:rsidRPr="00DC19DE">
        <w:rPr>
          <w:rFonts w:ascii="Times New Roman" w:hAnsi="Times New Roman"/>
        </w:rPr>
        <w:t>5.</w:t>
      </w:r>
      <w:r w:rsidRPr="00DC19DE">
        <w:rPr>
          <w:rFonts w:ascii="Times New Roman" w:hAnsi="Times New Roman"/>
        </w:rPr>
        <w:tab/>
        <w:t>anerkender agenturets vigtige resultater og fremskridt i 2022 på nye områder i tilknytning til grønne løsninger og digitalisering; bemærker i den forbindelse, at agenturet intensiverede sin indsats med henblik på en ren luftfart gennem EASA's program for bæredygtig luftfart – 2022 med forskellige foranstaltninger såsom offentliggørelsen af den tredje udgave af miljørapporten for europæisk luftfart og det vellykkede bidrag til konklusionerne vedrørende miljø fra Organisationen for International Civil Luftfarts (ICAO's) 41. samling; noterer sig, at agenturet i 2022 gennemførte en udførlig gennemgang af de strategiske prioriteter for håndtering af risiciene for systemet i forbindelse med den europæiske plan for luftfartssikkerhedssystemet (EPAS); bemærker i den forbindelse, at gennemgangen resulterede i et stærkere fokus på forvaltningen af de indbyrdes forbindelser mellem risici samt på personalets kompetencer, og der blev medtaget yderligere prioriteter om sikker integration af fremspirende teknologier og nye forretningskoncepter; bemærker, at disse nye strategiske prioriteter er medtaget i 2023-2025-udgaven af EPAS, som blev vedtaget i 2022;</w:t>
      </w:r>
    </w:p>
    <w:p w14:paraId="49D0E413" w14:textId="77777777" w:rsidR="00567B31" w:rsidRPr="00DC19DE" w:rsidRDefault="00567B31" w:rsidP="00567B31">
      <w:pPr>
        <w:autoSpaceDE w:val="0"/>
        <w:autoSpaceDN w:val="0"/>
        <w:adjustRightInd w:val="0"/>
        <w:spacing w:after="240"/>
        <w:ind w:left="567" w:hanging="567"/>
        <w:rPr>
          <w:szCs w:val="24"/>
        </w:rPr>
      </w:pPr>
      <w:r w:rsidRPr="00DC19DE">
        <w:t>6.</w:t>
      </w:r>
      <w:r w:rsidRPr="00DC19DE">
        <w:tab/>
        <w:t>noterer sig agenturets foranstaltninger i 2022 til gennemførelse af køreplanen for lufttrafik i byerne gennem offentliggørelsen af vejledningen om design af vertiports (lufthavne til luftfartøjer, der letter og lander vertikalt), den foreslåede nye lovgivningsmæssige ramme for driften af flytaxier i byer, retningslinjerne for fastsættelse af støjniveauer for droner under 600 kg samt acceptable måder for overensstemmelse og vejledende materiale til støtte for en harmoniseret, sikker og effektiv gennemførelse af U-space i hele Unionen;</w:t>
      </w:r>
    </w:p>
    <w:p w14:paraId="6DCA94E6" w14:textId="77777777" w:rsidR="00567B31" w:rsidRPr="00DC19DE" w:rsidRDefault="00567B31" w:rsidP="00567B31">
      <w:pPr>
        <w:pStyle w:val="NormalHanging12a"/>
      </w:pPr>
      <w:r w:rsidRPr="00DC19DE">
        <w:t>7.</w:t>
      </w:r>
      <w:r w:rsidRPr="00DC19DE">
        <w:tab/>
        <w:t>hilser den digitale omstilling af det europæiske luftrum, herunder forbedrede mobilitetsmuligheder og harmoniserede kvalifikationer for udstedelse af licenser til og uddannelse af flyveledere samt ATM-systemer til lufttrafikstyring på jorden, velkommen; opfordrer til, at SERA RT-sprogbrugen for kommunikation mellem piloter og flyveledere ændres; understreger, at den digitale omstilling af det europæiske luftrum omfatter flere individuelle komponenter og byggesten, som er afgørende løsninger for den fremtidige luftrumsarkitektur og har til formål at understøtte sikkerhed, effektivitet og miljøpræstationer;</w:t>
      </w:r>
    </w:p>
    <w:p w14:paraId="0FBF4042" w14:textId="77777777" w:rsidR="00567B31" w:rsidRPr="00DC19DE" w:rsidRDefault="00567B31" w:rsidP="00567B31">
      <w:pPr>
        <w:pStyle w:val="NormalHanging12a"/>
      </w:pPr>
      <w:r w:rsidRPr="00DC19DE">
        <w:t>8.</w:t>
      </w:r>
      <w:r w:rsidRPr="00DC19DE">
        <w:tab/>
        <w:t>fremhæver vigtigheden af, at det fælles europæiske luftrum tackler fragmenteringen af det europæiske luftrum og sigter mod at forbedre ATM-præstationerne ud fra et sikkerheds-, kapacitets-, omkostningseffektivitets- og miljøperspektiv; glæder sig over agenturets arbejde med reformerne af det fælles europæiske luftrum (SES 2+) i 2022, navnlig med harmoniseringen af flyveledere gennem udstedelse af licenser og agenturets certificering af ATM/ANS-jordsystemer; roser, at begge reformer reducerer omkostningerne og øger ATM-kapaciteten og skaber betydelig merværdi for pakken af initiativer vedrørende det fælles europæiske luftrum 2+;</w:t>
      </w:r>
    </w:p>
    <w:p w14:paraId="3710CB77" w14:textId="77777777" w:rsidR="00567B31" w:rsidRPr="00DC19DE" w:rsidRDefault="00567B31" w:rsidP="00567B31">
      <w:pPr>
        <w:pStyle w:val="NormalHanging12a"/>
      </w:pPr>
      <w:r w:rsidRPr="00DC19DE">
        <w:lastRenderedPageBreak/>
        <w:t>9.</w:t>
      </w:r>
      <w:r w:rsidRPr="00DC19DE">
        <w:tab/>
        <w:t>forstår bekymringerne for så vidt angår den russiske flåde af passagerfly; glæder sig især over agenturets involvering i det civil-militære Luftfartssikkerhedsteam Ukraine, navnlig i forbindelse med den stigende efterspørgsel efter luftrum til at lette militære øvelser arrangeret af individuelle stater og NATO; anerkender den vellykkede gennemførelse af arbejdsprogrammet med Det Europæiske Forsvarsagentur (EDA), som i væsentlig grad har styrket samarbejdet inden for det nye område innovation; glæder sig over, at agenturet støttede Kommissionens initiativer inden for rammerne af RescEU-programmet (brandmandskontrakt og flybaseret MEDEVAC/transportkapacitet);</w:t>
      </w:r>
    </w:p>
    <w:p w14:paraId="1A5A6382" w14:textId="77777777" w:rsidR="00567B31" w:rsidRPr="00DC19DE" w:rsidRDefault="00567B31" w:rsidP="00567B31">
      <w:pPr>
        <w:spacing w:after="240"/>
        <w:ind w:left="567" w:hanging="567"/>
      </w:pPr>
      <w:r w:rsidRPr="00DC19DE">
        <w:t>10.</w:t>
      </w:r>
      <w:r w:rsidRPr="00DC19DE">
        <w:tab/>
        <w:t>bemærker agenturets foranstaltninger som reaktion på Ruslands angrebskrig mod Ukraine, som f.eks. offentliggørelsen af informationstidende om konfliktområder (Conflict Zone Information Bulletin), der anbefaler operatører at undlade at overflyve områder med intens eller øget militær aktivitet, og offentliggørelsen af en Safety Information Bulletin om sporadiske GNSS-afbrydelser i nærheden af konfliktområder i Ukraine; roser i den forbindelse, at den europæiske informationsudvekslings‑ og samarbejdsplatform om konfliktområder efter initiativets forsøgsfase blev sat i drift med det formål at udveksle oplysninger om trusler mod den civile luftfart, som opstår i områder med konflikt eller væbnet oprør; fremhæver endvidere, at den ulovlige invasion af Ukraine har medført nye sikkerhedsproblemer og har styrket de allerede eksisterende; gentager sin opfordring til et tæt samarbejde med de europæiske statslige og militære luftfartsmyndigheder, EDA, Den Fælles Organisation for Forsvarsmaterielsamarbejde (OCCAR) og NATO, alt efter hvad der er relevant for udførelsen af agenturets opgaver i overensstemmelse med forordning (EU) 2018/1139, med henblik på at forbedre flyvesikkerheden i Europa;</w:t>
      </w:r>
    </w:p>
    <w:p w14:paraId="18A82C73" w14:textId="77777777" w:rsidR="00567B31" w:rsidRPr="00DC19DE" w:rsidRDefault="00567B31" w:rsidP="00567B31">
      <w:pPr>
        <w:spacing w:after="240"/>
        <w:ind w:left="567" w:hanging="567"/>
      </w:pPr>
      <w:r w:rsidRPr="00DC19DE">
        <w:t>11.</w:t>
      </w:r>
      <w:r w:rsidRPr="00DC19DE">
        <w:tab/>
        <w:t>anerkender, at agenturet overholdt de sanktioner og politikker, som Kommissionen fastsatte efter den ulovlige russiske invasion af Ukraine i 2022, at alle samarbejdsaktiviteter med Rusland blev suspenderet, og at agenturet rettede sin opmærksomhed mod aktiviteter til støtte for Ukraine; glæder sig i den forbindelse over, at agenturets "Ramp Coordination"-team har støttet Kommissionen i at udarbejde en liste over luftfartøjsregistreringer, der anvendes eller kontrolleres af russiske statsborgere, og at listen blev ajourført 38 gange og omfattede mere end tusind luftfartøjer i 2022;</w:t>
      </w:r>
    </w:p>
    <w:p w14:paraId="06BDF06D" w14:textId="77777777" w:rsidR="00567B31" w:rsidRPr="00DC19DE" w:rsidRDefault="00567B31" w:rsidP="00567B31">
      <w:pPr>
        <w:spacing w:after="240"/>
        <w:ind w:left="567" w:hanging="567"/>
        <w:rPr>
          <w:b/>
          <w:i/>
          <w:szCs w:val="24"/>
        </w:rPr>
      </w:pPr>
      <w:r w:rsidRPr="00DC19DE">
        <w:rPr>
          <w:b/>
          <w:i/>
        </w:rPr>
        <w:t>Effektivitet og gevinster</w:t>
      </w:r>
    </w:p>
    <w:p w14:paraId="3FBD455D" w14:textId="77777777" w:rsidR="00567B31" w:rsidRPr="00DC19DE" w:rsidRDefault="00567B31" w:rsidP="00567B31">
      <w:pPr>
        <w:autoSpaceDE w:val="0"/>
        <w:autoSpaceDN w:val="0"/>
        <w:adjustRightInd w:val="0"/>
        <w:spacing w:after="240"/>
        <w:ind w:left="567" w:hanging="567"/>
        <w:rPr>
          <w:szCs w:val="24"/>
        </w:rPr>
      </w:pPr>
      <w:r w:rsidRPr="00DC19DE">
        <w:t>12.</w:t>
      </w:r>
      <w:r w:rsidRPr="00DC19DE">
        <w:tab/>
        <w:t>roser agenturet for at dele ressourcer til overlappende opgaver og kompetencer med andre agenturer, herunder inden for personalerådgivningstjenester, digitalisering og værktøjer, e-læring og undersøgelser, samt for deltagelsen i interinstitutionelle og tværinstitutionelle udbud; bemærker, at agenturet arbejder tæt sammen med Det Europæiske Miljøagentur om udarbejdelsen af rapporter såsom miljørapporten for europæisk luftfart, med Eurocontrol om gensidige muligheder inden for luftfartsrelaterede læringsløsninger og med Den Europæiske Unions Jernbaneagentur gennem et samarbejdsmemorandum, der blev undertegnet i 2022, og som etablerer en regelmæssig struktureret dialog og styrker udvekslingen af oplysninger, viden og erfaringer inden for forskellige samarbejdsområder; glæder sig over, at agenturet har strategiske partnerskaber om deling af ressourcer og oplysninger med næsten alle de nationale kompetente luftfartsmyndigheder i dets medlemsstater;</w:t>
      </w:r>
    </w:p>
    <w:p w14:paraId="5B1ACA5D" w14:textId="77777777" w:rsidR="00567B31" w:rsidRPr="00DC19DE" w:rsidRDefault="00567B31" w:rsidP="00567B31">
      <w:pPr>
        <w:pStyle w:val="NormalHanging12a"/>
      </w:pPr>
      <w:r w:rsidRPr="00DC19DE">
        <w:t>13.</w:t>
      </w:r>
      <w:r w:rsidRPr="00DC19DE">
        <w:tab/>
        <w:t>glæder sig over, at agenturet har etableret en række partnerskaber med andre EU-</w:t>
      </w:r>
      <w:r w:rsidRPr="00DC19DE">
        <w:lastRenderedPageBreak/>
        <w:t>organer for at forbedre effektiviteten og sammenhængen, herunder med Det Europæiske Miljøagentur, Det Europæiske Center for Forebyggelse af og Kontrol med Sygdomme, fællesforetagendet for ren luftfart og fællesforetagendet SESAR3; glæder sig over samarbejdet om læringsløsninger med en række agenturer om spørgsmål af fælles interesse inden for personalerådgivningstjenester, digitalisering og værktøjer, e-læring og undersøgelser, herunder med Det Europæiske Lægemiddelagentur, Den Europæiske Værdipapir- og Markedstilsynsmyndighed, Den Europæiske Fødevaresikkerhedsautoritet og Den Europæiske Anklagemyndighed;</w:t>
      </w:r>
    </w:p>
    <w:p w14:paraId="2DD239DD" w14:textId="77777777" w:rsidR="00567B31" w:rsidRPr="00DC19DE" w:rsidRDefault="00567B31" w:rsidP="00567B31">
      <w:pPr>
        <w:autoSpaceDE w:val="0"/>
        <w:autoSpaceDN w:val="0"/>
        <w:adjustRightInd w:val="0"/>
        <w:spacing w:after="240"/>
        <w:ind w:left="567" w:hanging="567"/>
        <w:rPr>
          <w:szCs w:val="24"/>
        </w:rPr>
      </w:pPr>
      <w:r w:rsidRPr="00DC19DE">
        <w:t>14.</w:t>
      </w:r>
      <w:r w:rsidRPr="00DC19DE">
        <w:tab/>
        <w:t>minder om, at virksomhedsomstillingsprogrammet "Destination: Future-proof" blev indført i 2020 for at reducere omkostningerne, forbedre produktiviteten og adressere agenturets vigtigste "drivkræfter"; bemærker, at dette program, der formelt blev afsluttet i 2022, har leveret vigtige ændringer, som bl.a. omfatter en forenklet regelfastsættelsesprocedure, tjenesteydelser forud for anvendelse af innovative teknologier og en forbedret virksomhedsprogrammeringsproces samt en produktivitetsgevinst på 12 % (når man sammenligner 2022 med outputtet i 2019) svarende til en reduktion af agenturets generalomkostninger på 36 fuldtidsækvivalenter; glæder sig over, at programmets tilgang til opnåelse af effektivitet samt infrastrukturen til iværksættelse af nye initiativer er blevet etableret, således at agenturet fortsat kan forbedre processerne og digitalisere;</w:t>
      </w:r>
    </w:p>
    <w:p w14:paraId="75029239" w14:textId="77777777" w:rsidR="00567B31" w:rsidRPr="00DC19DE" w:rsidRDefault="00567B31" w:rsidP="00567B31">
      <w:pPr>
        <w:autoSpaceDE w:val="0"/>
        <w:autoSpaceDN w:val="0"/>
        <w:adjustRightInd w:val="0"/>
        <w:spacing w:after="240"/>
        <w:ind w:left="567" w:hanging="567"/>
        <w:rPr>
          <w:szCs w:val="24"/>
        </w:rPr>
      </w:pPr>
      <w:r w:rsidRPr="00DC19DE">
        <w:t>15.</w:t>
      </w:r>
      <w:r w:rsidRPr="00DC19DE">
        <w:tab/>
        <w:t>glæder sig over de foranstaltninger, som agenturet har truffet for at overvåge og forvalte sit miljøaftryk på områder, som bl.a. vedrører dets bygning, forsyningstjenester og kontorforsyninger; bemærker i den forbindelse, at agenturet har optimeret anvendelsen af energi- og vandforbruget i sin bygning, køber elektricitet produceret på 100 % vedvarende energi, har centraliserede affaldsindsamlingssteder i agenturets kollektive områder og har indført foranstaltninger til at reducere papir- og kontorforsyninger;</w:t>
      </w:r>
    </w:p>
    <w:p w14:paraId="7EB084B9" w14:textId="77777777" w:rsidR="00567B31" w:rsidRPr="00DC19DE" w:rsidRDefault="00567B31" w:rsidP="00567B31">
      <w:pPr>
        <w:spacing w:after="240"/>
        <w:ind w:left="567" w:hanging="567"/>
        <w:rPr>
          <w:szCs w:val="24"/>
        </w:rPr>
      </w:pPr>
      <w:r w:rsidRPr="00DC19DE">
        <w:t>16.</w:t>
      </w:r>
      <w:r w:rsidRPr="00DC19DE">
        <w:tab/>
        <w:t>bemærker, at agenturet fortsat anvender de relevante kriterier og krav for grønne offentlige indkøb ved hjælp af de værktøjskasser, der findes vedrørende udbud; bemærker endvidere, at der i 2022 blev ansat en medarbejder for at sikre, at der er ressourcer til at genstarte analysen af instrumenter til løbende forbedring af organisationers miljøpræstationer med primært fokus på EMAS og ISO 14001; opfordrer agenturet til at underrette dechargemyndigheden om resultaterne af denne analyse;</w:t>
      </w:r>
    </w:p>
    <w:p w14:paraId="54E09C53" w14:textId="77777777" w:rsidR="00567B31" w:rsidRPr="00DC19DE" w:rsidRDefault="00567B31" w:rsidP="00567B31">
      <w:pPr>
        <w:spacing w:after="240"/>
        <w:ind w:left="567" w:hanging="567"/>
        <w:rPr>
          <w:b/>
          <w:i/>
          <w:szCs w:val="24"/>
        </w:rPr>
      </w:pPr>
      <w:r w:rsidRPr="00DC19DE">
        <w:rPr>
          <w:b/>
          <w:i/>
        </w:rPr>
        <w:t>Personalepolitik</w:t>
      </w:r>
    </w:p>
    <w:p w14:paraId="47DA0461" w14:textId="77777777" w:rsidR="00567B31" w:rsidRPr="00DC19DE" w:rsidRDefault="00567B31" w:rsidP="00567B31">
      <w:pPr>
        <w:spacing w:after="240"/>
        <w:ind w:left="567" w:hanging="567"/>
        <w:rPr>
          <w:szCs w:val="24"/>
        </w:rPr>
      </w:pPr>
      <w:r w:rsidRPr="00DC19DE">
        <w:t>17.</w:t>
      </w:r>
      <w:r w:rsidRPr="00DC19DE">
        <w:tab/>
        <w:t>bemærker, at gennemførelsesgraden for stillingsfortegnelsen pr. 31. december 2022 var 95,59 % med 651 midlertidigt ansatte ud af de 681 midlertidigt ansatte, som var godkendt i henhold til Unionens budget (i forhold til 680 godkendte stillinger i 2021); bemærker, at der i 2022 desuden arbejdede 95 kontraktansatte og 23 udstationerede nationale eksperter for agenturet;</w:t>
      </w:r>
    </w:p>
    <w:p w14:paraId="11E6CA1E" w14:textId="77777777" w:rsidR="00567B31" w:rsidRPr="00DC19DE" w:rsidRDefault="00567B31" w:rsidP="00567B31">
      <w:pPr>
        <w:spacing w:after="240"/>
        <w:ind w:left="567" w:hanging="567"/>
        <w:rPr>
          <w:szCs w:val="24"/>
        </w:rPr>
      </w:pPr>
      <w:r w:rsidRPr="00DC19DE">
        <w:t>18.</w:t>
      </w:r>
      <w:r w:rsidRPr="00DC19DE">
        <w:tab/>
        <w:t xml:space="preserve">bemærker, at agenturet foretog betydelige investeringer i at styrke den tekniske kapacitet i løbet af 2022 og i at tilbyde karriereudviklingsmuligheder gennem en fornyet kompetencepolitik; bemærker i den forbindelse, at agenturet i 2022 med succes rekrutterede over 60 nye medarbejdere, udrullede tredje generation af "Junior Qualification"-programmet (JQP), tilbød over 70 medarbejdere interne karriereudviklingsmuligheder og leverede 98 % af den planlagte tekniske uddannelse til personalet; roser agenturet for dets meget lave personaleudskiftningsgrad (0,1 %) i </w:t>
      </w:r>
      <w:r w:rsidRPr="00DC19DE">
        <w:lastRenderedPageBreak/>
        <w:t>2022;</w:t>
      </w:r>
    </w:p>
    <w:p w14:paraId="5DE4A24F" w14:textId="77777777" w:rsidR="00567B31" w:rsidRPr="00DC19DE" w:rsidRDefault="00567B31" w:rsidP="00567B31">
      <w:pPr>
        <w:pStyle w:val="NormalHanging12a"/>
      </w:pPr>
      <w:r w:rsidRPr="00DC19DE">
        <w:t>19.</w:t>
      </w:r>
      <w:r w:rsidRPr="00DC19DE">
        <w:tab/>
        <w:t>bemærker med bekymring manglen på kønsbalance blandt agenturets top</w:t>
      </w:r>
      <w:r w:rsidRPr="00DC19DE">
        <w:noBreakHyphen/>
        <w:t xml:space="preserve"> og mellemledere, hvoraf 17 ud af 22 (77 %) er mænd, og i agenturets bestyrelse, hvor 59 ud af 79 (75 %) er mænd; bemærker desuden kønsfordelingen i agenturets samlede personale, hvor 525 ud af 757 (69 %) er mænd; noterer sig, at agenturet systematisk overvåger kønsfordelingen blandt ansøgerne og aktivt rækker ud til kvindelige kandidater ved at offentliggøre stillingerne i de rette fora, udtrykkeligt tilskynde kvindelige ansøgere til at ansøge og udarbejde stillingsopslag med præcise oplysninger, der kan have indflydelse på balancen mellem arbejdsliv og privatliv; opfordrer agenturet til at fortsætte sine bestræbelser på at opnå kønsbalance både på ledelsesniveau og blandt personalet som helhed gennem konkrete foranstaltninger, der tiltrækker ansøgninger fra kvinder til de stillinger, som agenturet udbyder; anmoder Kommissionen og medlemsstaterne om at tage hensyn til vigtigheden af at sikre kønsbalance, når de indstiller deres medlemmer til agenturets bestyrelse;</w:t>
      </w:r>
    </w:p>
    <w:p w14:paraId="2733A07E" w14:textId="77777777" w:rsidR="00567B31" w:rsidRPr="00DC19DE" w:rsidRDefault="00567B31" w:rsidP="00567B31">
      <w:pPr>
        <w:pStyle w:val="NormalHanging12a"/>
      </w:pPr>
      <w:r w:rsidRPr="00DC19DE">
        <w:t>20.</w:t>
      </w:r>
      <w:r w:rsidRPr="00DC19DE">
        <w:tab/>
        <w:t>glæder sig over, at agenturet fortsat har fokus på kønsbalance, geografisk balance og mangfoldighed; minder om vigtigheden af at udvikle en langsigtet personalepolitik vedrørende balance mellem arbejdsliv og privatliv og tilbuddet om specifikke uddannelsesmuligheder med henblik på karriereudvikling, hjemmekontor, retten til at være offline, forbedring af den geografiske balance for at have en passende repræsentation fra alle medlemsstater samt ansættelse og integration af personer med handicap og fremme af ligebehandling af dem og af deres muligheder;</w:t>
      </w:r>
    </w:p>
    <w:p w14:paraId="02A0DBEB" w14:textId="77777777" w:rsidR="00567B31" w:rsidRPr="00DC19DE" w:rsidRDefault="00567B31" w:rsidP="00567B31">
      <w:pPr>
        <w:spacing w:after="240"/>
        <w:ind w:left="567" w:hanging="567"/>
        <w:rPr>
          <w:szCs w:val="24"/>
        </w:rPr>
      </w:pPr>
      <w:r w:rsidRPr="00DC19DE">
        <w:t>21.</w:t>
      </w:r>
      <w:r w:rsidRPr="00DC19DE">
        <w:tab/>
        <w:t>noterer sig på baggrund af agenturets rapport med hensyn til de opfølgende foranstaltninger, der er truffet i lyset af dechargen for gennemførelsen af agenturets budget for regnskabsåret 2021 ("agenturets rapport"), at agenturet på grundlag af sit program for kompetenceforvaltning og strategisk planlægning af arbejdsstyrken fandt frem til et stabilt personalescenarie for tiden efter 2022 med betydelige investeringer i eksterne ressourcer på tekniske områder og på agenturets ekspertiseområder, både i forbindelse med traditionelle opgaver og nye områder, baseret på agenturets mellemfristede strategiske prioriteter, herunder f.eks. nye teknologier, cybersikkerhed, sikkerhedsvurdering, test af fly og forskning;</w:t>
      </w:r>
    </w:p>
    <w:p w14:paraId="70216730" w14:textId="77777777" w:rsidR="00567B31" w:rsidRPr="00DC19DE" w:rsidRDefault="00567B31" w:rsidP="00567B31">
      <w:pPr>
        <w:spacing w:after="240"/>
        <w:ind w:left="567" w:hanging="567"/>
      </w:pPr>
      <w:r w:rsidRPr="00DC19DE">
        <w:t>22.</w:t>
      </w:r>
      <w:r w:rsidRPr="00DC19DE">
        <w:tab/>
        <w:t>bemærker, at der i 2022 blev indberettet ét tilfælde af chikane, hvortil agenturet benyttede en ekstern undersøger fra netværket af agenturer, og nåede frem til den konklusion, at chikanen ikke kunne bekræftes; bemærker endvidere, at der blev indberettet i alt fire tilfælde af udbrændthed i 2022, samme antal som i 2021;</w:t>
      </w:r>
    </w:p>
    <w:p w14:paraId="4C808BB5" w14:textId="77777777" w:rsidR="00567B31" w:rsidRPr="00DC19DE" w:rsidRDefault="00567B31" w:rsidP="00567B31">
      <w:pPr>
        <w:spacing w:after="240"/>
        <w:ind w:left="567" w:hanging="567"/>
        <w:rPr>
          <w:rFonts w:cstheme="minorHAnsi"/>
        </w:rPr>
      </w:pPr>
      <w:r w:rsidRPr="00DC19DE">
        <w:t>23.</w:t>
      </w:r>
      <w:r w:rsidRPr="00DC19DE">
        <w:tab/>
        <w:t>minder om bemærkningen i Revisionsrettens årsberetning om EU-agenturerne for 2021 om agenturets manglende overholdelse af artikel 16 i EU-personalevedtægten; noterer sig på baggrund af Revisionsrettens beretning, at status for denne bemærkning stadig var "udestående"; bemærker imidlertid på baggrund af agenturets rapport, at agenturet siden da formelt har nedsat et blandet udvalg og desuden har revideret sine procedurer for at afhjælpe de svagheder, som Revisionsretten har påpeget;</w:t>
      </w:r>
    </w:p>
    <w:p w14:paraId="7A7C857A" w14:textId="77777777" w:rsidR="00567B31" w:rsidRPr="00DC19DE" w:rsidRDefault="00567B31" w:rsidP="00567B31">
      <w:pPr>
        <w:spacing w:after="240"/>
        <w:ind w:left="567" w:hanging="567"/>
        <w:rPr>
          <w:b/>
          <w:i/>
          <w:szCs w:val="24"/>
        </w:rPr>
      </w:pPr>
      <w:r w:rsidRPr="00DC19DE">
        <w:rPr>
          <w:b/>
          <w:i/>
        </w:rPr>
        <w:t>Udbud</w:t>
      </w:r>
    </w:p>
    <w:p w14:paraId="16199AA6" w14:textId="77777777" w:rsidR="00567B31" w:rsidRPr="00DC19DE" w:rsidRDefault="00567B31" w:rsidP="00567B31">
      <w:pPr>
        <w:spacing w:after="240"/>
        <w:ind w:left="567" w:hanging="567"/>
        <w:rPr>
          <w:szCs w:val="24"/>
        </w:rPr>
      </w:pPr>
      <w:r w:rsidRPr="00DC19DE">
        <w:t>24.</w:t>
      </w:r>
      <w:r w:rsidRPr="00DC19DE">
        <w:tab/>
        <w:t xml:space="preserve">noterer sig på baggrund af Revisionsrettens beretning, at agenturet ved hjælp af et udbud med forhandling uden forudgående offentliggørelse af en udbudsbekendtgørelse indgik en kontrakt til en værdi af 1,9 mio. EUR med en tjenesteudbyder om den </w:t>
      </w:r>
      <w:r w:rsidRPr="00DC19DE">
        <w:lastRenderedPageBreak/>
        <w:t>fortsatte udvikling af et system til indberetning af hændelser; noterer sig Revisionsrettens bemærkning om, at proceduren var regelstridig og alle de dermed forbundne betalinger (261 385 EUR) foretaget i 2022 ligeså, eftersom de retlige betingelser for anvendelsen af denne procedure ikke var opfyldt; noterer sig ikke desto mindre agenturets svar om, at den kontrahent, som blev tildelt kontrakten, var den eneste, der var i stand til at fortsætte udviklingen af dette system, uden at man skabte forstyrrelser og en umiddelbar sikkerhedsrisiko med potentielle katastrofale konsekvenser;</w:t>
      </w:r>
    </w:p>
    <w:p w14:paraId="6F4E998F" w14:textId="77777777" w:rsidR="00567B31" w:rsidRPr="00DC19DE" w:rsidRDefault="00567B31" w:rsidP="00567B31">
      <w:pPr>
        <w:spacing w:after="240"/>
        <w:ind w:left="567" w:hanging="567"/>
        <w:rPr>
          <w:szCs w:val="24"/>
        </w:rPr>
      </w:pPr>
      <w:r w:rsidRPr="00DC19DE">
        <w:t>25.</w:t>
      </w:r>
      <w:r w:rsidRPr="00DC19DE">
        <w:tab/>
        <w:t>noterer sig på baggrund af Revisionsrettens bemærkninger, at agenturet efter at have iværksat en udbudsprocedure for tjenester vedrørende afholdelse af arrangementer ændrede udbudsprisen uden at følge bestemmelserne i finansforordningens artikel 151; bemærker, at agenturet efter en klage fra tilbudsgiveren foretog en fornyet bedømmelse, som førte til udelukkelse af tilbudsgiveren med den begrundelse, at denne "ikke opfyldte kravene i udbudsbetingelserne", men uden at præcisere, hvilke krav der ikke var opfyldt; noterer sig Revisionsrettens konklusion om, at udelukkelsen af tilbudsgiveren ikke var behørigt begrundet; opfordrer agenturet til at tage de nødvendige skridt til at sikre, at enhver korrigering af prisen eller udelukkelse af tilbudsgivere i fremtidige udbudsprocedurer er begrundet i overensstemmelse med det gældende retsgrundlag;</w:t>
      </w:r>
    </w:p>
    <w:p w14:paraId="3565F930" w14:textId="77777777" w:rsidR="00567B31" w:rsidRPr="00DC19DE" w:rsidRDefault="00567B31" w:rsidP="00567B31">
      <w:pPr>
        <w:spacing w:after="240"/>
        <w:ind w:left="567" w:hanging="567"/>
        <w:rPr>
          <w:b/>
          <w:i/>
          <w:szCs w:val="24"/>
        </w:rPr>
      </w:pPr>
      <w:r w:rsidRPr="00DC19DE">
        <w:rPr>
          <w:b/>
          <w:i/>
        </w:rPr>
        <w:t>Forebyggelse og håndtering af interessekonflikter samt gennemsigtighed</w:t>
      </w:r>
    </w:p>
    <w:p w14:paraId="24157231" w14:textId="77777777" w:rsidR="00567B31" w:rsidRPr="00DC19DE" w:rsidRDefault="00567B31" w:rsidP="00567B31">
      <w:pPr>
        <w:spacing w:after="240"/>
        <w:ind w:left="567" w:hanging="567"/>
      </w:pPr>
      <w:r w:rsidRPr="00DC19DE">
        <w:t>26.</w:t>
      </w:r>
      <w:r w:rsidRPr="00DC19DE">
        <w:tab/>
        <w:t>anerkender agenturets eksisterende system til forebyggelse og afbødning af interessekonflikter, som omfatter en årlig manøvre, hvor personalet anmodes om at gennemgå og (om nødvendigt) ajourføre eventuelle ændringer i deres situation, som kan føre til en faktisk eller potentiel interessekonflikt; bemærker, at der ud af alle interesseerklæringer, der blev indgivet af personale i forskellige sammenhænge (årlig erklæring, nyansatte, aktiviteter efter fratrædelse eller eksterne aktiviteter/ tjenestefrihed af personlige årsager) og vurderet af agenturet i overensstemmelse med den gældende procedure, i 2022 blev henvist fire sager til agenturets etiske udvalg til udtalelse; glæder sig over, at der i 2022 ikke var nogen bekræftede tilfælde af interessekonflikter, og at alle tilfælde, hvor der blev konstateret en risiko for en faktisk eller potentiel interessekonflikt, kunne afbødes ved hjælp af specifikke foranstaltninger, f.eks. karensperioder, forbud mod lobbyvirksomhed og undladelse af at deltage i visse opgaver;</w:t>
      </w:r>
    </w:p>
    <w:p w14:paraId="65CA8DC7" w14:textId="77777777" w:rsidR="00567B31" w:rsidRPr="00DC19DE" w:rsidRDefault="00567B31" w:rsidP="00567B31">
      <w:pPr>
        <w:spacing w:after="240"/>
        <w:ind w:left="567" w:hanging="567"/>
      </w:pPr>
      <w:r w:rsidRPr="00DC19DE">
        <w:t>27.</w:t>
      </w:r>
      <w:r w:rsidRPr="00DC19DE">
        <w:tab/>
        <w:t>bemærker, at CV'er og interesseerklæringer for bestyrelsesmedlemmer og topledere offentliggøres på agenturets websted; bemærker endvidere, at agenturet ikke opfører alle sine møder med lobbyister eller interesserepræsentanter på sit websted, og opfordrer agenturet til at gøre dette hurtigst muligt;</w:t>
      </w:r>
    </w:p>
    <w:p w14:paraId="26ADEC2D" w14:textId="77777777" w:rsidR="00567B31" w:rsidRPr="00DC19DE" w:rsidRDefault="00567B31" w:rsidP="00567B31">
      <w:pPr>
        <w:spacing w:after="240"/>
        <w:ind w:left="567" w:hanging="567"/>
      </w:pPr>
      <w:r w:rsidRPr="00DC19DE">
        <w:t>28.</w:t>
      </w:r>
      <w:r w:rsidRPr="00DC19DE">
        <w:tab/>
        <w:t>noterer sig, at agenturet forholder sig åbent over for muligheden for en intern strategi til bekæmpelse af korruption i fremtiden, men mener, at der ifølge de seneste års oplysninger ikke er nogen trussel i den henseende på nuværende tidspunkt; opfordrer ikke desto mindre agenturet til at revurdere sin holdning og tage skridt til at etablere en intern strategi til bekæmpelse af korruption;</w:t>
      </w:r>
    </w:p>
    <w:p w14:paraId="794A4EDD" w14:textId="77777777" w:rsidR="00567B31" w:rsidRPr="00DC19DE" w:rsidRDefault="00567B31" w:rsidP="00567B31">
      <w:pPr>
        <w:spacing w:after="240"/>
        <w:ind w:left="567" w:hanging="567"/>
        <w:rPr>
          <w:szCs w:val="24"/>
        </w:rPr>
      </w:pPr>
      <w:r w:rsidRPr="00DC19DE">
        <w:rPr>
          <w:b/>
          <w:i/>
        </w:rPr>
        <w:t>Intern kontrol</w:t>
      </w:r>
    </w:p>
    <w:p w14:paraId="32C0704B" w14:textId="77777777" w:rsidR="00567B31" w:rsidRPr="00DC19DE" w:rsidRDefault="00567B31" w:rsidP="00567B31">
      <w:pPr>
        <w:spacing w:after="240"/>
        <w:ind w:left="567" w:hanging="567"/>
        <w:rPr>
          <w:szCs w:val="24"/>
        </w:rPr>
      </w:pPr>
      <w:r w:rsidRPr="00DC19DE">
        <w:t>29.</w:t>
      </w:r>
      <w:r w:rsidRPr="00DC19DE">
        <w:tab/>
        <w:t xml:space="preserve">bemærker, at Kommissionens Interne Revisionstjeneste (IAS) i 2022 gennemførte en </w:t>
      </w:r>
      <w:r w:rsidRPr="00DC19DE">
        <w:lastRenderedPageBreak/>
        <w:t>revision af standardiseringsaktiviteter, hvori det blev vurderet, om de eksisterende kontroller giver rimelig sikkerhed for overholdelsen af den relevante lovgivning, og at standardiseringsaktiviteterne er organiseret på en effektiv måde, så de reelt kan støtte opfyldelsen af agenturets virksomhedsmål; bemærker endvidere, at der som følge af denne revision blev fremsat tre henstillinger, for hvilke agenturet udarbejdede en handlingsplan, der skulle gennemføres i løbet af 2023;</w:t>
      </w:r>
    </w:p>
    <w:p w14:paraId="1BA0B867" w14:textId="77777777" w:rsidR="00567B31" w:rsidRPr="00DC19DE" w:rsidRDefault="00567B31" w:rsidP="00567B31">
      <w:pPr>
        <w:spacing w:after="240"/>
        <w:ind w:left="567" w:hanging="567"/>
      </w:pPr>
      <w:r w:rsidRPr="00DC19DE">
        <w:t>30.</w:t>
      </w:r>
      <w:r w:rsidRPr="00DC19DE">
        <w:tab/>
        <w:t>bemærker, at revisionsprogrammet for 2022 for agenturets interne revisionsfunktion omfattede otte opgaver, nemlig fire sikkerhedsrevisioner, herunder en revision udført af IAS, to revisioner af konsulentbistand og to opfølgende revisioner; noterer sig, at to af de 13 foranstaltninger, der blev identificeret i de indledende revisioner fra 2021, kunne afsluttes i 2022, mens seks foranstaltninger blev vurderet til at være delvist gennemført, og fem foranstaltninger forblev uafsluttede; opfordrer agenturet til at iværksætte de fornødne tiltag for at adressere disse foranstaltninger;</w:t>
      </w:r>
    </w:p>
    <w:p w14:paraId="7FCF0202" w14:textId="77777777" w:rsidR="00567B31" w:rsidRPr="00DC19DE" w:rsidRDefault="00567B31" w:rsidP="00567B31">
      <w:pPr>
        <w:spacing w:after="240"/>
        <w:ind w:left="567" w:hanging="567"/>
        <w:rPr>
          <w:rFonts w:eastAsiaTheme="minorHAnsi"/>
          <w:b/>
          <w:i/>
          <w:szCs w:val="24"/>
        </w:rPr>
      </w:pPr>
      <w:r w:rsidRPr="00DC19DE">
        <w:rPr>
          <w:b/>
          <w:i/>
        </w:rPr>
        <w:t>Øvrige bemærkninger</w:t>
      </w:r>
    </w:p>
    <w:p w14:paraId="438D0894" w14:textId="77777777" w:rsidR="00567B31" w:rsidRPr="00DC19DE" w:rsidRDefault="00567B31" w:rsidP="00567B31">
      <w:pPr>
        <w:pStyle w:val="NormalHanging12a"/>
      </w:pPr>
      <w:r w:rsidRPr="00DC19DE">
        <w:t>31.</w:t>
      </w:r>
      <w:r w:rsidRPr="00DC19DE">
        <w:tab/>
        <w:t>roser agenturets fokus på at få Ukraine integreret i EU-systemet som kandidatland;</w:t>
      </w:r>
    </w:p>
    <w:p w14:paraId="148EE75E" w14:textId="77777777" w:rsidR="00567B31" w:rsidRPr="00DC19DE" w:rsidRDefault="00567B31" w:rsidP="00567B31">
      <w:pPr>
        <w:spacing w:after="240"/>
        <w:ind w:left="567" w:hanging="567"/>
        <w:rPr>
          <w:szCs w:val="24"/>
        </w:rPr>
      </w:pPr>
      <w:r w:rsidRPr="00DC19DE">
        <w:t>32.</w:t>
      </w:r>
      <w:r w:rsidRPr="00DC19DE">
        <w:tab/>
        <w:t>noterer sig på baggrund af agenturets rapport, at det i 2022 gennemførte en omfattende brugervenlighedsundersøgelse, der omfattede brugertest af webstedets struktur (tree testing) og en-til-en-brugerinterviews; bemærker, at undersøgelsen har givet kvalitativ indsigt, som i kombination med den kvantitative indsigt forventes at forbedre EASA Pro, EASA Light og fælleskaber på agenturets websted; roser agenturet for at have iværksat et projekt med henblik på at gøre EASA Light (et særligt område på agenturets websted, som forklarer dets aktiviteter på et simpelt ikketeknisk engelsk) tilgængeligt på alle EU-sprog;</w:t>
      </w:r>
    </w:p>
    <w:p w14:paraId="494EAD35" w14:textId="77777777" w:rsidR="00567B31" w:rsidRPr="00DC19DE" w:rsidRDefault="00567B31" w:rsidP="00567B31">
      <w:pPr>
        <w:pStyle w:val="NormalCenter12a"/>
        <w:rPr>
          <w:szCs w:val="24"/>
        </w:rPr>
      </w:pPr>
      <w:r w:rsidRPr="00DC19DE">
        <w:t>°</w:t>
      </w:r>
    </w:p>
    <w:p w14:paraId="6A579C99" w14:textId="77777777" w:rsidR="00567B31" w:rsidRPr="00DC19DE" w:rsidRDefault="00567B31" w:rsidP="00567B31">
      <w:pPr>
        <w:pStyle w:val="NormalCenter12a"/>
        <w:rPr>
          <w:szCs w:val="24"/>
        </w:rPr>
      </w:pPr>
      <w:r w:rsidRPr="00DC19DE">
        <w:t>°</w:t>
      </w:r>
      <w:r w:rsidRPr="00DC19DE">
        <w:tab/>
        <w:t>°</w:t>
      </w:r>
    </w:p>
    <w:p w14:paraId="3E1F8B53" w14:textId="5F588C57" w:rsidR="00E365E1" w:rsidRPr="00DC19DE" w:rsidRDefault="00567B31" w:rsidP="00527A9E">
      <w:pPr>
        <w:pStyle w:val="NormalHanging12a"/>
      </w:pPr>
      <w:r w:rsidRPr="00DC19DE">
        <w:t>33.</w:t>
      </w:r>
      <w:r w:rsidRPr="00DC19DE">
        <w:tab/>
        <w:t xml:space="preserve">henviser med hensyn til de øvrige bemærkninger, der ledsager dechargeafgørelsen, og som er af horisontal karakter, til sin beslutning af </w:t>
      </w:r>
      <w:r w:rsidR="00527A9E" w:rsidRPr="00897242">
        <w:t>11. april</w:t>
      </w:r>
      <w:r w:rsidRPr="00DC19DE">
        <w:t xml:space="preserve"> 2024</w:t>
      </w:r>
      <w:r w:rsidRPr="00DC19DE">
        <w:rPr>
          <w:rStyle w:val="FootnoteReference"/>
          <w:szCs w:val="24"/>
        </w:rPr>
        <w:footnoteReference w:id="12"/>
      </w:r>
      <w:bookmarkStart w:id="8" w:name="_GoBack"/>
      <w:bookmarkEnd w:id="8"/>
      <w:r w:rsidRPr="00DC19DE">
        <w:t xml:space="preserve"> om agenturernes resultater, økonomiske forvaltning og kontrol.</w:t>
      </w:r>
      <w:bookmarkStart w:id="9" w:name="TextBodyEnd"/>
      <w:bookmarkEnd w:id="9"/>
    </w:p>
    <w:sectPr w:rsidR="00E365E1" w:rsidRPr="00DC19DE" w:rsidSect="00DC19D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7D862C" w14:textId="77777777" w:rsidR="00B3141E" w:rsidRPr="00DC19DE" w:rsidRDefault="00B3141E">
      <w:r w:rsidRPr="00DC19DE">
        <w:separator/>
      </w:r>
    </w:p>
  </w:endnote>
  <w:endnote w:type="continuationSeparator" w:id="0">
    <w:p w14:paraId="65E11CF7" w14:textId="77777777" w:rsidR="00B3141E" w:rsidRPr="00DC19DE" w:rsidRDefault="00B3141E">
      <w:r w:rsidRPr="00DC19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8CF5D" w14:textId="77777777" w:rsidR="00567B31" w:rsidRPr="00DC19DE" w:rsidRDefault="00567B31" w:rsidP="00D22EF8">
    <w:pPr>
      <w:pStyle w:val="EPFooter"/>
    </w:pPr>
    <w:r w:rsidRPr="00DC19DE">
      <w:t>PE</w:t>
    </w:r>
    <w:r w:rsidRPr="00DC19DE">
      <w:rPr>
        <w:rStyle w:val="HideTWBExt"/>
      </w:rPr>
      <w:t>&lt;NoPE&gt;</w:t>
    </w:r>
    <w:r w:rsidRPr="00DC19DE">
      <w:t>753.511</w:t>
    </w:r>
    <w:r w:rsidRPr="00DC19DE">
      <w:rPr>
        <w:rStyle w:val="HideTWBExt"/>
      </w:rPr>
      <w:t>&lt;/NoPE&gt;&lt;Version&gt;</w:t>
    </w:r>
    <w:r w:rsidRPr="00DC19DE">
      <w:t>v02-00</w:t>
    </w:r>
    <w:r w:rsidRPr="00DC19DE">
      <w:rPr>
        <w:rStyle w:val="HideTWBExt"/>
      </w:rPr>
      <w:t>&lt;/Version&gt;</w:t>
    </w:r>
    <w:r w:rsidRPr="00DC19DE">
      <w:tab/>
    </w:r>
    <w:r w:rsidRPr="00DC19DE">
      <w:fldChar w:fldCharType="begin"/>
    </w:r>
    <w:r w:rsidRPr="00DC19DE">
      <w:instrText xml:space="preserve"> PAGE  \* MERGEFORMAT </w:instrText>
    </w:r>
    <w:r w:rsidRPr="00DC19DE">
      <w:fldChar w:fldCharType="separate"/>
    </w:r>
    <w:r w:rsidR="00DC19DE" w:rsidRPr="00DC19DE">
      <w:rPr>
        <w:noProof/>
      </w:rPr>
      <w:t>2</w:t>
    </w:r>
    <w:r w:rsidRPr="00DC19DE">
      <w:fldChar w:fldCharType="end"/>
    </w:r>
    <w:r w:rsidRPr="00DC19DE">
      <w:t>/</w:t>
    </w:r>
    <w:fldSimple w:instr=" NUMPAGES  \* MERGEFORMAT ">
      <w:r w:rsidR="00DC19DE" w:rsidRPr="00DC19DE">
        <w:rPr>
          <w:noProof/>
        </w:rPr>
        <w:t>4</w:t>
      </w:r>
    </w:fldSimple>
    <w:r w:rsidRPr="00DC19DE">
      <w:tab/>
    </w:r>
    <w:r w:rsidRPr="00DC19DE">
      <w:rPr>
        <w:rStyle w:val="HideTWBExt"/>
      </w:rPr>
      <w:t>&lt;PathFdR&gt;</w:t>
    </w:r>
    <w:r w:rsidRPr="00DC19DE">
      <w:t>RR\1298981DA.docx</w:t>
    </w:r>
    <w:r w:rsidRPr="00DC19DE">
      <w:rPr>
        <w:rStyle w:val="HideTWBExt"/>
      </w:rPr>
      <w:t>&lt;/PathFdR&gt;</w:t>
    </w:r>
  </w:p>
  <w:p w14:paraId="72F8156C" w14:textId="77777777" w:rsidR="00567B31" w:rsidRPr="00DC19DE" w:rsidRDefault="00567B31" w:rsidP="00D22EF8">
    <w:pPr>
      <w:pStyle w:val="EPFooter2"/>
    </w:pPr>
    <w:r w:rsidRPr="00DC19D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6F062" w14:textId="77777777" w:rsidR="00567B31" w:rsidRPr="00DC19DE" w:rsidRDefault="00567B31" w:rsidP="00D22EF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1FE5D" w14:textId="77777777" w:rsidR="00567B31" w:rsidRPr="00DC19DE" w:rsidRDefault="00567B31" w:rsidP="00D22EF8">
    <w:pPr>
      <w:pStyle w:val="EPFooter"/>
    </w:pPr>
    <w:r w:rsidRPr="00DC19DE">
      <w:rPr>
        <w:rStyle w:val="HideTWBExt"/>
      </w:rPr>
      <w:t>&lt;PathFdR&gt;</w:t>
    </w:r>
    <w:r w:rsidRPr="00DC19DE">
      <w:t>RR\1298981DA.docx</w:t>
    </w:r>
    <w:r w:rsidRPr="00DC19DE">
      <w:rPr>
        <w:rStyle w:val="HideTWBExt"/>
      </w:rPr>
      <w:t>&lt;/PathFdR&gt;</w:t>
    </w:r>
    <w:r w:rsidRPr="00DC19DE">
      <w:tab/>
    </w:r>
    <w:r w:rsidRPr="00DC19DE">
      <w:tab/>
      <w:t>PE</w:t>
    </w:r>
    <w:r w:rsidRPr="00DC19DE">
      <w:rPr>
        <w:rStyle w:val="HideTWBExt"/>
      </w:rPr>
      <w:t>&lt;NoPE&gt;</w:t>
    </w:r>
    <w:r w:rsidRPr="00DC19DE">
      <w:t>753.511</w:t>
    </w:r>
    <w:r w:rsidRPr="00DC19DE">
      <w:rPr>
        <w:rStyle w:val="HideTWBExt"/>
      </w:rPr>
      <w:t>&lt;/NoPE&gt;&lt;Version&gt;</w:t>
    </w:r>
    <w:r w:rsidRPr="00DC19DE">
      <w:t>v02-00</w:t>
    </w:r>
    <w:r w:rsidRPr="00DC19DE">
      <w:rPr>
        <w:rStyle w:val="HideTWBExt"/>
      </w:rPr>
      <w:t>&lt;/Version&gt;</w:t>
    </w:r>
  </w:p>
  <w:p w14:paraId="14E81EFD" w14:textId="77777777" w:rsidR="00567B31" w:rsidRPr="00DC19DE" w:rsidRDefault="00567B31" w:rsidP="00D22EF8">
    <w:pPr>
      <w:pStyle w:val="EPFooter2"/>
    </w:pPr>
    <w:r w:rsidRPr="00DC19DE">
      <w:t>DA</w:t>
    </w:r>
    <w:r w:rsidRPr="00DC19DE">
      <w:tab/>
    </w:r>
    <w:r w:rsidRPr="00DC19DE">
      <w:rPr>
        <w:b w:val="0"/>
        <w:i/>
        <w:color w:val="C0C0C0"/>
        <w:sz w:val="22"/>
      </w:rPr>
      <w:t>Forenet i mangfoldighed</w:t>
    </w:r>
    <w:r w:rsidRPr="00DC19DE">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C6E88" w14:textId="77777777" w:rsidR="00064002" w:rsidRPr="00DC19D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F9CAE" w14:textId="77777777" w:rsidR="00064002" w:rsidRPr="00DC19D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EA0D5" w14:textId="77777777" w:rsidR="00064002" w:rsidRPr="00DC19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1683F0" w14:textId="77777777" w:rsidR="00B3141E" w:rsidRPr="00DC19DE" w:rsidRDefault="00B3141E">
      <w:r w:rsidRPr="00DC19DE">
        <w:separator/>
      </w:r>
    </w:p>
  </w:footnote>
  <w:footnote w:type="continuationSeparator" w:id="0">
    <w:p w14:paraId="69769CCA" w14:textId="77777777" w:rsidR="00B3141E" w:rsidRPr="00DC19DE" w:rsidRDefault="00B3141E">
      <w:r w:rsidRPr="00DC19DE">
        <w:continuationSeparator/>
      </w:r>
    </w:p>
  </w:footnote>
  <w:footnote w:id="1">
    <w:p w14:paraId="4AA03E50" w14:textId="77777777" w:rsidR="00567B31" w:rsidRPr="00897242" w:rsidRDefault="00567B31" w:rsidP="00DC19DE">
      <w:pPr>
        <w:pStyle w:val="FootnoteText"/>
        <w:ind w:left="567" w:hanging="567"/>
        <w:rPr>
          <w:sz w:val="24"/>
        </w:rPr>
      </w:pPr>
      <w:r w:rsidRPr="00DC19DE">
        <w:rPr>
          <w:rStyle w:val="FootnoteReference"/>
          <w:sz w:val="24"/>
          <w:lang w:val="da-DK"/>
        </w:rPr>
        <w:footnoteRef/>
      </w:r>
      <w:r w:rsidR="00DC19DE" w:rsidRPr="00897242">
        <w:rPr>
          <w:sz w:val="24"/>
        </w:rPr>
        <w:t xml:space="preserve"> </w:t>
      </w:r>
      <w:r w:rsidR="00DC19DE" w:rsidRPr="00897242">
        <w:rPr>
          <w:sz w:val="24"/>
        </w:rPr>
        <w:tab/>
      </w:r>
      <w:r w:rsidRPr="00897242">
        <w:rPr>
          <w:sz w:val="24"/>
        </w:rPr>
        <w:t>EUT C, C/2023/594, 27.10.2023.</w:t>
      </w:r>
    </w:p>
  </w:footnote>
  <w:footnote w:id="2">
    <w:p w14:paraId="0083618D" w14:textId="77777777" w:rsidR="00567B31" w:rsidRPr="00897242" w:rsidRDefault="00567B31" w:rsidP="00DC19DE">
      <w:pPr>
        <w:pStyle w:val="FootnoteText"/>
        <w:ind w:left="567" w:hanging="567"/>
        <w:rPr>
          <w:sz w:val="24"/>
        </w:rPr>
      </w:pPr>
      <w:r w:rsidRPr="00DC19DE">
        <w:rPr>
          <w:rStyle w:val="FootnoteReference"/>
          <w:sz w:val="24"/>
          <w:lang w:val="da-DK"/>
        </w:rPr>
        <w:footnoteRef/>
      </w:r>
      <w:r w:rsidR="00DC19DE" w:rsidRPr="00897242">
        <w:rPr>
          <w:sz w:val="24"/>
        </w:rPr>
        <w:t xml:space="preserve"> </w:t>
      </w:r>
      <w:r w:rsidR="00DC19DE" w:rsidRPr="00897242">
        <w:rPr>
          <w:sz w:val="24"/>
        </w:rPr>
        <w:tab/>
      </w:r>
      <w:r w:rsidRPr="00897242">
        <w:rPr>
          <w:sz w:val="24"/>
        </w:rPr>
        <w:t>EUT C, C/2023/112, 12.10.2023.</w:t>
      </w:r>
    </w:p>
  </w:footnote>
  <w:footnote w:id="3">
    <w:p w14:paraId="4B421392" w14:textId="77777777" w:rsidR="00567B31" w:rsidRPr="00DC19DE" w:rsidRDefault="00567B31" w:rsidP="00DC19DE">
      <w:pPr>
        <w:pStyle w:val="FootnoteText"/>
        <w:ind w:left="567" w:hanging="567"/>
        <w:rPr>
          <w:sz w:val="24"/>
          <w:lang w:val="da-DK"/>
        </w:rPr>
      </w:pPr>
      <w:r w:rsidRPr="00DC19DE">
        <w:rPr>
          <w:rStyle w:val="FootnoteReference"/>
          <w:sz w:val="24"/>
          <w:lang w:val="da-DK"/>
        </w:rPr>
        <w:footnoteRef/>
      </w:r>
      <w:r w:rsidR="00DC19DE" w:rsidRPr="00DC19DE">
        <w:rPr>
          <w:sz w:val="24"/>
          <w:lang w:val="da-DK"/>
        </w:rPr>
        <w:t xml:space="preserve"> </w:t>
      </w:r>
      <w:r w:rsidR="00DC19DE" w:rsidRPr="00DC19DE">
        <w:rPr>
          <w:sz w:val="24"/>
          <w:lang w:val="da-DK"/>
        </w:rPr>
        <w:tab/>
      </w:r>
      <w:r w:rsidRPr="00DC19DE">
        <w:rPr>
          <w:sz w:val="24"/>
          <w:lang w:val="da-DK"/>
        </w:rPr>
        <w:t>EUT L 193 af 30.7.2018, s. 1.</w:t>
      </w:r>
    </w:p>
  </w:footnote>
  <w:footnote w:id="4">
    <w:p w14:paraId="40F5AE78" w14:textId="77777777" w:rsidR="00567B31" w:rsidRPr="00DC19DE" w:rsidRDefault="00567B31" w:rsidP="00DC19DE">
      <w:pPr>
        <w:pStyle w:val="FootnoteText"/>
        <w:ind w:left="567" w:hanging="567"/>
        <w:rPr>
          <w:sz w:val="24"/>
          <w:szCs w:val="24"/>
          <w:lang w:val="da-DK"/>
        </w:rPr>
      </w:pPr>
      <w:r w:rsidRPr="00DC19DE">
        <w:rPr>
          <w:rStyle w:val="FootnoteReference"/>
          <w:sz w:val="24"/>
          <w:lang w:val="da-DK"/>
        </w:rPr>
        <w:footnoteRef/>
      </w:r>
      <w:r w:rsidR="00DC19DE" w:rsidRPr="00DC19DE">
        <w:rPr>
          <w:sz w:val="24"/>
          <w:lang w:val="da-DK"/>
        </w:rPr>
        <w:t xml:space="preserve"> </w:t>
      </w:r>
      <w:r w:rsidR="00DC19DE" w:rsidRPr="00DC19DE">
        <w:rPr>
          <w:sz w:val="24"/>
          <w:lang w:val="da-DK"/>
        </w:rPr>
        <w:tab/>
      </w:r>
      <w:r w:rsidRPr="00DC19DE">
        <w:rPr>
          <w:sz w:val="24"/>
          <w:lang w:val="da-DK"/>
        </w:rPr>
        <w:t>EUT L 212 af 22.8.2018, s. 1.</w:t>
      </w:r>
    </w:p>
  </w:footnote>
  <w:footnote w:id="5">
    <w:p w14:paraId="2C32FC26" w14:textId="77777777" w:rsidR="00567B31" w:rsidRPr="00DC19DE" w:rsidRDefault="00567B31" w:rsidP="00DC19DE">
      <w:pPr>
        <w:pStyle w:val="FootnoteText"/>
        <w:ind w:left="567" w:hanging="567"/>
        <w:rPr>
          <w:sz w:val="24"/>
          <w:lang w:val="da-DK"/>
        </w:rPr>
      </w:pPr>
      <w:r w:rsidRPr="00DC19DE">
        <w:rPr>
          <w:rStyle w:val="FootnoteReference"/>
          <w:sz w:val="24"/>
          <w:lang w:val="da-DK"/>
        </w:rPr>
        <w:footnoteRef/>
      </w:r>
      <w:r w:rsidR="00DC19DE" w:rsidRPr="00DC19DE">
        <w:rPr>
          <w:sz w:val="24"/>
          <w:lang w:val="da-DK"/>
        </w:rPr>
        <w:t xml:space="preserve"> </w:t>
      </w:r>
      <w:r w:rsidR="00DC19DE" w:rsidRPr="00DC19DE">
        <w:rPr>
          <w:sz w:val="24"/>
          <w:lang w:val="da-DK"/>
        </w:rPr>
        <w:tab/>
      </w:r>
      <w:r w:rsidRPr="00DC19DE">
        <w:rPr>
          <w:sz w:val="24"/>
          <w:lang w:val="da-DK"/>
        </w:rPr>
        <w:t>EUT L 122 af 10.5.2019, s. 1.</w:t>
      </w:r>
    </w:p>
  </w:footnote>
  <w:footnote w:id="6">
    <w:p w14:paraId="3B000D61" w14:textId="77777777" w:rsidR="00567B31" w:rsidRPr="00DC19DE" w:rsidRDefault="00567B31" w:rsidP="00DC19DE">
      <w:pPr>
        <w:pStyle w:val="FootnoteText"/>
        <w:ind w:left="567" w:hanging="567"/>
        <w:rPr>
          <w:sz w:val="24"/>
          <w:lang w:val="da-DK"/>
        </w:rPr>
      </w:pPr>
      <w:r w:rsidRPr="00DC19DE">
        <w:rPr>
          <w:rStyle w:val="FootnoteReference"/>
          <w:sz w:val="24"/>
          <w:lang w:val="da-DK"/>
        </w:rPr>
        <w:footnoteRef/>
      </w:r>
      <w:r w:rsidR="00DC19DE" w:rsidRPr="00DC19DE">
        <w:rPr>
          <w:sz w:val="24"/>
          <w:lang w:val="da-DK"/>
        </w:rPr>
        <w:t xml:space="preserve"> </w:t>
      </w:r>
      <w:r w:rsidR="00DC19DE" w:rsidRPr="00DC19DE">
        <w:rPr>
          <w:sz w:val="24"/>
          <w:lang w:val="da-DK"/>
        </w:rPr>
        <w:tab/>
      </w:r>
      <w:r w:rsidRPr="00DC19DE">
        <w:rPr>
          <w:sz w:val="24"/>
          <w:lang w:val="da-DK"/>
        </w:rPr>
        <w:t>EUT C, C/2023/594, 27.10.2023.</w:t>
      </w:r>
    </w:p>
  </w:footnote>
  <w:footnote w:id="7">
    <w:p w14:paraId="0C0E1856" w14:textId="77777777" w:rsidR="00567B31" w:rsidRPr="00897242" w:rsidRDefault="00567B31" w:rsidP="00DC19DE">
      <w:pPr>
        <w:pStyle w:val="FootnoteText"/>
        <w:ind w:left="567" w:hanging="567"/>
        <w:rPr>
          <w:sz w:val="24"/>
        </w:rPr>
      </w:pPr>
      <w:r w:rsidRPr="00DC19DE">
        <w:rPr>
          <w:rStyle w:val="FootnoteReference"/>
          <w:sz w:val="24"/>
          <w:lang w:val="da-DK"/>
        </w:rPr>
        <w:footnoteRef/>
      </w:r>
      <w:r w:rsidR="00DC19DE" w:rsidRPr="00897242">
        <w:rPr>
          <w:sz w:val="24"/>
        </w:rPr>
        <w:t xml:space="preserve"> </w:t>
      </w:r>
      <w:r w:rsidR="00DC19DE" w:rsidRPr="00897242">
        <w:rPr>
          <w:sz w:val="24"/>
        </w:rPr>
        <w:tab/>
      </w:r>
      <w:r w:rsidRPr="00897242">
        <w:rPr>
          <w:sz w:val="24"/>
        </w:rPr>
        <w:t>EUT C, C/2023/112, 12.10.2023.</w:t>
      </w:r>
    </w:p>
  </w:footnote>
  <w:footnote w:id="8">
    <w:p w14:paraId="13C84368" w14:textId="77777777" w:rsidR="00567B31" w:rsidRPr="00897242" w:rsidRDefault="00567B31" w:rsidP="00DC19DE">
      <w:pPr>
        <w:pStyle w:val="FootnoteText"/>
        <w:ind w:left="567" w:hanging="567"/>
        <w:rPr>
          <w:sz w:val="24"/>
        </w:rPr>
      </w:pPr>
      <w:r w:rsidRPr="00DC19DE">
        <w:rPr>
          <w:rStyle w:val="FootnoteReference"/>
          <w:sz w:val="24"/>
          <w:lang w:val="da-DK"/>
        </w:rPr>
        <w:footnoteRef/>
      </w:r>
      <w:r w:rsidR="00DC19DE" w:rsidRPr="00897242">
        <w:rPr>
          <w:sz w:val="24"/>
        </w:rPr>
        <w:t xml:space="preserve"> </w:t>
      </w:r>
      <w:r w:rsidR="00DC19DE" w:rsidRPr="00897242">
        <w:rPr>
          <w:sz w:val="24"/>
        </w:rPr>
        <w:tab/>
      </w:r>
      <w:r w:rsidRPr="00897242">
        <w:rPr>
          <w:sz w:val="24"/>
        </w:rPr>
        <w:t>EUT L 193 af 30.7.2018, s. 1.</w:t>
      </w:r>
    </w:p>
  </w:footnote>
  <w:footnote w:id="9">
    <w:p w14:paraId="04CEAE0C" w14:textId="77777777" w:rsidR="00567B31" w:rsidRPr="00DC19DE" w:rsidRDefault="00567B31" w:rsidP="00DC19DE">
      <w:pPr>
        <w:pStyle w:val="FootnoteText"/>
        <w:ind w:left="567" w:hanging="567"/>
        <w:rPr>
          <w:sz w:val="24"/>
          <w:lang w:val="da-DK"/>
        </w:rPr>
      </w:pPr>
      <w:r w:rsidRPr="00DC19DE">
        <w:rPr>
          <w:rStyle w:val="FootnoteReference"/>
          <w:sz w:val="24"/>
          <w:lang w:val="da-DK"/>
        </w:rPr>
        <w:footnoteRef/>
      </w:r>
      <w:r w:rsidR="00DC19DE" w:rsidRPr="00DC19DE">
        <w:rPr>
          <w:sz w:val="24"/>
          <w:lang w:val="da-DK"/>
        </w:rPr>
        <w:t xml:space="preserve"> </w:t>
      </w:r>
      <w:r w:rsidR="00DC19DE" w:rsidRPr="00DC19DE">
        <w:rPr>
          <w:sz w:val="24"/>
          <w:lang w:val="da-DK"/>
        </w:rPr>
        <w:tab/>
      </w:r>
      <w:r w:rsidRPr="00DC19DE">
        <w:rPr>
          <w:sz w:val="24"/>
          <w:lang w:val="da-DK"/>
        </w:rPr>
        <w:t>EUT L 212 af 22.8.2018, s. 1.</w:t>
      </w:r>
    </w:p>
  </w:footnote>
  <w:footnote w:id="10">
    <w:p w14:paraId="07F7BDDB" w14:textId="77777777" w:rsidR="00567B31" w:rsidRPr="00DC19DE" w:rsidRDefault="00567B31" w:rsidP="00DC19DE">
      <w:pPr>
        <w:pStyle w:val="FootnoteText"/>
        <w:ind w:left="567" w:hanging="567"/>
        <w:rPr>
          <w:sz w:val="24"/>
          <w:lang w:val="da-DK"/>
        </w:rPr>
      </w:pPr>
      <w:r w:rsidRPr="00DC19DE">
        <w:rPr>
          <w:rStyle w:val="FootnoteReference"/>
          <w:sz w:val="24"/>
          <w:lang w:val="da-DK"/>
        </w:rPr>
        <w:footnoteRef/>
      </w:r>
      <w:r w:rsidR="00DC19DE" w:rsidRPr="00DC19DE">
        <w:rPr>
          <w:sz w:val="24"/>
          <w:lang w:val="da-DK"/>
        </w:rPr>
        <w:t xml:space="preserve"> </w:t>
      </w:r>
      <w:r w:rsidR="00DC19DE" w:rsidRPr="00DC19DE">
        <w:rPr>
          <w:sz w:val="24"/>
          <w:lang w:val="da-DK"/>
        </w:rPr>
        <w:tab/>
      </w:r>
      <w:r w:rsidRPr="00DC19DE">
        <w:rPr>
          <w:sz w:val="24"/>
          <w:lang w:val="da-DK"/>
        </w:rPr>
        <w:t>EUT L 122 af 10.5.2019, s. 1.</w:t>
      </w:r>
    </w:p>
  </w:footnote>
  <w:footnote w:id="11">
    <w:p w14:paraId="463B3693" w14:textId="77777777" w:rsidR="00567B31" w:rsidRPr="00DC19DE" w:rsidRDefault="00567B31" w:rsidP="00DC19DE">
      <w:pPr>
        <w:pStyle w:val="FootnoteText"/>
        <w:ind w:left="567" w:hanging="567"/>
        <w:rPr>
          <w:sz w:val="24"/>
          <w:highlight w:val="yellow"/>
          <w:lang w:val="da-DK"/>
        </w:rPr>
      </w:pPr>
      <w:r w:rsidRPr="00DC19DE">
        <w:rPr>
          <w:rStyle w:val="FootnoteReference"/>
          <w:sz w:val="24"/>
          <w:lang w:val="da-DK"/>
        </w:rPr>
        <w:footnoteRef/>
      </w:r>
      <w:r w:rsidR="00DC19DE" w:rsidRPr="00DC19DE">
        <w:rPr>
          <w:sz w:val="24"/>
          <w:lang w:val="da-DK"/>
        </w:rPr>
        <w:t xml:space="preserve"> </w:t>
      </w:r>
      <w:r w:rsidR="00DC19DE" w:rsidRPr="00DC19DE">
        <w:rPr>
          <w:sz w:val="24"/>
          <w:lang w:val="da-DK"/>
        </w:rPr>
        <w:tab/>
      </w:r>
      <w:r w:rsidRPr="00DC19DE">
        <w:rPr>
          <w:sz w:val="24"/>
          <w:lang w:val="da-DK"/>
        </w:rPr>
        <w:t>EUT C 73 af 28.2.2023, s. 25.</w:t>
      </w:r>
    </w:p>
  </w:footnote>
  <w:footnote w:id="12">
    <w:p w14:paraId="68A99232" w14:textId="0F7832CE" w:rsidR="00567B31" w:rsidRPr="00DC19DE" w:rsidRDefault="00567B31" w:rsidP="00DC19DE">
      <w:pPr>
        <w:pStyle w:val="FootnoteText"/>
        <w:ind w:left="567" w:hanging="567"/>
        <w:rPr>
          <w:sz w:val="24"/>
          <w:lang w:val="da-DK"/>
        </w:rPr>
      </w:pPr>
      <w:r w:rsidRPr="00DC19DE">
        <w:rPr>
          <w:rStyle w:val="FootnoteReference"/>
          <w:sz w:val="24"/>
          <w:lang w:val="da-DK"/>
        </w:rPr>
        <w:footnoteRef/>
      </w:r>
      <w:r w:rsidR="00DC19DE" w:rsidRPr="00DC19DE">
        <w:rPr>
          <w:sz w:val="24"/>
          <w:lang w:val="da-DK"/>
        </w:rPr>
        <w:t xml:space="preserve"> </w:t>
      </w:r>
      <w:r w:rsidR="00DC19DE" w:rsidRPr="00DC19DE">
        <w:rPr>
          <w:sz w:val="24"/>
          <w:lang w:val="da-DK"/>
        </w:rPr>
        <w:tab/>
      </w:r>
      <w:r w:rsidRPr="00DC19DE">
        <w:rPr>
          <w:sz w:val="24"/>
          <w:lang w:val="da-DK"/>
        </w:rPr>
        <w:t>Vedtagne tekster, P9_TA(2024)0</w:t>
      </w:r>
      <w:r w:rsidR="002F7383">
        <w:rPr>
          <w:sz w:val="24"/>
          <w:lang w:val="da-DK"/>
        </w:rPr>
        <w:t>280</w:t>
      </w:r>
      <w:r w:rsidRPr="00DC19DE">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BD16D" w14:textId="77777777" w:rsidR="00567B31" w:rsidRPr="00DC19DE" w:rsidRDefault="00567B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F378B" w14:textId="77777777" w:rsidR="00567B31" w:rsidRPr="00DC19DE" w:rsidRDefault="00567B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ACE5A" w14:textId="77777777" w:rsidR="00567B31" w:rsidRPr="00DC19DE" w:rsidRDefault="00567B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4BD16" w14:textId="77777777" w:rsidR="00064002" w:rsidRPr="00DC19D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EE6F8" w14:textId="77777777" w:rsidR="00064002" w:rsidRPr="00DC19D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B439D" w14:textId="77777777" w:rsidR="00064002" w:rsidRPr="00DC19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DA"/>
    <w:docVar w:name="dvnumam" w:val="0"/>
    <w:docVar w:name="dvpe" w:val="753.511"/>
    <w:docVar w:name="dvrapporteur" w:val="Ordfører: "/>
    <w:docVar w:name="dvtitre" w:val="Europa-Parlamentets afgørelse af xx.xx 2024 om decharge for gennemførelsen af budgettet for Den Europæiske Unions Luftfartssikkerhedsagentur for regnskabsåret 2022(2023/2145(DEC))"/>
  </w:docVars>
  <w:rsids>
    <w:rsidRoot w:val="00B3141E"/>
    <w:rsid w:val="00002272"/>
    <w:rsid w:val="00064002"/>
    <w:rsid w:val="000677B9"/>
    <w:rsid w:val="000831BA"/>
    <w:rsid w:val="000A42CC"/>
    <w:rsid w:val="000E7DD9"/>
    <w:rsid w:val="0010095E"/>
    <w:rsid w:val="00125B37"/>
    <w:rsid w:val="0014716D"/>
    <w:rsid w:val="00176853"/>
    <w:rsid w:val="00187494"/>
    <w:rsid w:val="001F32AE"/>
    <w:rsid w:val="002767FF"/>
    <w:rsid w:val="002B18FE"/>
    <w:rsid w:val="002B5493"/>
    <w:rsid w:val="002F738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A9E"/>
    <w:rsid w:val="00545827"/>
    <w:rsid w:val="00560270"/>
    <w:rsid w:val="00565701"/>
    <w:rsid w:val="00567B3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735"/>
    <w:rsid w:val="00887B3E"/>
    <w:rsid w:val="00897242"/>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141E"/>
    <w:rsid w:val="00B558F0"/>
    <w:rsid w:val="00BD48FE"/>
    <w:rsid w:val="00BD7BD8"/>
    <w:rsid w:val="00BE6ADC"/>
    <w:rsid w:val="00C05BFE"/>
    <w:rsid w:val="00C23CD4"/>
    <w:rsid w:val="00C61C0C"/>
    <w:rsid w:val="00C941CB"/>
    <w:rsid w:val="00CC2357"/>
    <w:rsid w:val="00CD3C55"/>
    <w:rsid w:val="00CF071A"/>
    <w:rsid w:val="00D058B8"/>
    <w:rsid w:val="00D56C11"/>
    <w:rsid w:val="00D834A0"/>
    <w:rsid w:val="00D872DF"/>
    <w:rsid w:val="00D91E21"/>
    <w:rsid w:val="00DA7FCD"/>
    <w:rsid w:val="00DC19DE"/>
    <w:rsid w:val="00E3622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08BCD"/>
  <w15:chartTrackingRefBased/>
  <w15:docId w15:val="{F1FB847E-BAC7-4AF5-8465-BC7AF3DBB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67B3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67B31"/>
    <w:pPr>
      <w:spacing w:before="480" w:after="240"/>
    </w:pPr>
  </w:style>
  <w:style w:type="paragraph" w:customStyle="1" w:styleId="PageHeading">
    <w:name w:val="PageHeading"/>
    <w:basedOn w:val="Normal"/>
    <w:rsid w:val="00567B31"/>
    <w:pPr>
      <w:keepNext/>
      <w:spacing w:after="480"/>
      <w:jc w:val="center"/>
    </w:pPr>
    <w:rPr>
      <w:rFonts w:ascii="Arial" w:hAnsi="Arial" w:cs="Arial"/>
      <w:b/>
    </w:rPr>
  </w:style>
  <w:style w:type="paragraph" w:customStyle="1" w:styleId="NormalBold">
    <w:name w:val="NormalBold"/>
    <w:basedOn w:val="Normal"/>
    <w:rsid w:val="00567B31"/>
    <w:rPr>
      <w:b/>
    </w:rPr>
  </w:style>
  <w:style w:type="paragraph" w:customStyle="1" w:styleId="NormalHanging12a">
    <w:name w:val="NormalHanging12a"/>
    <w:basedOn w:val="Normal"/>
    <w:link w:val="NormalHanging12aChar"/>
    <w:rsid w:val="00567B31"/>
    <w:pPr>
      <w:spacing w:after="240"/>
      <w:ind w:left="567" w:hanging="567"/>
    </w:pPr>
  </w:style>
  <w:style w:type="paragraph" w:customStyle="1" w:styleId="NormalCenter12a">
    <w:name w:val="NormalCenter12a"/>
    <w:basedOn w:val="Normal"/>
    <w:rsid w:val="00567B31"/>
    <w:pPr>
      <w:spacing w:after="240"/>
      <w:jc w:val="center"/>
    </w:pPr>
  </w:style>
  <w:style w:type="paragraph" w:styleId="Header">
    <w:name w:val="header"/>
    <w:basedOn w:val="Normal"/>
    <w:link w:val="HeaderChar"/>
    <w:rsid w:val="00567B31"/>
    <w:pPr>
      <w:tabs>
        <w:tab w:val="center" w:pos="4513"/>
        <w:tab w:val="right" w:pos="9026"/>
      </w:tabs>
    </w:pPr>
  </w:style>
  <w:style w:type="character" w:customStyle="1" w:styleId="HeaderChar">
    <w:name w:val="Header Char"/>
    <w:basedOn w:val="DefaultParagraphFont"/>
    <w:link w:val="Header"/>
    <w:rsid w:val="00567B31"/>
    <w:rPr>
      <w:sz w:val="24"/>
      <w:lang w:val="da-DK"/>
    </w:rPr>
  </w:style>
  <w:style w:type="paragraph" w:customStyle="1" w:styleId="EPFooter">
    <w:name w:val="EPFooter"/>
    <w:basedOn w:val="Normal"/>
    <w:rsid w:val="00567B31"/>
    <w:pPr>
      <w:tabs>
        <w:tab w:val="center" w:pos="4535"/>
        <w:tab w:val="right" w:pos="9071"/>
      </w:tabs>
      <w:spacing w:before="240" w:after="240"/>
    </w:pPr>
    <w:rPr>
      <w:color w:val="010000"/>
      <w:sz w:val="22"/>
    </w:rPr>
  </w:style>
  <w:style w:type="paragraph" w:customStyle="1" w:styleId="Default">
    <w:name w:val="Default"/>
    <w:rsid w:val="00567B31"/>
    <w:pPr>
      <w:autoSpaceDE w:val="0"/>
      <w:autoSpaceDN w:val="0"/>
      <w:adjustRightInd w:val="0"/>
    </w:pPr>
    <w:rPr>
      <w:rFonts w:ascii="Calibri" w:hAnsi="Calibri" w:cs="Calibri"/>
      <w:color w:val="000000"/>
      <w:sz w:val="24"/>
      <w:szCs w:val="24"/>
      <w:lang w:val="da-DK"/>
    </w:rPr>
  </w:style>
  <w:style w:type="character" w:customStyle="1" w:styleId="NormalHanging12aChar">
    <w:name w:val="NormalHanging12a Char"/>
    <w:basedOn w:val="DefaultParagraphFont"/>
    <w:link w:val="NormalHanging12a"/>
    <w:rsid w:val="00567B31"/>
    <w:rPr>
      <w:sz w:val="24"/>
      <w:lang w:val="da-DK"/>
    </w:rPr>
  </w:style>
  <w:style w:type="paragraph" w:customStyle="1" w:styleId="Normal24a">
    <w:name w:val="Normal24a"/>
    <w:basedOn w:val="Normal"/>
    <w:rsid w:val="00567B31"/>
    <w:pPr>
      <w:spacing w:after="480"/>
    </w:pPr>
  </w:style>
  <w:style w:type="paragraph" w:customStyle="1" w:styleId="Normal12a">
    <w:name w:val="Normal12a"/>
    <w:basedOn w:val="Normal"/>
    <w:rsid w:val="00567B31"/>
    <w:pPr>
      <w:spacing w:after="240"/>
    </w:pPr>
  </w:style>
  <w:style w:type="paragraph" w:customStyle="1" w:styleId="PageHeadingNotTOC">
    <w:name w:val="PageHeadingNotTOC"/>
    <w:basedOn w:val="Normal"/>
    <w:rsid w:val="00567B31"/>
    <w:pPr>
      <w:keepNext/>
      <w:spacing w:after="480"/>
      <w:jc w:val="center"/>
    </w:pPr>
    <w:rPr>
      <w:rFonts w:ascii="Arial" w:hAnsi="Arial" w:cs="Arial"/>
      <w:b/>
    </w:rPr>
  </w:style>
  <w:style w:type="paragraph" w:styleId="BalloonText">
    <w:name w:val="Balloon Text"/>
    <w:basedOn w:val="Normal"/>
    <w:link w:val="BalloonTextChar"/>
    <w:rsid w:val="0014716D"/>
    <w:rPr>
      <w:rFonts w:ascii="Segoe UI" w:hAnsi="Segoe UI" w:cs="Segoe UI"/>
      <w:sz w:val="18"/>
      <w:szCs w:val="18"/>
    </w:rPr>
  </w:style>
  <w:style w:type="character" w:customStyle="1" w:styleId="BalloonTextChar">
    <w:name w:val="Balloon Text Char"/>
    <w:basedOn w:val="DefaultParagraphFont"/>
    <w:link w:val="BalloonText"/>
    <w:rsid w:val="0014716D"/>
    <w:rPr>
      <w:rFonts w:ascii="Segoe UI" w:hAnsi="Segoe UI" w:cs="Segoe UI"/>
      <w:sz w:val="18"/>
      <w:szCs w:val="18"/>
      <w:lang w:val="da-DK"/>
    </w:rPr>
  </w:style>
  <w:style w:type="character" w:styleId="CommentReference">
    <w:name w:val="annotation reference"/>
    <w:basedOn w:val="DefaultParagraphFont"/>
    <w:rsid w:val="00527A9E"/>
    <w:rPr>
      <w:sz w:val="16"/>
      <w:szCs w:val="16"/>
    </w:rPr>
  </w:style>
  <w:style w:type="paragraph" w:styleId="CommentText">
    <w:name w:val="annotation text"/>
    <w:basedOn w:val="Normal"/>
    <w:link w:val="CommentTextChar"/>
    <w:rsid w:val="00527A9E"/>
    <w:rPr>
      <w:sz w:val="20"/>
    </w:rPr>
  </w:style>
  <w:style w:type="character" w:customStyle="1" w:styleId="CommentTextChar">
    <w:name w:val="Comment Text Char"/>
    <w:basedOn w:val="DefaultParagraphFont"/>
    <w:link w:val="CommentText"/>
    <w:rsid w:val="00527A9E"/>
    <w:rPr>
      <w:lang w:val="da-DK"/>
    </w:rPr>
  </w:style>
  <w:style w:type="paragraph" w:styleId="CommentSubject">
    <w:name w:val="annotation subject"/>
    <w:basedOn w:val="CommentText"/>
    <w:next w:val="CommentText"/>
    <w:link w:val="CommentSubjectChar"/>
    <w:rsid w:val="00527A9E"/>
    <w:rPr>
      <w:b/>
      <w:bCs/>
    </w:rPr>
  </w:style>
  <w:style w:type="character" w:customStyle="1" w:styleId="CommentSubjectChar">
    <w:name w:val="Comment Subject Char"/>
    <w:basedOn w:val="CommentTextChar"/>
    <w:link w:val="CommentSubject"/>
    <w:rsid w:val="00527A9E"/>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C7FF2-2C49-48D4-A7E9-D22207B54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3733</Words>
  <Characters>24040</Characters>
  <Application>Microsoft Office Word</Application>
  <DocSecurity>0</DocSecurity>
  <Lines>200</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2024-04-11T15:14:00Z</dcterms:created>
  <dcterms:modified xsi:type="dcterms:W3CDTF">2024-04-11T15:14:00Z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A9-0116/2024</vt:lpwstr>
  </property>
  <property fmtid="{D5CDD505-2E9C-101B-9397-08002B2CF9AE}" pid="4" name="&lt;Type&gt;">
    <vt:lpwstr>RR</vt:lpwstr>
  </property>
</Properties>
</file>