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BB2" w:rsidRDefault="00A33BB2"/>
    <w:tbl>
      <w:tblPr>
        <w:tblW w:w="9072" w:type="dxa"/>
        <w:tblCellMar>
          <w:left w:w="0" w:type="dxa"/>
          <w:right w:w="0" w:type="dxa"/>
        </w:tblCellMar>
        <w:tblLook w:val="01E0" w:firstRow="1" w:lastRow="1" w:firstColumn="1" w:lastColumn="1" w:noHBand="0" w:noVBand="0"/>
      </w:tblPr>
      <w:tblGrid>
        <w:gridCol w:w="6804"/>
        <w:gridCol w:w="2268"/>
      </w:tblGrid>
      <w:tr w:rsidR="00751A4A" w:rsidRPr="0091177C" w:rsidTr="0010095E">
        <w:trPr>
          <w:trHeight w:hRule="exact" w:val="1418"/>
        </w:trPr>
        <w:tc>
          <w:tcPr>
            <w:tcW w:w="6804" w:type="dxa"/>
            <w:shd w:val="clear" w:color="auto" w:fill="auto"/>
            <w:vAlign w:val="center"/>
          </w:tcPr>
          <w:p w:rsidR="00751A4A" w:rsidRPr="0091177C" w:rsidRDefault="00FF3C58" w:rsidP="0010095E">
            <w:pPr>
              <w:pStyle w:val="EPName"/>
            </w:pPr>
            <w:r w:rsidRPr="0091177C">
              <w:t>Ευρωπαϊκό Κοινοβούλιο</w:t>
            </w:r>
          </w:p>
          <w:p w:rsidR="00751A4A" w:rsidRPr="0091177C" w:rsidRDefault="00817416" w:rsidP="00756632">
            <w:pPr>
              <w:pStyle w:val="EPTerm"/>
              <w:rPr>
                <w:rStyle w:val="HideTWBExt"/>
                <w:noProof w:val="0"/>
                <w:vanish w:val="0"/>
                <w:color w:val="auto"/>
              </w:rPr>
            </w:pPr>
            <w:r w:rsidRPr="0091177C">
              <w:t>2019-2024</w:t>
            </w:r>
          </w:p>
        </w:tc>
        <w:tc>
          <w:tcPr>
            <w:tcW w:w="2268" w:type="dxa"/>
            <w:shd w:val="clear" w:color="auto" w:fill="auto"/>
          </w:tcPr>
          <w:p w:rsidR="00751A4A" w:rsidRPr="0091177C" w:rsidRDefault="00187494" w:rsidP="0010095E">
            <w:pPr>
              <w:pStyle w:val="EPLogo"/>
            </w:pPr>
            <w:r w:rsidRPr="009117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177C" w:rsidRDefault="00D058B8" w:rsidP="004C5D52">
      <w:pPr>
        <w:pStyle w:val="LineTop"/>
      </w:pPr>
    </w:p>
    <w:p w:rsidR="00680577" w:rsidRPr="0091177C" w:rsidRDefault="00FF3C58" w:rsidP="00680577">
      <w:pPr>
        <w:pStyle w:val="EPBodyTA1"/>
      </w:pPr>
      <w:r w:rsidRPr="0091177C">
        <w:t>ΚΕΙΜΕΝΑ ΠΟΥ ΕΓΚΡΙΘΗΚΑΝ</w:t>
      </w:r>
    </w:p>
    <w:p w:rsidR="00D058B8" w:rsidRPr="0091177C" w:rsidRDefault="00D058B8" w:rsidP="00D058B8">
      <w:pPr>
        <w:pStyle w:val="LineBottom"/>
      </w:pPr>
    </w:p>
    <w:p w:rsidR="00FF3C58" w:rsidRPr="0091177C" w:rsidRDefault="00FF3C58" w:rsidP="00FF3C58">
      <w:pPr>
        <w:pStyle w:val="ATHeading1"/>
      </w:pPr>
      <w:bookmarkStart w:id="0" w:name="TANumber"/>
      <w:r w:rsidRPr="0091177C">
        <w:t>P9_TA(2024)</w:t>
      </w:r>
      <w:bookmarkEnd w:id="0"/>
      <w:r w:rsidR="00496990" w:rsidRPr="0091177C">
        <w:t>0</w:t>
      </w:r>
      <w:r w:rsidR="00496990">
        <w:t>249</w:t>
      </w:r>
    </w:p>
    <w:p w:rsidR="00FF3C58" w:rsidRPr="0091177C" w:rsidRDefault="00FF3C58" w:rsidP="00FF3C58">
      <w:pPr>
        <w:pStyle w:val="ATHeading2"/>
      </w:pPr>
      <w:bookmarkStart w:id="1" w:name="title"/>
      <w:r w:rsidRPr="0091177C">
        <w:t>Απαλλαγή 2022: Οργανισμός της Ευρωπαϊκής Ένωσης για την Ασφάλεια της Αεροπορίας</w:t>
      </w:r>
      <w:bookmarkEnd w:id="1"/>
    </w:p>
    <w:p w:rsidR="00FF3C58" w:rsidRPr="0091177C" w:rsidRDefault="00FF3C58" w:rsidP="00FF3C58">
      <w:pPr>
        <w:rPr>
          <w:i/>
          <w:vanish/>
        </w:rPr>
      </w:pPr>
      <w:r w:rsidRPr="0091177C">
        <w:rPr>
          <w:i/>
        </w:rPr>
        <w:fldChar w:fldCharType="begin"/>
      </w:r>
      <w:r w:rsidRPr="0091177C">
        <w:rPr>
          <w:i/>
        </w:rPr>
        <w:instrText xml:space="preserve"> TC"(</w:instrText>
      </w:r>
      <w:bookmarkStart w:id="2" w:name="DocNumber"/>
      <w:r w:rsidRPr="0091177C">
        <w:rPr>
          <w:i/>
        </w:rPr>
        <w:instrText>A9-0116/2024</w:instrText>
      </w:r>
      <w:bookmarkEnd w:id="2"/>
      <w:r w:rsidRPr="0091177C">
        <w:rPr>
          <w:i/>
        </w:rPr>
        <w:instrText xml:space="preserve"> - Εισηγητής: </w:instrText>
      </w:r>
      <w:proofErr w:type="spellStart"/>
      <w:r w:rsidRPr="0091177C">
        <w:rPr>
          <w:i/>
        </w:rPr>
        <w:instrText>Petri</w:instrText>
      </w:r>
      <w:proofErr w:type="spellEnd"/>
      <w:r w:rsidRPr="0091177C">
        <w:rPr>
          <w:i/>
        </w:rPr>
        <w:instrText xml:space="preserve"> </w:instrText>
      </w:r>
      <w:proofErr w:type="spellStart"/>
      <w:r w:rsidRPr="0091177C">
        <w:rPr>
          <w:i/>
        </w:rPr>
        <w:instrText>Sarvamaa</w:instrText>
      </w:r>
      <w:proofErr w:type="spellEnd"/>
      <w:r w:rsidRPr="0091177C">
        <w:rPr>
          <w:i/>
        </w:rPr>
        <w:instrText xml:space="preserve">)"\l3 \n&gt; \* MERGEFORMAT </w:instrText>
      </w:r>
      <w:r w:rsidRPr="0091177C">
        <w:rPr>
          <w:i/>
        </w:rPr>
        <w:fldChar w:fldCharType="end"/>
      </w:r>
    </w:p>
    <w:p w:rsidR="00FF3C58" w:rsidRPr="0091177C" w:rsidRDefault="00FF3C58" w:rsidP="00FF3C58">
      <w:pPr>
        <w:rPr>
          <w:vanish/>
        </w:rPr>
      </w:pPr>
      <w:bookmarkStart w:id="3" w:name="Commission"/>
      <w:r w:rsidRPr="0091177C">
        <w:rPr>
          <w:vanish/>
        </w:rPr>
        <w:t>Επιτροπή Ελέγχου του Προϋπολογισμού</w:t>
      </w:r>
      <w:bookmarkEnd w:id="3"/>
    </w:p>
    <w:p w:rsidR="00FF3C58" w:rsidRPr="0091177C" w:rsidRDefault="00FF3C58" w:rsidP="00FF3C58">
      <w:pPr>
        <w:rPr>
          <w:vanish/>
        </w:rPr>
      </w:pPr>
      <w:bookmarkStart w:id="4" w:name="PE"/>
      <w:r w:rsidRPr="0091177C">
        <w:rPr>
          <w:vanish/>
        </w:rPr>
        <w:t>PE753.511</w:t>
      </w:r>
      <w:bookmarkEnd w:id="4"/>
    </w:p>
    <w:p w:rsidR="00FF3C58" w:rsidRPr="0091177C" w:rsidRDefault="00EF76B8" w:rsidP="00FF3C58">
      <w:pPr>
        <w:pStyle w:val="ATHeading3"/>
      </w:pPr>
      <w:bookmarkStart w:id="5" w:name="Sujet"/>
      <w:r>
        <w:t xml:space="preserve">1. </w:t>
      </w:r>
      <w:r w:rsidR="00FF3C58" w:rsidRPr="0091177C">
        <w:t xml:space="preserve">Απόφαση του Ευρωπαϊκού Κοινοβουλίου </w:t>
      </w:r>
      <w:r>
        <w:t xml:space="preserve">της 11ης Απριλίου 2024 </w:t>
      </w:r>
      <w:r w:rsidR="00FF3C58" w:rsidRPr="0091177C">
        <w:t>σχετικά με την απαλλαγή όσον αφορ</w:t>
      </w:r>
      <w:bookmarkStart w:id="6" w:name="_GoBack"/>
      <w:bookmarkEnd w:id="6"/>
      <w:r w:rsidR="00FF3C58" w:rsidRPr="0091177C">
        <w:t>ά την εκτέλεση του προϋπολογισμού του Οργανισμού της Ευρωπαϊκής Ένωσης για την Ασφάλεια της Αεροπορίας για το οικονομικό έτος 2022</w:t>
      </w:r>
      <w:bookmarkEnd w:id="5"/>
      <w:r w:rsidR="00FF3C58" w:rsidRPr="0091177C">
        <w:t xml:space="preserve"> </w:t>
      </w:r>
      <w:bookmarkStart w:id="7" w:name="References"/>
      <w:r w:rsidR="00FF3C58" w:rsidRPr="0091177C">
        <w:t>(2023/2145(DEC))</w:t>
      </w:r>
      <w:bookmarkEnd w:id="7"/>
    </w:p>
    <w:p w:rsidR="00DF6AA3" w:rsidRPr="0091177C" w:rsidRDefault="00DF6AA3" w:rsidP="00DF6AA3">
      <w:pPr>
        <w:pStyle w:val="EPComma"/>
      </w:pPr>
      <w:bookmarkStart w:id="8" w:name="TextBodyBegin"/>
      <w:bookmarkEnd w:id="8"/>
      <w:r w:rsidRPr="0091177C">
        <w:rPr>
          <w:i/>
        </w:rPr>
        <w:t>Το Ευρωπαϊκό Κοινοβούλιο</w:t>
      </w:r>
      <w:r w:rsidRPr="0091177C">
        <w:t>,</w:t>
      </w:r>
    </w:p>
    <w:p w:rsidR="00DF6AA3" w:rsidRPr="0091177C" w:rsidRDefault="00DF6AA3" w:rsidP="00DF6AA3">
      <w:pPr>
        <w:pStyle w:val="NormalHanging12a"/>
      </w:pPr>
      <w:r w:rsidRPr="0091177C">
        <w:t>–</w:t>
      </w:r>
      <w:r w:rsidRPr="0091177C">
        <w:tab/>
        <w:t>έχοντας υπόψη τους οριστικούς ετήσιους λογαριασμούς του Οργανισμού της Ευρωπαϊκής Ένωσης για την Ασφάλεια της Αεροπορίας για το οικονομικό έτος 2022,</w:t>
      </w:r>
    </w:p>
    <w:p w:rsidR="00DF6AA3" w:rsidRPr="0091177C" w:rsidRDefault="00DF6AA3" w:rsidP="00DF6AA3">
      <w:pPr>
        <w:pStyle w:val="NormalHanging12a"/>
      </w:pPr>
      <w:r w:rsidRPr="0091177C">
        <w:t>–</w:t>
      </w:r>
      <w:r w:rsidRPr="0091177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91177C">
        <w:rPr>
          <w:rStyle w:val="FootnoteReference"/>
        </w:rPr>
        <w:footnoteReference w:id="1"/>
      </w:r>
      <w:r w:rsidRPr="0091177C">
        <w:t>,</w:t>
      </w:r>
    </w:p>
    <w:p w:rsidR="00DF6AA3" w:rsidRPr="0091177C" w:rsidRDefault="00DF6AA3" w:rsidP="00DF6AA3">
      <w:pPr>
        <w:pStyle w:val="NormalHanging12a"/>
      </w:pPr>
      <w:r w:rsidRPr="0091177C">
        <w:t>–</w:t>
      </w:r>
      <w:r w:rsidRPr="0091177C">
        <w:tab/>
        <w:t>έχοντας υπόψη τη δήλωση αξιοπιστίας</w:t>
      </w:r>
      <w:r w:rsidRPr="0091177C">
        <w:rPr>
          <w:rStyle w:val="FootnoteReference"/>
        </w:rPr>
        <w:footnoteReference w:id="2"/>
      </w:r>
      <w:r w:rsidRPr="0091177C">
        <w:t xml:space="preserve"> η οποία βεβαιώνει την ακρίβεια των λογαριασμών και τη νομιμότητα και κανονικότητα των σχετικών πράξεων, την οποία </w:t>
      </w:r>
      <w:proofErr w:type="spellStart"/>
      <w:r w:rsidRPr="0091177C">
        <w:t>ενεχείρισε</w:t>
      </w:r>
      <w:proofErr w:type="spellEnd"/>
      <w:r w:rsidRPr="0091177C">
        <w:t xml:space="preserve"> το Ελεγκτικό Συνέδριο για το οικονομικό έτος 2022, σύμφωνα με το άρθρο 287 της Συνθήκης για τη λειτουργία της Ευρωπαϊκής Ένωσης,</w:t>
      </w:r>
    </w:p>
    <w:p w:rsidR="00DF6AA3" w:rsidRPr="0091177C" w:rsidRDefault="00DF6AA3" w:rsidP="00DF6AA3">
      <w:pPr>
        <w:pStyle w:val="NormalHanging12a"/>
      </w:pPr>
      <w:r w:rsidRPr="0091177C">
        <w:t>–</w:t>
      </w:r>
      <w:r w:rsidRPr="0091177C">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DF130C" w:rsidRPr="0091177C">
        <w:t>0</w:t>
      </w:r>
      <w:r w:rsidR="00DF130C">
        <w:t>6180</w:t>
      </w:r>
      <w:r w:rsidRPr="0091177C">
        <w:t>/2024 – C9</w:t>
      </w:r>
      <w:r w:rsidRPr="0091177C">
        <w:noBreakHyphen/>
        <w:t>00</w:t>
      </w:r>
      <w:r w:rsidR="00DF130C">
        <w:t>83</w:t>
      </w:r>
      <w:r w:rsidRPr="0091177C">
        <w:t>/2024),</w:t>
      </w:r>
    </w:p>
    <w:p w:rsidR="00DF6AA3" w:rsidRPr="0091177C" w:rsidRDefault="00DF6AA3" w:rsidP="00DF6AA3">
      <w:pPr>
        <w:pStyle w:val="NormalHanging12a"/>
      </w:pPr>
      <w:r w:rsidRPr="0091177C">
        <w:t>–</w:t>
      </w:r>
      <w:r w:rsidRPr="0091177C">
        <w:tab/>
        <w:t>έχοντας υπόψη το άρθρο 319 της Συνθήκης για τη λειτουργία της Ευρωπαϊκής Ένωσης,</w:t>
      </w:r>
    </w:p>
    <w:p w:rsidR="00DF6AA3" w:rsidRPr="0091177C" w:rsidRDefault="00DF6AA3" w:rsidP="00DF6AA3">
      <w:pPr>
        <w:pStyle w:val="NormalHanging12a"/>
      </w:pPr>
      <w:r w:rsidRPr="0091177C">
        <w:t>–</w:t>
      </w:r>
      <w:r w:rsidRPr="0091177C">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91177C">
        <w:lastRenderedPageBreak/>
        <w:t>(ΕΕ) αριθ. 223/2014, (ΕΕ) αριθ. 283/2014 και της απόφασης αριθ. 541/2014/ΕΕ και για την κατάργηση του κανονισμού (ΕΕ, Ευρατόμ) αριθ. 966/2012</w:t>
      </w:r>
      <w:r w:rsidRPr="0091177C">
        <w:rPr>
          <w:rStyle w:val="FootnoteReference"/>
        </w:rPr>
        <w:footnoteReference w:id="3"/>
      </w:r>
      <w:r w:rsidRPr="0091177C">
        <w:t>, και ιδίως το άρθρο 70,</w:t>
      </w:r>
    </w:p>
    <w:p w:rsidR="00DF6AA3" w:rsidRPr="0091177C" w:rsidRDefault="00DF6AA3" w:rsidP="00DF6AA3">
      <w:pPr>
        <w:pStyle w:val="NormalHanging12a"/>
      </w:pPr>
      <w:r w:rsidRPr="0091177C">
        <w:t>–</w:t>
      </w:r>
      <w:r w:rsidRPr="0091177C">
        <w:tab/>
        <w:t>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κανονισμού (ΕΟΚ) αριθ. 3922/91 του Συμβουλίου</w:t>
      </w:r>
      <w:r w:rsidRPr="0091177C">
        <w:rPr>
          <w:rStyle w:val="FootnoteReference"/>
        </w:rPr>
        <w:footnoteReference w:id="4"/>
      </w:r>
      <w:r w:rsidRPr="0091177C">
        <w:t>, και ιδίως το άρθρο 121,</w:t>
      </w:r>
    </w:p>
    <w:p w:rsidR="00DF6AA3" w:rsidRPr="0091177C" w:rsidRDefault="00DF6AA3" w:rsidP="00DF6AA3">
      <w:pPr>
        <w:pStyle w:val="NormalHanging12a"/>
      </w:pPr>
      <w:r w:rsidRPr="0091177C">
        <w:t>–</w:t>
      </w:r>
      <w:r w:rsidRPr="0091177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91177C">
        <w:rPr>
          <w:rStyle w:val="FootnoteReference"/>
        </w:rPr>
        <w:footnoteReference w:id="5"/>
      </w:r>
      <w:r w:rsidRPr="0091177C">
        <w:t>, και ιδίως το άρθρο 105,</w:t>
      </w:r>
    </w:p>
    <w:p w:rsidR="00DF6AA3" w:rsidRPr="0091177C" w:rsidRDefault="00DF6AA3" w:rsidP="00DF6AA3">
      <w:pPr>
        <w:pStyle w:val="NormalHanging12a"/>
      </w:pPr>
      <w:r w:rsidRPr="0091177C">
        <w:t>–</w:t>
      </w:r>
      <w:r w:rsidRPr="0091177C">
        <w:tab/>
        <w:t>έχοντας υπόψη το άρθρο 100 και το παράρτημα V του Κανονισμού του,</w:t>
      </w:r>
    </w:p>
    <w:p w:rsidR="00DF6AA3" w:rsidRPr="0091177C" w:rsidRDefault="00DF6AA3" w:rsidP="00DF6AA3">
      <w:pPr>
        <w:pStyle w:val="NormalHanging12a"/>
      </w:pPr>
      <w:r w:rsidRPr="0091177C">
        <w:t>–</w:t>
      </w:r>
      <w:r w:rsidRPr="0091177C">
        <w:tab/>
        <w:t>έχοντας υπόψη τη γνωμοδότηση της Επιτροπής Μεταφορών και Τουρισμού,</w:t>
      </w:r>
    </w:p>
    <w:p w:rsidR="00DF6AA3" w:rsidRPr="0091177C" w:rsidRDefault="00DF6AA3" w:rsidP="00DF6AA3">
      <w:pPr>
        <w:pStyle w:val="NormalHanging12a"/>
      </w:pPr>
      <w:r w:rsidRPr="0091177C">
        <w:t>–</w:t>
      </w:r>
      <w:r w:rsidRPr="0091177C">
        <w:tab/>
        <w:t>έχοντας υπόψη την έκθεση της Επιτροπής Ελέγχου του Προϋπολογισμού (A9-0116/2024),</w:t>
      </w:r>
    </w:p>
    <w:p w:rsidR="00DF6AA3" w:rsidRPr="0091177C" w:rsidRDefault="00496990" w:rsidP="00496990">
      <w:pPr>
        <w:pStyle w:val="NormalHanging12a"/>
        <w:ind w:hanging="570"/>
      </w:pPr>
      <w:r w:rsidRPr="0091177C">
        <w:t>1.</w:t>
      </w:r>
      <w:r w:rsidRPr="0091177C">
        <w:tab/>
      </w:r>
      <w:r w:rsidR="00DF6AA3" w:rsidRPr="0091177C">
        <w:t>χορηγεί απαλλαγή στον ασκούντα χρέη εκτελεστικού διευθυντή του Οργανισμού της Ευρωπαϊκής Ένωσης για την Ασφάλεια της Αεροπορίας όσον αφορά την εκτέλεση του προϋπολογισμού του Οργανισμού για το οικονομικό έτος 2022·</w:t>
      </w:r>
    </w:p>
    <w:p w:rsidR="00DF6AA3" w:rsidRPr="0091177C" w:rsidRDefault="00496990" w:rsidP="00496990">
      <w:pPr>
        <w:pStyle w:val="NormalHanging12a"/>
        <w:ind w:hanging="570"/>
      </w:pPr>
      <w:r w:rsidRPr="0091177C">
        <w:t>2.</w:t>
      </w:r>
      <w:r w:rsidRPr="0091177C">
        <w:tab/>
      </w:r>
      <w:r w:rsidR="00DF6AA3" w:rsidRPr="0091177C">
        <w:t>εκθέτει τις παρατηρήσεις του στο ψήφισμα που ακολουθεί·</w:t>
      </w:r>
    </w:p>
    <w:p w:rsidR="00DF6AA3" w:rsidRPr="0091177C" w:rsidRDefault="00496990" w:rsidP="00496990">
      <w:pPr>
        <w:pStyle w:val="NormalHanging12a"/>
        <w:ind w:hanging="570"/>
      </w:pPr>
      <w:r w:rsidRPr="0091177C">
        <w:t>3.</w:t>
      </w:r>
      <w:r w:rsidRPr="0091177C">
        <w:tab/>
      </w:r>
      <w:r w:rsidR="00DF6AA3" w:rsidRPr="0091177C">
        <w:t>αναθέτει στην Πρόεδρό του να διαβιβάσει την παρούσα απόφαση και το ψήφισμα που αποτελεί αναπόσπαστο μέρος της στον ασκούντα χρέη εκτελεστικού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DF6AA3" w:rsidRPr="0091177C" w:rsidRDefault="00DF6AA3" w:rsidP="00DF6AA3"/>
    <w:p w:rsidR="00DF6AA3" w:rsidRPr="0091177C" w:rsidRDefault="00DF6AA3" w:rsidP="00DF6AA3">
      <w:pPr>
        <w:widowControl/>
        <w:rPr>
          <w:rFonts w:ascii="Arial" w:hAnsi="Arial" w:cs="Arial"/>
          <w:b/>
        </w:rPr>
        <w:sectPr w:rsidR="00DF6AA3" w:rsidRPr="0091177C" w:rsidSect="0091177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F6AA3" w:rsidRPr="0091177C" w:rsidRDefault="00EF76B8" w:rsidP="00EF76B8">
      <w:pPr>
        <w:pStyle w:val="ATHeading3"/>
      </w:pPr>
      <w:r>
        <w:t>2. Απόφαση του Ευρωπαϊκού Κοινοβουλίου</w:t>
      </w:r>
      <w:r w:rsidR="00DF130C">
        <w:t xml:space="preserve"> της 11ης Απριλίου 2024</w:t>
      </w:r>
      <w:r>
        <w:t xml:space="preserve"> </w:t>
      </w:r>
      <w:r w:rsidR="00DF6AA3" w:rsidRPr="0091177C">
        <w:t>σχετικά με το κλείσιμο των λογαριασμών του Οργανισμού της Ευρωπαϊκής Ένωσης για την Ασφάλεια της Αεροπορίας για το οικονομικό έτος 2022·(2023/2145(DEC))</w:t>
      </w:r>
    </w:p>
    <w:p w:rsidR="00DF6AA3" w:rsidRPr="0091177C" w:rsidRDefault="00DF6AA3" w:rsidP="00DF6AA3">
      <w:pPr>
        <w:pStyle w:val="EPComma"/>
      </w:pPr>
      <w:r w:rsidRPr="0091177C">
        <w:rPr>
          <w:i/>
        </w:rPr>
        <w:t>Το Ευρωπαϊκό Κοινοβούλιο</w:t>
      </w:r>
      <w:r w:rsidRPr="0091177C">
        <w:t>,</w:t>
      </w:r>
    </w:p>
    <w:p w:rsidR="00DF6AA3" w:rsidRPr="0091177C" w:rsidRDefault="00DF6AA3" w:rsidP="00DF6AA3">
      <w:pPr>
        <w:pStyle w:val="NormalHanging12a"/>
      </w:pPr>
      <w:r w:rsidRPr="0091177C">
        <w:t>–</w:t>
      </w:r>
      <w:r w:rsidRPr="0091177C">
        <w:tab/>
        <w:t>έχοντας υπόψη τους οριστικούς ετήσιους λογαριασμούς του Οργανισμού της Ευρωπαϊκής Ένωσης για την Ασφάλεια της Αεροπορίας για το οικονομικό έτος 2022,</w:t>
      </w:r>
    </w:p>
    <w:p w:rsidR="00DF6AA3" w:rsidRPr="0091177C" w:rsidRDefault="00DF6AA3" w:rsidP="00DF6AA3">
      <w:pPr>
        <w:pStyle w:val="NormalHanging12a"/>
      </w:pPr>
      <w:r w:rsidRPr="0091177C">
        <w:t>–</w:t>
      </w:r>
      <w:r w:rsidRPr="0091177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91177C">
        <w:rPr>
          <w:rStyle w:val="FootnoteReference"/>
        </w:rPr>
        <w:footnoteReference w:id="6"/>
      </w:r>
      <w:r w:rsidRPr="0091177C">
        <w:t>,</w:t>
      </w:r>
    </w:p>
    <w:p w:rsidR="00DF6AA3" w:rsidRPr="0091177C" w:rsidRDefault="00DF6AA3" w:rsidP="00DF6AA3">
      <w:pPr>
        <w:pStyle w:val="NormalHanging12a"/>
      </w:pPr>
      <w:r w:rsidRPr="0091177C">
        <w:t>–</w:t>
      </w:r>
      <w:r w:rsidRPr="0091177C">
        <w:tab/>
        <w:t>έχοντας υπόψη τη δήλωση αξιοπιστίας</w:t>
      </w:r>
      <w:r w:rsidRPr="0091177C">
        <w:rPr>
          <w:rStyle w:val="FootnoteReference"/>
        </w:rPr>
        <w:footnoteReference w:id="7"/>
      </w:r>
      <w:r w:rsidRPr="0091177C">
        <w:t xml:space="preserve"> η οποία βεβαιώνει την ακρίβεια των λογαριασμών και τη νομιμότητα και κανονικότητα των σχετικών πράξεων, την οποία </w:t>
      </w:r>
      <w:proofErr w:type="spellStart"/>
      <w:r w:rsidRPr="0091177C">
        <w:t>ενεχείρισε</w:t>
      </w:r>
      <w:proofErr w:type="spellEnd"/>
      <w:r w:rsidRPr="0091177C">
        <w:t xml:space="preserve"> το Ελεγκτικό Συνέδριο για το οικονομικό έτος 2022, σύμφωνα με το άρθρο 287 της Συνθήκης για τη λειτουργία της Ευρωπαϊκής Ένωσης,</w:t>
      </w:r>
    </w:p>
    <w:p w:rsidR="00DF6AA3" w:rsidRPr="0091177C" w:rsidRDefault="00DF6AA3" w:rsidP="00DF6AA3">
      <w:pPr>
        <w:pStyle w:val="NormalHanging12a"/>
      </w:pPr>
      <w:r w:rsidRPr="0091177C">
        <w:t>–</w:t>
      </w:r>
      <w:r w:rsidRPr="0091177C">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DF130C" w:rsidRPr="0091177C">
        <w:t>0</w:t>
      </w:r>
      <w:r w:rsidR="00DF130C">
        <w:t>6180</w:t>
      </w:r>
      <w:r w:rsidRPr="0091177C">
        <w:t>/2024 – C9</w:t>
      </w:r>
      <w:r w:rsidRPr="0091177C">
        <w:noBreakHyphen/>
      </w:r>
      <w:r w:rsidR="00DF130C" w:rsidRPr="0091177C">
        <w:t>00</w:t>
      </w:r>
      <w:r w:rsidR="00DF130C">
        <w:t>83</w:t>
      </w:r>
      <w:r w:rsidRPr="0091177C">
        <w:t>/2024),</w:t>
      </w:r>
    </w:p>
    <w:p w:rsidR="00DF6AA3" w:rsidRPr="0091177C" w:rsidRDefault="00DF6AA3" w:rsidP="00DF6AA3">
      <w:pPr>
        <w:pStyle w:val="NormalHanging12a"/>
      </w:pPr>
      <w:r w:rsidRPr="0091177C">
        <w:t>–</w:t>
      </w:r>
      <w:r w:rsidRPr="0091177C">
        <w:tab/>
        <w:t>έχοντας υπόψη το άρθρο 319 της Συνθήκης για τη λειτουργία της Ευρωπαϊκής Ένωσης,</w:t>
      </w:r>
    </w:p>
    <w:p w:rsidR="00DF6AA3" w:rsidRPr="0091177C" w:rsidRDefault="00DF6AA3" w:rsidP="00DF6AA3">
      <w:pPr>
        <w:pStyle w:val="NormalHanging12a"/>
      </w:pPr>
      <w:r w:rsidRPr="0091177C">
        <w:t>–</w:t>
      </w:r>
      <w:r w:rsidRPr="0091177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91177C">
        <w:rPr>
          <w:rStyle w:val="FootnoteReference"/>
        </w:rPr>
        <w:footnoteReference w:id="8"/>
      </w:r>
      <w:r w:rsidRPr="0091177C">
        <w:t>, και ιδίως το άρθρο 70,</w:t>
      </w:r>
    </w:p>
    <w:p w:rsidR="00DF6AA3" w:rsidRPr="0091177C" w:rsidRDefault="00DF6AA3" w:rsidP="00DF6AA3">
      <w:pPr>
        <w:pStyle w:val="NormalHanging12a"/>
      </w:pPr>
      <w:r w:rsidRPr="0091177C">
        <w:t>–</w:t>
      </w:r>
      <w:r w:rsidRPr="0091177C">
        <w:tab/>
        <w:t>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κανονισμού (ΕΟΚ) αριθ. 3922/91 του Συμβουλίου</w:t>
      </w:r>
      <w:r w:rsidRPr="0091177C">
        <w:rPr>
          <w:rStyle w:val="FootnoteReference"/>
        </w:rPr>
        <w:footnoteReference w:id="9"/>
      </w:r>
      <w:r w:rsidRPr="0091177C">
        <w:t>, και ιδίως το άρθρο 121,</w:t>
      </w:r>
    </w:p>
    <w:p w:rsidR="00DF6AA3" w:rsidRPr="0091177C" w:rsidRDefault="00DF6AA3" w:rsidP="00DF6AA3">
      <w:pPr>
        <w:pStyle w:val="NormalHanging12a"/>
      </w:pPr>
      <w:r w:rsidRPr="0091177C">
        <w:t>–</w:t>
      </w:r>
      <w:r w:rsidRPr="0091177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91177C">
        <w:rPr>
          <w:rStyle w:val="FootnoteReference"/>
        </w:rPr>
        <w:footnoteReference w:id="10"/>
      </w:r>
      <w:r w:rsidRPr="0091177C">
        <w:t>, και ιδίως το άρθρο 105,</w:t>
      </w:r>
    </w:p>
    <w:p w:rsidR="00DF6AA3" w:rsidRPr="0091177C" w:rsidRDefault="00DF6AA3" w:rsidP="00DF6AA3">
      <w:pPr>
        <w:pStyle w:val="NormalHanging12a"/>
      </w:pPr>
      <w:r w:rsidRPr="0091177C">
        <w:t>–</w:t>
      </w:r>
      <w:r w:rsidRPr="0091177C">
        <w:tab/>
        <w:t>έχοντας υπόψη το άρθρο 100 και το παράρτημα V του Κανονισμού του,</w:t>
      </w:r>
    </w:p>
    <w:p w:rsidR="00DF6AA3" w:rsidRPr="0091177C" w:rsidRDefault="00DF6AA3" w:rsidP="00DF6AA3">
      <w:pPr>
        <w:pStyle w:val="NormalHanging12a"/>
      </w:pPr>
      <w:r w:rsidRPr="0091177C">
        <w:t>–</w:t>
      </w:r>
      <w:r w:rsidRPr="0091177C">
        <w:tab/>
        <w:t>έχοντας υπόψη τη γνωμοδότηση της Επιτροπής Μεταφορών και Τουρισμού,</w:t>
      </w:r>
    </w:p>
    <w:p w:rsidR="00DF6AA3" w:rsidRPr="0091177C" w:rsidRDefault="00DF6AA3" w:rsidP="00DF6AA3">
      <w:pPr>
        <w:pStyle w:val="NormalHanging12a"/>
      </w:pPr>
      <w:r w:rsidRPr="0091177C">
        <w:t>–</w:t>
      </w:r>
      <w:r w:rsidRPr="0091177C">
        <w:tab/>
        <w:t>έχοντας υπόψη την έκθεση της Επιτροπής Ελέγχου του Προϋπολογισμού (A9-0116/2024),</w:t>
      </w:r>
    </w:p>
    <w:p w:rsidR="00DF6AA3" w:rsidRPr="0091177C" w:rsidRDefault="00496990" w:rsidP="00496990">
      <w:pPr>
        <w:pStyle w:val="NormalHanging12a"/>
        <w:ind w:hanging="570"/>
      </w:pPr>
      <w:r w:rsidRPr="0091177C">
        <w:t>1.</w:t>
      </w:r>
      <w:r w:rsidRPr="0091177C">
        <w:tab/>
      </w:r>
      <w:r w:rsidR="00DF6AA3" w:rsidRPr="0091177C">
        <w:t>εγκρίνει το κλείσιμο των λογαριασμών του Οργανισμού της Ευρωπαϊκής Ένωσης για την Ασφάλεια της Αεροπορίας για το οικονομικό έτος 2022·</w:t>
      </w:r>
    </w:p>
    <w:p w:rsidR="00DF6AA3" w:rsidRPr="0091177C" w:rsidRDefault="00496990" w:rsidP="00496990">
      <w:pPr>
        <w:pStyle w:val="NormalHanging12a"/>
        <w:ind w:hanging="570"/>
      </w:pPr>
      <w:r w:rsidRPr="0091177C">
        <w:t>2.</w:t>
      </w:r>
      <w:r w:rsidRPr="0091177C">
        <w:tab/>
      </w:r>
      <w:r w:rsidR="00DF6AA3" w:rsidRPr="0091177C">
        <w:t>αναθέτει στην Πρόεδρό του να διαβιβάσει την παρούσα απόφαση στον ασκούντα χρέη εκτελεστικού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DF6AA3" w:rsidRPr="0091177C" w:rsidRDefault="00DF6AA3" w:rsidP="00DF6AA3"/>
    <w:p w:rsidR="00DF6AA3" w:rsidRPr="0091177C" w:rsidRDefault="00DF6AA3" w:rsidP="00DF6AA3">
      <w:pPr>
        <w:widowControl/>
        <w:rPr>
          <w:rFonts w:ascii="Arial" w:hAnsi="Arial" w:cs="Arial"/>
          <w:b/>
        </w:rPr>
        <w:sectPr w:rsidR="00DF6AA3" w:rsidRPr="0091177C" w:rsidSect="0091177C">
          <w:footnotePr>
            <w:numRestart w:val="eachPage"/>
          </w:footnotePr>
          <w:endnotePr>
            <w:numFmt w:val="decimal"/>
          </w:endnotePr>
          <w:pgSz w:w="11906" w:h="16838"/>
          <w:pgMar w:top="1134" w:right="1418" w:bottom="1418" w:left="1418" w:header="567" w:footer="567" w:gutter="0"/>
          <w:cols w:space="720"/>
          <w:docGrid w:linePitch="326"/>
        </w:sectPr>
      </w:pPr>
    </w:p>
    <w:p w:rsidR="00DF6AA3" w:rsidRPr="0091177C" w:rsidRDefault="00EF76B8" w:rsidP="00EF76B8">
      <w:pPr>
        <w:pStyle w:val="ATHeading3"/>
      </w:pPr>
      <w:r>
        <w:t xml:space="preserve">3. Ψήφισμα του Ευρωπαϊκού Κοινοβουλίου </w:t>
      </w:r>
      <w:r w:rsidR="00DF130C">
        <w:t xml:space="preserve">της 11ης Απριλίου 2024 </w:t>
      </w:r>
      <w:r w:rsidR="00DF6AA3" w:rsidRPr="0091177C">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2022</w:t>
      </w:r>
      <w:r>
        <w:t xml:space="preserve"> </w:t>
      </w:r>
      <w:r w:rsidR="00DF6AA3" w:rsidRPr="0091177C">
        <w:t>(2023/2145(DEC))</w:t>
      </w:r>
    </w:p>
    <w:p w:rsidR="00DF6AA3" w:rsidRPr="0091177C" w:rsidRDefault="00DF6AA3" w:rsidP="00DF6AA3">
      <w:pPr>
        <w:pStyle w:val="EPComma"/>
        <w:rPr>
          <w:szCs w:val="24"/>
        </w:rPr>
      </w:pPr>
      <w:r w:rsidRPr="0091177C">
        <w:rPr>
          <w:i/>
        </w:rPr>
        <w:t>Το Ευρωπαϊκό Κοινοβούλιο</w:t>
      </w:r>
      <w:r w:rsidRPr="0091177C">
        <w:t>,</w:t>
      </w:r>
    </w:p>
    <w:p w:rsidR="00DF6AA3" w:rsidRPr="0091177C" w:rsidRDefault="00DF6AA3" w:rsidP="00DF6AA3">
      <w:pPr>
        <w:pStyle w:val="NormalHanging12a"/>
        <w:rPr>
          <w:szCs w:val="24"/>
        </w:rPr>
      </w:pPr>
      <w:r w:rsidRPr="0091177C">
        <w:t>–</w:t>
      </w:r>
      <w:r w:rsidRPr="0091177C">
        <w:tab/>
        <w:t>έχοντας υπόψη την απόφασή του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2022,</w:t>
      </w:r>
    </w:p>
    <w:p w:rsidR="00DF6AA3" w:rsidRPr="0091177C" w:rsidRDefault="00DF6AA3" w:rsidP="00DF6AA3">
      <w:pPr>
        <w:pStyle w:val="NormalHanging12a"/>
        <w:rPr>
          <w:szCs w:val="24"/>
        </w:rPr>
      </w:pPr>
      <w:r w:rsidRPr="0091177C">
        <w:t>–</w:t>
      </w:r>
      <w:r w:rsidRPr="0091177C">
        <w:tab/>
        <w:t>έχοντας υπόψη το άρθρο 100 και το παράρτημα V του Κανονισμού του,</w:t>
      </w:r>
    </w:p>
    <w:p w:rsidR="00DF6AA3" w:rsidRPr="0091177C" w:rsidRDefault="00DF6AA3" w:rsidP="00DF6AA3">
      <w:pPr>
        <w:pStyle w:val="NormalHanging12a"/>
        <w:rPr>
          <w:szCs w:val="24"/>
        </w:rPr>
      </w:pPr>
      <w:r w:rsidRPr="0091177C">
        <w:t>–</w:t>
      </w:r>
      <w:r w:rsidRPr="0091177C">
        <w:tab/>
        <w:t>έχοντας υπόψη τη γνωμοδότηση της Επιτροπής Μεταφορών και Τουρισμού,</w:t>
      </w:r>
    </w:p>
    <w:p w:rsidR="00DF6AA3" w:rsidRPr="0091177C" w:rsidRDefault="00DF6AA3" w:rsidP="00DF6AA3">
      <w:pPr>
        <w:pStyle w:val="NormalHanging12a"/>
        <w:rPr>
          <w:szCs w:val="24"/>
        </w:rPr>
      </w:pPr>
      <w:r w:rsidRPr="0091177C">
        <w:t>–</w:t>
      </w:r>
      <w:r w:rsidRPr="0091177C">
        <w:tab/>
        <w:t>έχοντας υπόψη την έκθεση της Επιτροπής Ελέγχου του Προϋπολογισμού (A9-0116/2024),</w:t>
      </w:r>
    </w:p>
    <w:p w:rsidR="00DF6AA3" w:rsidRPr="0091177C" w:rsidRDefault="00DF6AA3" w:rsidP="00DF6AA3">
      <w:pPr>
        <w:spacing w:after="240"/>
        <w:ind w:left="567" w:hanging="567"/>
        <w:rPr>
          <w:szCs w:val="24"/>
        </w:rPr>
      </w:pPr>
      <w:r w:rsidRPr="0091177C">
        <w:t>Α.</w:t>
      </w:r>
      <w:r w:rsidRPr="0091177C">
        <w:tab/>
        <w:t>λαμβάνοντας υπόψη ότι, σύμφωνα με την κατάσταση εσόδων και δαπανών του</w:t>
      </w:r>
      <w:r w:rsidRPr="0091177C">
        <w:rPr>
          <w:szCs w:val="24"/>
          <w:vertAlign w:val="superscript"/>
        </w:rPr>
        <w:footnoteReference w:id="11"/>
      </w:r>
      <w:r w:rsidRPr="0091177C">
        <w:t>, ο οριστικός προϋπολογισμός του Οργανισμού της Ευρωπαϊκής Ένωσης για την Ασφάλεια της Αεροπορίας (</w:t>
      </w:r>
      <w:r w:rsidR="00DF130C">
        <w:t>ο «</w:t>
      </w:r>
      <w:r w:rsidRPr="0091177C">
        <w:t>Οργανισμός</w:t>
      </w:r>
      <w:r w:rsidR="00DF130C">
        <w:t>»</w:t>
      </w:r>
      <w:r w:rsidRPr="0091177C">
        <w:t>) για το οικονομικό έτος 2022 ανήλθε σε 224 265 965 EUR, ποσό που συνιστά αύξηση κατά 10,04 % σε σύγκριση με το 2021· λαμβάνοντας υπόψη ότι ποσό 39 678 000 EUR από τον προϋπολογισμό του Οργανισμού προέρχεται από τον προϋπολογισμό της Ένωσης και ποσό 120 435 031 EUR συνιστά έσοδα από τέλη και επιβαρύνσεις·</w:t>
      </w:r>
    </w:p>
    <w:p w:rsidR="00DF6AA3" w:rsidRPr="0091177C" w:rsidRDefault="00DF6AA3" w:rsidP="00DF6AA3">
      <w:pPr>
        <w:spacing w:after="240"/>
        <w:ind w:left="567" w:hanging="567"/>
        <w:rPr>
          <w:szCs w:val="24"/>
        </w:rPr>
      </w:pPr>
      <w:r w:rsidRPr="0091177C">
        <w:t>Β.</w:t>
      </w:r>
      <w:r w:rsidRPr="0091177C">
        <w:tab/>
        <w:t>λαμβάνοντας υπόψη ότι, στην έκθεσή του για τους ετήσιους λογαριασμούς του Οργανισμού της Ευρωπαϊκής Ένωσης για την Ασφάλεια της Αεροπορίας για το οικονομικό έτος 2022 (</w:t>
      </w:r>
      <w:r w:rsidR="00DF130C">
        <w:t>«</w:t>
      </w:r>
      <w:r w:rsidRPr="0091177C">
        <w:t>έκθεση του Ελεγκτικού Συνεδρίου</w:t>
      </w:r>
      <w:r w:rsidR="00DF130C">
        <w:t>»</w:t>
      </w:r>
      <w:r w:rsidRPr="0091177C">
        <w:t>), το Ελεγκτικό Συνέδριο δηλώνει ότι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DF6AA3" w:rsidRPr="0091177C" w:rsidRDefault="00DF6AA3" w:rsidP="00DF6AA3">
      <w:pPr>
        <w:spacing w:after="240"/>
        <w:ind w:left="567" w:hanging="567"/>
        <w:rPr>
          <w:b/>
          <w:i/>
          <w:szCs w:val="24"/>
        </w:rPr>
      </w:pPr>
      <w:r w:rsidRPr="0091177C">
        <w:rPr>
          <w:b/>
          <w:i/>
        </w:rPr>
        <w:t>Δημοσιονομική και χρηματοοικονομική διαχείριση</w:t>
      </w:r>
    </w:p>
    <w:p w:rsidR="00DF6AA3" w:rsidRPr="00496990" w:rsidRDefault="00496990" w:rsidP="00496990">
      <w:pPr>
        <w:spacing w:after="240"/>
        <w:ind w:left="567" w:hanging="573"/>
        <w:rPr>
          <w:szCs w:val="24"/>
        </w:rPr>
      </w:pPr>
      <w:r w:rsidRPr="00EF76B8">
        <w:rPr>
          <w:szCs w:val="24"/>
        </w:rPr>
        <w:t>1.</w:t>
      </w:r>
      <w:r w:rsidRPr="00EF76B8">
        <w:rPr>
          <w:szCs w:val="24"/>
        </w:rPr>
        <w:tab/>
      </w:r>
      <w:r w:rsidR="00DF6AA3" w:rsidRPr="0091177C">
        <w:t>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97,08 %, το οποίο συνιστά αύξηση κατά 0,77 % σε σύγκριση με το 2021· σημειώνει, επιπλέον, ότι το ποσοστό εκτέλεσης των πιστώσεων πληρωμών του τρέχοντος έτους ήταν 87,18 %, το οποίο καταδεικνύει ελαφρά μείωση κατά 0,16 % σε σύγκριση με το 2021·</w:t>
      </w:r>
    </w:p>
    <w:p w:rsidR="00DF6AA3" w:rsidRPr="00496990" w:rsidRDefault="00496990" w:rsidP="00496990">
      <w:pPr>
        <w:spacing w:after="240"/>
        <w:ind w:left="567" w:hanging="573"/>
        <w:rPr>
          <w:szCs w:val="24"/>
        </w:rPr>
      </w:pPr>
      <w:r w:rsidRPr="00EF76B8">
        <w:rPr>
          <w:szCs w:val="24"/>
        </w:rPr>
        <w:t>2.</w:t>
      </w:r>
      <w:r w:rsidRPr="00EF76B8">
        <w:rPr>
          <w:szCs w:val="24"/>
        </w:rPr>
        <w:tab/>
      </w:r>
      <w:r w:rsidR="00DF6AA3" w:rsidRPr="00496990">
        <w:rPr>
          <w:shd w:val="clear" w:color="auto" w:fill="FFFFFF"/>
        </w:rPr>
        <w:t>σημειώνει ότι ο Οργανισμός ολοκλήρωσε τη χρονιά με αρνητικό δημοσιονομικό αποτέλεσμα όσον αφορά τα τέλη και τις επιβαρύνσεις, ύψους 8,2 εκατομμυρίων EUR (έναντι 11,2 εκατομμυρίων EUR το 2021)· παρατηρεί συνεπώς ότι το συσσωρευμένο πλεόνασμα «τέλη και επιβαρύνσεις» του Οργανισμού μειώθηκε από 72,1 εκατομμύρια EUR σε 63,9 εκατομμύρια EUR·</w:t>
      </w:r>
      <w:r w:rsidR="00DF6AA3" w:rsidRPr="0091177C">
        <w:t xml:space="preserve"> σημειώνει ότι το ποσοστό των ακυρωθεισών πιστώσεων που αφορούν αναλήψεις υποχρεώσεων που μεταφέρθηκαν στο 2022 ανήλθε σε 2,82 %, κάτω από το ανώτατο όριο του 5</w:t>
      </w:r>
      <w:r w:rsidR="00DF6AA3" w:rsidRPr="00496990">
        <w:rPr>
          <w:shd w:val="clear" w:color="auto" w:fill="FFFFFF"/>
        </w:rPr>
        <w:t> </w:t>
      </w:r>
      <w:r w:rsidR="00DF6AA3" w:rsidRPr="0091177C">
        <w:t>% που έθεσε η Επιτροπή·</w:t>
      </w:r>
    </w:p>
    <w:p w:rsidR="00DF6AA3" w:rsidRPr="0091177C" w:rsidRDefault="00496990" w:rsidP="00496990">
      <w:pPr>
        <w:pStyle w:val="NormalHanging12a"/>
        <w:ind w:hanging="573"/>
      </w:pPr>
      <w:r w:rsidRPr="0091177C">
        <w:t>3.</w:t>
      </w:r>
      <w:r w:rsidRPr="0091177C">
        <w:tab/>
      </w:r>
      <w:r w:rsidR="00DF6AA3" w:rsidRPr="0091177C">
        <w:t xml:space="preserve">σημειώνει </w:t>
      </w:r>
      <w:r w:rsidR="00A33BB2">
        <w:t xml:space="preserve">ότι, σύμφωνα με </w:t>
      </w:r>
      <w:r w:rsidR="00DF6AA3" w:rsidRPr="0091177C">
        <w:t>την έκθεση του Ελεγκτικού Συνεδρίου, ο Οργανισμός εισπράττει τέλη και επιβαρύνσεις για την παροχή υπηρεσιών πιστοποίησης αλλά δεν τεκμηριώνει τους ελέγχους που διενεργεί προκειμένου να διασφαλίζει ότι τα εν λόγω έσοδα εισπράττονται σωστά και, επομένως, δεν συμμορφώνεται με το άρθρο 74 παράγραφος 5 και το άρθρο 75 του δημοσιονομικού κανονισμού· σημειώνει την απάντηση του Οργανισμού, σύμφωνα με την οποία ο Οργανισμός δεσμεύεται να λάβει τα αναγκαία μέτρα για να διασφαλίσει ότι οι έλεγχοι τεκμηριώνονται κατάλληλα·</w:t>
      </w:r>
    </w:p>
    <w:p w:rsidR="00DF6AA3" w:rsidRPr="0091177C" w:rsidRDefault="00DF6AA3" w:rsidP="00DF6AA3">
      <w:pPr>
        <w:spacing w:after="240"/>
        <w:ind w:left="567" w:hanging="567"/>
        <w:rPr>
          <w:b/>
          <w:i/>
          <w:szCs w:val="24"/>
        </w:rPr>
      </w:pPr>
      <w:r w:rsidRPr="0091177C">
        <w:rPr>
          <w:b/>
          <w:i/>
        </w:rPr>
        <w:t>Επιδόσεις</w:t>
      </w:r>
    </w:p>
    <w:p w:rsidR="00DF6AA3" w:rsidRPr="00496990" w:rsidRDefault="00496990" w:rsidP="00496990">
      <w:pPr>
        <w:spacing w:after="240"/>
        <w:ind w:left="567" w:hanging="573"/>
        <w:rPr>
          <w:szCs w:val="24"/>
        </w:rPr>
      </w:pPr>
      <w:r w:rsidRPr="00EF76B8">
        <w:rPr>
          <w:szCs w:val="24"/>
        </w:rPr>
        <w:t>4.</w:t>
      </w:r>
      <w:r w:rsidRPr="00EF76B8">
        <w:rPr>
          <w:szCs w:val="24"/>
        </w:rPr>
        <w:tab/>
      </w:r>
      <w:r w:rsidR="00DF6AA3" w:rsidRPr="0091177C">
        <w:t>σημειώνει ότι το 2022 ο Οργανισμός χρησιμοποίησε ορισμένα μέτρα για να αξιολογήσει την προστιθέμενη αξία που παρέχουν οι δραστηριότητές του</w:t>
      </w:r>
      <w:r w:rsidR="00DF6AA3" w:rsidRPr="00496990">
        <w:rPr>
          <w:color w:val="666666"/>
          <w:shd w:val="clear" w:color="auto" w:fill="FFFFFF"/>
        </w:rPr>
        <w:t xml:space="preserve"> </w:t>
      </w:r>
      <w:r w:rsidR="00DF6AA3" w:rsidRPr="00496990">
        <w:rPr>
          <w:shd w:val="clear" w:color="auto" w:fill="FFFFFF"/>
        </w:rPr>
        <w:t>και άλλα μέτρα για τη βελτίωση της διαχείρισης του προϋπολογισμού του,</w:t>
      </w:r>
      <w:r w:rsidR="00DF6AA3" w:rsidRPr="0091177C">
        <w:t xml:space="preserve"> μέσω ενός συνδυασμού 128 στόχων και 66 κύριων δεικτών επιδόσεων (ΚΔΕ) σε 11 βασικούς τομείς λειτουργίας· σημειώνει ότι ο Οργανισμός είχε πολύ καλές επιδόσεις, με ποσοστό εκτέλεσης 97 % του ετήσιου προγράμματος εργασιών του για το 2022 και με το 77 % των βασικών δεικτών επιδόσεων να ακολουθεί ικανοποιητική πορεία·</w:t>
      </w:r>
    </w:p>
    <w:p w:rsidR="00DF6AA3" w:rsidRPr="0091177C" w:rsidRDefault="00496990" w:rsidP="00496990">
      <w:pPr>
        <w:pStyle w:val="Default"/>
        <w:spacing w:after="240"/>
        <w:ind w:left="567" w:hanging="573"/>
        <w:rPr>
          <w:rFonts w:ascii="Times New Roman" w:hAnsi="Times New Roman" w:cs="Times New Roman"/>
        </w:rPr>
      </w:pPr>
      <w:r w:rsidRPr="0091177C">
        <w:rPr>
          <w:rFonts w:ascii="Times New Roman" w:hAnsi="Times New Roman" w:cs="Times New Roman"/>
        </w:rPr>
        <w:t>5.</w:t>
      </w:r>
      <w:r w:rsidRPr="0091177C">
        <w:rPr>
          <w:rFonts w:ascii="Times New Roman" w:hAnsi="Times New Roman" w:cs="Times New Roman"/>
        </w:rPr>
        <w:tab/>
      </w:r>
      <w:r w:rsidR="00DF6AA3" w:rsidRPr="0091177C">
        <w:rPr>
          <w:rFonts w:ascii="Times New Roman" w:hAnsi="Times New Roman"/>
        </w:rPr>
        <w:t>αναγνωρίζει τα βασικά επιτεύγματα και την πρόοδο του Οργανισμού το 2022 σε αναδυόμενους τομείς που συνδέονται με πράσινες λύσεις και την ψηφιοποίηση· στο πλαίσιο αυτό, σημειώνει ότι ο Οργανισμός ενέτεινε τις προσπάθειές του για καθαρές αερομεταφορές μέσω του προγράμματος βιώσιμης αεροπορίας του EASA για το 2022 με διάφορες δράσεις, όπως η δημοσίευση της τρίτης έκδοσης της περιβαλλοντικής έκθεσης για την ευρωπαϊκή αεροπορία και η επιτυχής συμβολή στα συμπεράσματα της 41ης συνέλευσης του Διεθνούς Οργανισμού Πολιτικής Αεροπορίας για το περιβάλλον· σημειώνει ότι ο Οργανισμός διενήργησε το 2022 συνολική επανεξέταση των στρατηγικών προτεραιοτήτων όσον αφορά την αντιμετώπιση των κινδύνων για το σύστημα σε σχέση με το ευρωπαϊκό σχέδιο για την ασφάλεια της αεροπορίας· στο πλαίσιο αυτό, σημειώνει ότι η επανεξέταση</w:t>
      </w:r>
      <w:r w:rsidR="00DF6AA3" w:rsidRPr="0091177C">
        <w:t xml:space="preserve"> </w:t>
      </w:r>
      <w:r w:rsidR="00DF6AA3" w:rsidRPr="0091177C">
        <w:rPr>
          <w:rFonts w:ascii="Times New Roman" w:hAnsi="Times New Roman"/>
        </w:rPr>
        <w:t>είχε ως αποτέλεσμα να δοθεί μεγαλύτερη έμφαση στη διαχείριση των αλληλεξαρτήσεων των κινδύνων, καθώς και στις ικανότητες του προσωπικού, και συμπεριέλαβε πρόσθετες προτεραιότητες για την ασφαλή ενσωμάτωση των αναδυόμενων τεχνολογιών και των νέων επιχειρηματικών εννοιών· σημειώνει ότι οι νέες αυτές στρατηγικές προτεραιότητες περιλαμβάνονται στην έκδοση του ευρωπαϊκού σχεδίου για την ασφάλεια της αεροπορίας για την περίοδο 2023-2025, η οποία εγκρίθηκε το 2022·</w:t>
      </w:r>
    </w:p>
    <w:p w:rsidR="00DF6AA3" w:rsidRPr="00496990" w:rsidRDefault="00496990" w:rsidP="00496990">
      <w:pPr>
        <w:autoSpaceDE w:val="0"/>
        <w:autoSpaceDN w:val="0"/>
        <w:adjustRightInd w:val="0"/>
        <w:spacing w:after="240"/>
        <w:ind w:left="567" w:hanging="573"/>
        <w:rPr>
          <w:szCs w:val="24"/>
        </w:rPr>
      </w:pPr>
      <w:r w:rsidRPr="00EF76B8">
        <w:rPr>
          <w:szCs w:val="24"/>
        </w:rPr>
        <w:t>6.</w:t>
      </w:r>
      <w:r w:rsidRPr="00EF76B8">
        <w:rPr>
          <w:szCs w:val="24"/>
        </w:rPr>
        <w:tab/>
      </w:r>
      <w:r w:rsidR="00DF6AA3" w:rsidRPr="0091177C">
        <w:t>σημειώνει τις δράσεις του Οργανισμού το 2022 για την εφαρμογή του χάρτη πορείας για την αστική εναέρια κινητικότητα με τη δημοσίευση των κατευθυντήριων γραμμών για τον σχεδιασμό των κάθετων αερολιμένων, το προτεινόμενο νέο κανονιστικό πλαίσιο για τη λειτουργία των αεροταξί στις πόλεις, τις κατευθυντήριες γραμμές για τον καθορισμό των επιπέδων θορύβου των μη επανδρωμένων αεροσκαφών κάτω των 600 </w:t>
      </w:r>
      <w:proofErr w:type="spellStart"/>
      <w:r w:rsidR="00DF6AA3" w:rsidRPr="0091177C">
        <w:t>kg</w:t>
      </w:r>
      <w:proofErr w:type="spellEnd"/>
      <w:r w:rsidR="00DF6AA3" w:rsidRPr="0091177C">
        <w:t>, καθώς και τα αποδεκτά μέσα συμμόρφωσης και το καθοδηγητικό υλικό για τη στήριξη της εναρμονισμένης, ασφαλούς και αποτελεσματικής εφαρμογής του U-</w:t>
      </w:r>
      <w:proofErr w:type="spellStart"/>
      <w:r w:rsidR="00DF6AA3" w:rsidRPr="0091177C">
        <w:t>space</w:t>
      </w:r>
      <w:proofErr w:type="spellEnd"/>
      <w:r w:rsidR="00DF6AA3" w:rsidRPr="0091177C">
        <w:t xml:space="preserve"> σε ολόκληρη την Ένωση·</w:t>
      </w:r>
    </w:p>
    <w:p w:rsidR="00DF6AA3" w:rsidRPr="0091177C" w:rsidRDefault="00496990" w:rsidP="00496990">
      <w:pPr>
        <w:pStyle w:val="NormalHanging12a"/>
        <w:ind w:hanging="573"/>
      </w:pPr>
      <w:r w:rsidRPr="0091177C">
        <w:t>7.</w:t>
      </w:r>
      <w:r w:rsidRPr="0091177C">
        <w:tab/>
      </w:r>
      <w:r w:rsidR="00DF6AA3" w:rsidRPr="0091177C">
        <w:t>χαιρετίζει τον ψηφιακό μετασχηματισμό του ευρωπαϊκού ουρανού, ο οποίος συμπεριλαμβάνει την ενίσχυση των επιλογών κινητικότητας και τον εξορθολογισμό των προσόντων των ελεγκτών εναέριας κυκλοφορίας, την αδειοδότηση και την εκπαίδευσή τους, καθώς και τα επίγεια συστήματα ATM· ζητεί την τροποποίηση των φρασεολογιών SERA RT για την επικοινωνία μεταξύ χειριστών και ελεγκτών εναέριας κυκλοφορίας· τονίζει ότι ο ψηφιακός μετασχηματισμός του ευρωπαϊκού ουρανού περιλαμβάνει διάφορα επιμέρους στοιχεία και δομικά στοιχεία που αποτελούν κρίσιμες λύσεις για τη μελλοντική αρχιτεκτονική του εναέριου χώρου και αποσκοπούν στη στήριξη της ασφάλειας, της αποδοτικότητας και των περιβαλλοντικών επιδόσεων·</w:t>
      </w:r>
    </w:p>
    <w:p w:rsidR="00DF6AA3" w:rsidRPr="0091177C" w:rsidRDefault="00496990" w:rsidP="00496990">
      <w:pPr>
        <w:pStyle w:val="NormalHanging12a"/>
        <w:ind w:hanging="573"/>
      </w:pPr>
      <w:r w:rsidRPr="0091177C">
        <w:t>8.</w:t>
      </w:r>
      <w:r w:rsidRPr="0091177C">
        <w:tab/>
      </w:r>
      <w:r w:rsidR="00DF6AA3" w:rsidRPr="0091177C">
        <w:t>τονίζει τη σημασία του Ενιαίου Ευρωπαϊκού Ουρανού για την αντιμετώπιση του κατακερματισμού του ευρωπαϊκού εναέριου χώρου και για τη βελτίωση των επιδόσεων της ATM από την άποψη της ασφάλειας, της χωρητικότητας, της οικονομικής αποδοτικότητας και του περιβάλλοντος· επικροτεί το έργο του Οργανισμού στο πλαίσιο της μεταρρύθμισης του Ενιαίου Ευρωπαϊκού Ουρανού 2+ το 2022, ιδίως όσον αφορά την εναρμόνιση των ελεγκτών εναέριας κυκλοφορίας μέσω της αδειοδότησης και της πιστοποίησης των επίγειων συστημάτων ATM/ANS από τον Οργανισμό· επιδοκιμάζει το γεγονός ότι και οι δύο μεταρρυθμίσεις μειώνουν το κόστος και αυξάνουν την ικανότητα διαχείρισης της εναέριας κυκλοφορίας, και παρέχουν σημαντική προστιθέμενη αξία για τη δέσμη πρωτοβουλιών του Ενιαίου Ευρωπαϊκού Ουρανού 2+·</w:t>
      </w:r>
    </w:p>
    <w:p w:rsidR="00DF6AA3" w:rsidRPr="0091177C" w:rsidRDefault="00496990" w:rsidP="00496990">
      <w:pPr>
        <w:pStyle w:val="NormalHanging12a"/>
        <w:ind w:hanging="573"/>
      </w:pPr>
      <w:r w:rsidRPr="0091177C">
        <w:t>9.</w:t>
      </w:r>
      <w:r w:rsidRPr="0091177C">
        <w:tab/>
      </w:r>
      <w:r w:rsidR="00DF6AA3" w:rsidRPr="0091177C">
        <w:t xml:space="preserve">κατανοεί τις ανησυχίες σχετικά με τους ρωσικούς επιβατηγούς στόλους· ειδικότερα, επικροτεί τη συμμετοχή του Οργανισμού στην </w:t>
      </w:r>
      <w:proofErr w:type="spellStart"/>
      <w:r w:rsidR="00DF6AA3" w:rsidRPr="0091177C">
        <w:t>πολιτικοστρατιωτική</w:t>
      </w:r>
      <w:proofErr w:type="spellEnd"/>
      <w:r w:rsidR="00DF6AA3" w:rsidRPr="0091177C">
        <w:t xml:space="preserve"> ομάδα για την ασφάλεια του εναέριου χώρου στην Ουκρανία, ιδίως σε σχέση με την αυξανόμενη ζήτηση για εναέριο χώρο προκειμένου να διευκολυνθούν οι στρατιωτικές ασκήσεις του κράτους και του ΝΑΤΟ· αναγνωρίζει την επιτυχή εφαρμογή του προγράμματος εργασίας με τον Ευρωπαϊκό Οργανισμό Άμυνας (ΕΟΑ), το οποίο ενίσχυσε σημαντικά τη συνεργασία στον αναδυόμενο τομέα της καινοτομίας· εκφράζει την ικανοποίησή του για το γεγονός ότι ο Οργανισμός υποστήριξε πρωτοβουλίες της Ευρωπαϊκής Επιτροπής στο πλαίσιο του προγράμματος </w:t>
      </w:r>
      <w:proofErr w:type="spellStart"/>
      <w:r w:rsidR="00DF6AA3" w:rsidRPr="0091177C">
        <w:t>RescEU</w:t>
      </w:r>
      <w:proofErr w:type="spellEnd"/>
      <w:r w:rsidR="00DF6AA3" w:rsidRPr="0091177C">
        <w:t xml:space="preserve"> (σύμβαση πυροσβεστών και αεροναυτική MEDEVAC/μεταφορική ικανότητα)·</w:t>
      </w:r>
    </w:p>
    <w:p w:rsidR="00DF6AA3" w:rsidRPr="0091177C" w:rsidRDefault="00496990" w:rsidP="00496990">
      <w:pPr>
        <w:spacing w:after="240"/>
        <w:ind w:left="567" w:hanging="573"/>
      </w:pPr>
      <w:r w:rsidRPr="0091177C">
        <w:t>10.</w:t>
      </w:r>
      <w:r w:rsidRPr="0091177C">
        <w:tab/>
      </w:r>
      <w:r w:rsidR="00DF6AA3" w:rsidRPr="0091177C">
        <w:t xml:space="preserve">σημειώνει τις ενέργειες στις οποίες προέβη ο Οργανισμός ως απάντηση στον επιθετικό πόλεμο της Ρωσίας κατά της Ουκρανίας, όπως η δημοσίευση ενημερωτικού δελτίου για τις ζώνες συγκρούσεων, με το οποίο συνιστάται στους φορείς εκμετάλλευσης να μην ίπτανται πάνω από τις περιοχές με έντονη ή αυξημένη στρατιωτική δραστηριότητα, καθώς και η δημοσίευση του ενημερωτικού δελτίου για την ασφάλεια σχετικά με τις συνεχείς διακοπές στο Παγκόσμιο Δορυφορικό Σύστημα Πλοήγησης κοντά σε ουκρανικές περιοχές συγκρούσεων· στο πλαίσιο αυτό, επικροτεί το γεγονός ότι η ευρωπαϊκή πλατφόρμα ανταλλαγής πληροφοριών και συνεργασίας για τις ζώνες συγκρούσεων τέθηκε σε λειτουργία, μετά τη δοκιμαστική φάση της εν λόγω πρωτοβουλίας, με στόχο την ανταλλαγή πληροφοριών σχετικά με απειλές που προκύπτουν για την πολιτική αεροπορία από ζώνες συγκρούσεων ή ένοπλης εξέγερσης· επισημαίνει επίσης ότι η παράνομη εισβολή στην Ουκρανία έχει οδηγήσει σε νέα ζητήματα ασφάλειας και έχει οξύνει τα </w:t>
      </w:r>
      <w:proofErr w:type="spellStart"/>
      <w:r w:rsidR="00DF6AA3" w:rsidRPr="0091177C">
        <w:t>προϋπάρχοντα</w:t>
      </w:r>
      <w:proofErr w:type="spellEnd"/>
      <w:r w:rsidR="00DF6AA3" w:rsidRPr="0091177C">
        <w:t xml:space="preserve"> ζητήματα· επαναλαμβάνει το αίτημά του για σύσφιξη των σχέσεων με τις Ευρωπαϊκές Κρατικές και Στρατιωτικές Αρχές Πολιτικής Αεροπορίας, τον ΕΟΑ, τον Κοινό Οργανισμό Συνεργασίας στον τομέα των Εξοπλισμών (OCCAR) και το ΝΑΤΟ, ανάλογα με την περίπτωση, για την εκτέλεση των καθηκόντων του Οργανισμού, σύμφωνα με τον κανονισμό (ΕΕ) 2018/1139, για τη βελτίωση της ασφάλειας και της προστασίας των πτήσεων στην Ευρώπη·</w:t>
      </w:r>
    </w:p>
    <w:p w:rsidR="00DF6AA3" w:rsidRPr="0091177C" w:rsidRDefault="00496990" w:rsidP="00496990">
      <w:pPr>
        <w:spacing w:after="240"/>
        <w:ind w:left="567" w:hanging="573"/>
      </w:pPr>
      <w:r w:rsidRPr="0091177C">
        <w:t>11.</w:t>
      </w:r>
      <w:r w:rsidRPr="0091177C">
        <w:tab/>
      </w:r>
      <w:r w:rsidR="00DF6AA3" w:rsidRPr="0091177C">
        <w:t xml:space="preserve">αναγνωρίζει ότι ο Οργανισμός συμμορφώθηκε με τις κυρώσεις και τις πολιτικές που καθόρισε η Επιτροπή μετά την παράνομη ρωσική εισβολή στην Ουκρανία το 2022, και ότι όλες οι δραστηριότητες συνεργασίας με τη Ρωσία ανεστάλησαν, ενώ ο Οργανισμός εστίασε την προσοχή του στις δραστηριότητες που στηρίζουν την Ουκρανία· στο πλαίσιο αυτό, χαιρετίζει το γεγονός ότι η ομάδα του Οργανισμού για τον συντονισμό των διαδρόμων υποστήριξε την Επιτροπή κατά την κατάρτιση καταλόγου που περιλαμβάνει τις νηολογήσεις αεροσκαφών που χρησιμοποιούνται ή ελέγχονται από Ρώσους υπηκόους, ενώ ο κατάλογος </w:t>
      </w:r>
      <w:proofErr w:type="spellStart"/>
      <w:r w:rsidR="00DF6AA3" w:rsidRPr="0091177C">
        <w:t>επικαιροποιήθηκε</w:t>
      </w:r>
      <w:proofErr w:type="spellEnd"/>
      <w:r w:rsidR="00DF6AA3" w:rsidRPr="0091177C">
        <w:t xml:space="preserve"> 38 φορές το 2022 και κάλυψε περισσότερα από χίλια αεροσκάφη·</w:t>
      </w:r>
    </w:p>
    <w:p w:rsidR="00DF6AA3" w:rsidRPr="0091177C" w:rsidRDefault="00DF6AA3" w:rsidP="00DF6AA3">
      <w:pPr>
        <w:spacing w:after="240"/>
        <w:ind w:left="567" w:hanging="567"/>
        <w:rPr>
          <w:b/>
          <w:i/>
          <w:szCs w:val="24"/>
        </w:rPr>
      </w:pPr>
      <w:r w:rsidRPr="0091177C">
        <w:rPr>
          <w:b/>
          <w:i/>
        </w:rPr>
        <w:t>Αποδοτικότητα και οφέλη</w:t>
      </w:r>
    </w:p>
    <w:p w:rsidR="00DF6AA3" w:rsidRPr="00496990" w:rsidRDefault="00496990" w:rsidP="00496990">
      <w:pPr>
        <w:autoSpaceDE w:val="0"/>
        <w:autoSpaceDN w:val="0"/>
        <w:adjustRightInd w:val="0"/>
        <w:spacing w:after="240"/>
        <w:ind w:left="567" w:hanging="573"/>
        <w:rPr>
          <w:szCs w:val="24"/>
        </w:rPr>
      </w:pPr>
      <w:r w:rsidRPr="00EF76B8">
        <w:rPr>
          <w:szCs w:val="24"/>
        </w:rPr>
        <w:t>12.</w:t>
      </w:r>
      <w:r w:rsidRPr="00EF76B8">
        <w:rPr>
          <w:szCs w:val="24"/>
        </w:rPr>
        <w:tab/>
      </w:r>
      <w:r w:rsidR="00DF6AA3" w:rsidRPr="0091177C">
        <w:t xml:space="preserve">συγχαίρει τον Οργανισμό για την κοινή χρήση πόρων με άλλους οργανισμούς σχετικά με αλληλεπικαλυπτόμενα καθήκοντα και αρμοδιότητες, μεταξύ άλλων στους τομείς των συμβουλευτικών υπηρεσιών ανθρώπινων πόρων, της ψηφιοποίησης και των εργαλείων, της ηλεκτρονικής μάθησης και των ερευνών, καθώς και για τη συμμετοχή σε διοργανικές και </w:t>
      </w:r>
      <w:proofErr w:type="spellStart"/>
      <w:r w:rsidR="00DF6AA3" w:rsidRPr="0091177C">
        <w:t>διυπηρεσιακές</w:t>
      </w:r>
      <w:proofErr w:type="spellEnd"/>
      <w:r w:rsidR="00DF6AA3" w:rsidRPr="0091177C">
        <w:t xml:space="preserve"> προσκλήσεις υποβολής προσφορών· σημειώνει ότι ο Οργανισμός συνεργάζεται στενά με τον Ευρωπαϊκό Οργανισμό Περιβάλλοντος για την εκπόνηση εκθέσεων, όπως η περιβαλλοντική έκθεση για την ευρωπαϊκή αεροπορία, με τον Ευρωπαϊκό Οργανισμό για την Ασφάλεια της Αεροναυτιλίας για την προσφορά αμοιβαίων ευκαιριών για μαθησιακές λύσεις που σχετίζονται με την αεροπορία και με τον Οργανισμό Σιδηροδρόμων της Ευρωπαϊκής Ένωσης μέσω μνημονίου συνεργασίας που υπεγράφη το 2022 και καθιερώνει τακτικό διαρθρωμένο διάλογο και ενισχύει την ανταλλαγή πληροφοριών, γνώσεων και πείρας σε διάφορους τομείς συνεργασίας· εκφράζει την ικανοποίησή του για το γεγονός ότι ο Οργανισμός έχει στρατηγικές εταιρικές σχέσεις για την ανταλλαγή πόρων και πληροφοριών με σχεδόν όλες τις αρμόδιες εθνικές αρχές πολιτικής αεροπορίας στα κράτη μέλη του·</w:t>
      </w:r>
    </w:p>
    <w:p w:rsidR="00DF6AA3" w:rsidRPr="0091177C" w:rsidRDefault="00496990" w:rsidP="00496990">
      <w:pPr>
        <w:pStyle w:val="NormalHanging12a"/>
        <w:ind w:hanging="573"/>
      </w:pPr>
      <w:r w:rsidRPr="0091177C">
        <w:t>13.</w:t>
      </w:r>
      <w:r w:rsidRPr="0091177C">
        <w:tab/>
      </w:r>
      <w:r w:rsidR="00DF6AA3" w:rsidRPr="0091177C">
        <w:t>εκφράζει την ικανοποίησή του για το γεγονός ότι ο Οργανισμός έχει συνάψει σειρά εταιρικών σχέσεων με άλλα όργανα της Ένωσης για τη βελτίωση της αποδοτικότητας και της συνοχής, συμπεριλαμβανομένων του Ευρωπαϊκού Οργανισμού Περιβάλλοντος, του Ευρωπαϊκού Κέντρου Πρόληψης και Ελέγχου Νόσων, της κοινής επιχείρησης «Καθαρές αερομεταφορές» και της κοινής επιχείρησης SESAR3· επικροτεί τη συνεργασία για μαθησιακές λύσεις με διάφορους οργανισμούς σε θέματα κοινού ενδιαφέροντος στους τομείς των συμβουλευτικών υπηρεσιών ανθρώπινου δυναμικού, της ψηφιοποίησης και των εργαλείων, της ηλεκτρονικής μάθησης και των ερευνών, συμπεριλαμβανομένων του Ευρωπαϊκού Οργανισμού Φαρμάκων, της Ευρωπαϊκής Αρχής Κινητών Αξιών και Αγορών, της Ευρωπαϊκής Αρχής για την Ασφάλεια των Τροφίμων και της Ευρωπαϊκής Εισαγγελίας·</w:t>
      </w:r>
    </w:p>
    <w:p w:rsidR="00DF6AA3" w:rsidRPr="00496990" w:rsidRDefault="00496990" w:rsidP="00496990">
      <w:pPr>
        <w:autoSpaceDE w:val="0"/>
        <w:autoSpaceDN w:val="0"/>
        <w:adjustRightInd w:val="0"/>
        <w:spacing w:after="240"/>
        <w:ind w:left="567" w:hanging="573"/>
        <w:rPr>
          <w:szCs w:val="24"/>
        </w:rPr>
      </w:pPr>
      <w:r w:rsidRPr="00EF76B8">
        <w:rPr>
          <w:szCs w:val="24"/>
        </w:rPr>
        <w:t>14.</w:t>
      </w:r>
      <w:r w:rsidRPr="00EF76B8">
        <w:rPr>
          <w:szCs w:val="24"/>
        </w:rPr>
        <w:tab/>
      </w:r>
      <w:r w:rsidR="00DF6AA3" w:rsidRPr="0091177C">
        <w:t>υπενθυμίζει ότι το 2020 τέθηκε σε εφαρμογή το πρόγραμμα εταιρικού μετασχηματισμού «</w:t>
      </w:r>
      <w:proofErr w:type="spellStart"/>
      <w:r w:rsidR="00DF6AA3" w:rsidRPr="0091177C">
        <w:t>Destination</w:t>
      </w:r>
      <w:proofErr w:type="spellEnd"/>
      <w:r w:rsidR="00DF6AA3" w:rsidRPr="0091177C">
        <w:t xml:space="preserve">: </w:t>
      </w:r>
      <w:proofErr w:type="spellStart"/>
      <w:r w:rsidR="00DF6AA3" w:rsidRPr="0091177C">
        <w:t>Future-proof</w:t>
      </w:r>
      <w:proofErr w:type="spellEnd"/>
      <w:r w:rsidR="00DF6AA3" w:rsidRPr="0091177C">
        <w:t>» (Προορισμός η θωράκιση για το μέλλον), με στόχο να μειωθεί το κόστος, να βελτιωθεί η αποτελεσματικότητα και να αντιμετωπιστούν οι βασικοί μοχλοί του Οργανισμού· σημειώνει ότι το εν λόγω πρόγραμμα, το οποίο ολοκληρώθηκε επίσημα το 2022, έχει επιφέρει βασικές αλλαγές που περιλαμβάνουν, μεταξύ άλλων, απλουστευμένη διαδικασία θέσπισης κανόνων, υπηρεσίες που προηγούνται της αίτησης για καινοτόμες τεχνολογίες και βελτιωμένη διαδικασία εταιρικού προγραμματισμού, καθώς και αύξηση της παραγωγικότητας κατά 12 % (συγκρίνοντας τις εκροές του 2022 με της εκροές του 2019), που ισοδυναμεί με μείωση των γενικών εξόδων του Οργανισμού κατά 36 ισοδύναμα πλήρους απασχόλησης· χαιρετίζει το γεγονός ότι έχει καθοριστεί η προσέγγιση του προγράμματος ως προς την επίτευξη αποδοτικότητας και έχει καθιερωθεί η υποδομή για την ανάληψη νέων πρωτοβουλιών, ώστε ο Οργανισμός να μπορεί να συνεχίσει τη βελτίωση των διαδικασιών του και την ψηφιοποίηση·</w:t>
      </w:r>
    </w:p>
    <w:p w:rsidR="00DF6AA3" w:rsidRPr="00496990" w:rsidRDefault="00496990" w:rsidP="00496990">
      <w:pPr>
        <w:autoSpaceDE w:val="0"/>
        <w:autoSpaceDN w:val="0"/>
        <w:adjustRightInd w:val="0"/>
        <w:spacing w:after="240"/>
        <w:ind w:left="567" w:hanging="573"/>
        <w:rPr>
          <w:szCs w:val="24"/>
        </w:rPr>
      </w:pPr>
      <w:r w:rsidRPr="00EF76B8">
        <w:rPr>
          <w:szCs w:val="24"/>
        </w:rPr>
        <w:t>15.</w:t>
      </w:r>
      <w:r w:rsidRPr="00EF76B8">
        <w:rPr>
          <w:szCs w:val="24"/>
        </w:rPr>
        <w:tab/>
      </w:r>
      <w:r w:rsidR="00DF6AA3" w:rsidRPr="0091177C">
        <w:t>χαιρετίζει τα μέτρα που έλαβε ο Οργανισμός για την παρακολούθηση και τη διαχείριση του περιβαλλοντικού αποτυπώματός του σε τομείς που σχετίζονται, μεταξύ άλλων, με τις κτιριακές του εγκαταστάσεις, τις υπηρεσίες κοινής ωφελείας και τον εφοδιασμό του· στο πλαίσιο αυτό, σημειώνει ότι ο Οργανισμός έχει βελτιστοποιήσει τη χρήση ενέργειας και την κατανάλωση νερού στις εγκαταστάσεις του, αγοράζει ηλεκτρική ενέργεια από 100 % ανανεώσιμες πηγές, διαθέτει κεντρικά σημεία συλλογής αποβλήτων στους χώρους των ομάδων του και εφαρμόζει μέτρα για τη μείωση της γραφικής ύλης και των ειδών γραφείου·</w:t>
      </w:r>
    </w:p>
    <w:p w:rsidR="00DF6AA3" w:rsidRPr="00496990" w:rsidRDefault="00496990" w:rsidP="00496990">
      <w:pPr>
        <w:spacing w:after="240"/>
        <w:ind w:left="567" w:hanging="573"/>
        <w:rPr>
          <w:szCs w:val="24"/>
        </w:rPr>
      </w:pPr>
      <w:r w:rsidRPr="00EF76B8">
        <w:rPr>
          <w:szCs w:val="24"/>
        </w:rPr>
        <w:t>16.</w:t>
      </w:r>
      <w:r w:rsidRPr="00EF76B8">
        <w:rPr>
          <w:szCs w:val="24"/>
        </w:rPr>
        <w:tab/>
      </w:r>
      <w:r w:rsidR="00DF6AA3" w:rsidRPr="0091177C">
        <w:t>σημειώνει ότι ο Οργανισμός εξακολουθεί να εφαρμόζει τα σχετικά κριτήρια και τις απαιτήσεις για τις οικολογικές δημόσιες συμβάσεις χρησιμοποιώντας τα διαθέσιμα εργαλεία για τις προσκλήσεις υποβολής προσφορών του· σημειώνει επίσης ότι το 2022 προσλήφθηκε ένα μέλος του προσωπικού για την εξασφάλιση πόρων, ώστε να αρχίσει εκ νέου η ανάλυση των μέσων συνεχούς βελτίωσης των περιβαλλοντικών επιδόσεων των οργανισμών, με κύρια έμφαση στο EMAS και το πρότυπο ISO 14001· καλεί τον Οργανισμό να γνωστοποιήσει στην αρμόδια για την απαλλαγή αρχή τα αποτελέσματα αυτής της ανάλυσης·</w:t>
      </w:r>
    </w:p>
    <w:p w:rsidR="00DF6AA3" w:rsidRPr="0091177C" w:rsidRDefault="00DF6AA3" w:rsidP="00DF6AA3">
      <w:pPr>
        <w:spacing w:after="240"/>
        <w:ind w:left="567" w:hanging="567"/>
        <w:rPr>
          <w:b/>
          <w:i/>
          <w:szCs w:val="24"/>
        </w:rPr>
      </w:pPr>
      <w:r w:rsidRPr="0091177C">
        <w:rPr>
          <w:b/>
          <w:i/>
        </w:rPr>
        <w:t>Πολιτική προσωπικού</w:t>
      </w:r>
    </w:p>
    <w:p w:rsidR="00DF6AA3" w:rsidRPr="00496990" w:rsidRDefault="00496990" w:rsidP="00496990">
      <w:pPr>
        <w:spacing w:after="240"/>
        <w:ind w:left="567" w:hanging="573"/>
        <w:rPr>
          <w:szCs w:val="24"/>
        </w:rPr>
      </w:pPr>
      <w:r w:rsidRPr="00EF76B8">
        <w:rPr>
          <w:szCs w:val="24"/>
        </w:rPr>
        <w:t>17.</w:t>
      </w:r>
      <w:r w:rsidRPr="00EF76B8">
        <w:rPr>
          <w:szCs w:val="24"/>
        </w:rPr>
        <w:tab/>
      </w:r>
      <w:r w:rsidR="00DF6AA3" w:rsidRPr="0091177C">
        <w:t>σημειώνει ότι στις 31 Δεκεμβρίου 2022 το ποσοστό εκτέλεσης του πίνακα προσωπικού ανερχόταν στο 95,59 %, και ότι από τις 681 θέσεις εκτάκτων υπαλλήλων που εγκρίθηκαν στο πλαίσιο του προϋπολογισμού της Ένωσης (έναντι 680 θέσεων που είχαν εγκριθεί το 2021), οι 651 καλύπτονταν με έκτακτους υπαλλήλους· σημειώνει ότι, επιπλέον, το 2022 εργάστηκαν για τον Οργανισμό 95 συμβασιούχοι υπάλληλοι και 23 αποσπασμένοι εθνικοί εμπειρογνώμονες·</w:t>
      </w:r>
    </w:p>
    <w:p w:rsidR="00DF6AA3" w:rsidRPr="00496990" w:rsidRDefault="00496990" w:rsidP="00496990">
      <w:pPr>
        <w:spacing w:after="240"/>
        <w:ind w:left="567" w:hanging="573"/>
        <w:rPr>
          <w:szCs w:val="24"/>
        </w:rPr>
      </w:pPr>
      <w:r w:rsidRPr="00EF76B8">
        <w:rPr>
          <w:szCs w:val="24"/>
        </w:rPr>
        <w:t>18.</w:t>
      </w:r>
      <w:r w:rsidRPr="00EF76B8">
        <w:rPr>
          <w:szCs w:val="24"/>
        </w:rPr>
        <w:tab/>
      </w:r>
      <w:r w:rsidR="00DF6AA3" w:rsidRPr="0091177C">
        <w:t>σημειώνει ότι ο Οργανισμός πραγματοποίησε σημαντικές επενδύσεις για την ενίσχυση των τεχνικών ικανοτήτων κατά τη διάρκεια του 2022 και για την παροχή ευκαιριών επαγγελματικής εξέλιξης μέσω μιας ανανεωμένης πολιτικής ικανοτήτων· στο πλαίσιο αυτό, σημειώνει ότι το 2022 ο Οργανισμός προσέλαβε επιτυχώς πάνω από 60 νεοεισερχόμενους υπαλλήλους, δρομολόγησε την τρίτη γενιά του προγράμματος πρόσληψης νέων ταλέντων, προσέφερε ευκαιρίες εσωτερικής επαγγελματικής εξέλιξης σε περισσότερους από 70 υπαλλήλους και πρόσφερε το 98 % των προγραμματισμένων τεχνικών προγραμμάτων κατάρτισης στο προσωπικό· επαινεί το πολύ χαμηλό ποσοστό εναλλαγής προσωπικού του Οργανισμού (0,1 %) το 2022·</w:t>
      </w:r>
    </w:p>
    <w:p w:rsidR="00DF6AA3" w:rsidRPr="0091177C" w:rsidRDefault="00496990" w:rsidP="00496990">
      <w:pPr>
        <w:pStyle w:val="NormalHanging12a"/>
        <w:ind w:hanging="573"/>
      </w:pPr>
      <w:r w:rsidRPr="0091177C">
        <w:t>19.</w:t>
      </w:r>
      <w:r w:rsidRPr="0091177C">
        <w:tab/>
      </w:r>
      <w:r w:rsidR="00DF6AA3" w:rsidRPr="0091177C">
        <w:t>παρατηρεί με ανησυχία τη μη ισόρροπη εκπροσώπηση των φύλων μεταξύ των ανώτερων και των μεσαίων διοικητικών στελεχών του Οργανισμού, με 17 από τις 22 θέσεις (77 %) να καταλαμβάνονται από άνδρες και με 59 από τα 79 μέλη (75 %) στο διοικητικό συμβούλιο του Οργανισμού να είναι άνδρες· σημειώνει επιπλέον την ισόρροπη εκπροσώπηση των φύλων στο συνολικό προσωπικό του Οργανισμού, όπου 525 από τα 757 μέλη του προσωπικού (69 %) είναι άνδρες· σημειώνει ότι ο Οργανισμός παρακολουθεί συστηματικά την κατανομή των φύλων μεταξύ των αιτούντων και προσεγγίζει ενεργά τις υποψήφιες, δημοσιεύοντας τις θέσεις εργασίας στα κατάλληλα φόρουμ, ενθαρρύνοντας ρητά την υποβολή αιτήσεων από υποψήφιες και συντάσσοντας τις περιγραφές των θέσεων εργασίας έτσι ώστε να περιλαμβάνουν ακριβείς πληροφορίες, καθώς αυτό μπορεί να επηρεάσει την ισορροπία μεταξύ επαγγελματικής και προσωπικής ζωής· καλεί τον Οργανισμό να συνεχίσει τις προσπάθειές του για την ισόρροπη εκπροσώπηση των φύλων σε επίπεδο διοίκησης και συνολικού προσωπικού μέσω συγκεκριμένων δράσεων που προσελκύουν υποψηφιότητες από γυναίκες για θέσεις που προσφέρει ο Οργανισμός· ζητεί από την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Οργανισμού·</w:t>
      </w:r>
    </w:p>
    <w:p w:rsidR="00DF6AA3" w:rsidRPr="0091177C" w:rsidRDefault="00496990" w:rsidP="00496990">
      <w:pPr>
        <w:pStyle w:val="NormalHanging12a"/>
        <w:ind w:hanging="573"/>
      </w:pPr>
      <w:r w:rsidRPr="0091177C">
        <w:t>20.</w:t>
      </w:r>
      <w:r w:rsidRPr="0091177C">
        <w:tab/>
      </w:r>
      <w:r w:rsidR="00DF6AA3" w:rsidRPr="0091177C">
        <w:t>εκφράζει την ικανοποίησή του για το γεγονός ότι ο Οργανισμός συνέχισε να εστιάζει στην ισόρροπη εκπροσώπηση των φύλων, τη γεωγραφική ισορροπία και την πολυμορφία· υπενθυμίζει ότι είναι σημαντικό να αναπτυχθεί μακροπρόθεσμη πολιτική ανθρώπινων πόρων για θέματα ισορροπίας μεταξύ επαγγελματικής και ιδιωτικής ζωής και για την παροχή συγκεκριμένων δυνατοτήτων κατάρτισης που αφορούν την εξέλιξη της σταδιοδρομίας, την τηλεργασία, το δικαίωμα στην αποσύνδεση, για την ενίσχυση της γεωγραφικής ισορροπίας ώστε να υπάρχει κατάλληλη εκπροσώπηση από όλα τα κράτη μέλη, και για την πρόσληψη και ενσωμάτωση ατόμων με αναπηρία, καθώς και την προώθηση της ίσης μεταχείρισής τους και των ευκαιριών τους·</w:t>
      </w:r>
    </w:p>
    <w:p w:rsidR="00DF6AA3" w:rsidRPr="00496990" w:rsidRDefault="00496990" w:rsidP="00496990">
      <w:pPr>
        <w:spacing w:after="240"/>
        <w:ind w:left="567" w:hanging="573"/>
        <w:rPr>
          <w:szCs w:val="24"/>
        </w:rPr>
      </w:pPr>
      <w:r w:rsidRPr="00EF76B8">
        <w:rPr>
          <w:szCs w:val="24"/>
        </w:rPr>
        <w:t>21.</w:t>
      </w:r>
      <w:r w:rsidRPr="00EF76B8">
        <w:rPr>
          <w:szCs w:val="24"/>
        </w:rPr>
        <w:tab/>
      </w:r>
      <w:r w:rsidR="00DF6AA3" w:rsidRPr="0091177C">
        <w:t>σημειώνει, σύμφωνα με την έκθεση του Οργανισμού σχετικά με τα επακόλουθα μέτρα που ελήφθησαν υπό το πρίσμα της απαλλαγής όσον αφορά την εκτέλεση του προϋπολογισμού του Οργανισμού για το οικονομικό έτος 2021 (</w:t>
      </w:r>
      <w:r w:rsidR="00DF130C">
        <w:t>«</w:t>
      </w:r>
      <w:r w:rsidR="00DF6AA3" w:rsidRPr="0091177C">
        <w:t>έκθεση του Οργανισμού</w:t>
      </w:r>
      <w:r w:rsidR="00DF130C">
        <w:t>»</w:t>
      </w:r>
      <w:r w:rsidR="00DF6AA3" w:rsidRPr="0091177C">
        <w:t>), ότι, με βάση το πρόγραμμα διαχείρισης ικανοτήτων και στρατηγικού σχεδιασμού του εργατικού δυναμικού, ο Οργανισμός προσδιόρισε ένα σταθερό σενάριο στελέχωσης 2022+ με σημαντικές επενδύσεις σε εξωτερικούς πόρους όσον αφορά τεχνικούς και εταιρικούς τομείς εμπειρογνωσίας τόσο για παραδοσιακά καθήκοντα όσο και για αναδυόμενους κλάδους με βάση τις μεσοπρόθεσμες στρατηγικές προτεραιότητες του Οργανισμού, συμπεριλαμβανομένων π.χ. των νέων τεχνολογιών, της κυβερνοασφάλειας, της αξιολόγησης της ασφάλειας, των πτητικών δοκιμών και της έρευνας·</w:t>
      </w:r>
    </w:p>
    <w:p w:rsidR="00DF6AA3" w:rsidRPr="0091177C" w:rsidRDefault="00496990" w:rsidP="00496990">
      <w:pPr>
        <w:spacing w:after="240"/>
        <w:ind w:left="567" w:hanging="573"/>
      </w:pPr>
      <w:r w:rsidRPr="0091177C">
        <w:t>22.</w:t>
      </w:r>
      <w:r w:rsidRPr="0091177C">
        <w:tab/>
      </w:r>
      <w:r w:rsidR="00DF6AA3" w:rsidRPr="0091177C">
        <w:t xml:space="preserve">σημειώνει ότι το 2022 αναφέρθηκε μία περίπτωση παρενόχλησης, για την εξέταση της οποίας ο Οργανισμός χρησιμοποίησε τις υπηρεσίες εξωτερικού ερευνητή από το </w:t>
      </w:r>
      <w:proofErr w:type="spellStart"/>
      <w:r w:rsidR="00DF6AA3" w:rsidRPr="0091177C">
        <w:t>διυπηρεσιακό</w:t>
      </w:r>
      <w:proofErr w:type="spellEnd"/>
      <w:r w:rsidR="00DF6AA3" w:rsidRPr="0091177C">
        <w:t xml:space="preserve"> δίκτυο, το συμπέρασμα δε που εξήχθη ήταν ότι η παρενόχληση δεν μπορούσε να επιβεβαιωθεί· σημειώνει επίσης ότι το 2022 αναφέρθηκαν συνολικά τέσσερις περιπτώσεις επαγγελματικής εξουθένωσης, αριθμός ίδιος με εκείνον του 2021·</w:t>
      </w:r>
    </w:p>
    <w:p w:rsidR="00DF6AA3" w:rsidRPr="00496990" w:rsidRDefault="00496990" w:rsidP="00496990">
      <w:pPr>
        <w:spacing w:after="240"/>
        <w:ind w:left="567" w:hanging="573"/>
        <w:rPr>
          <w:rFonts w:cstheme="minorHAnsi"/>
        </w:rPr>
      </w:pPr>
      <w:r w:rsidRPr="00EF76B8">
        <w:rPr>
          <w:rFonts w:cstheme="minorHAnsi"/>
        </w:rPr>
        <w:t>23.</w:t>
      </w:r>
      <w:r w:rsidRPr="00EF76B8">
        <w:rPr>
          <w:rFonts w:cstheme="minorHAnsi"/>
        </w:rPr>
        <w:tab/>
      </w:r>
      <w:r w:rsidR="00DF6AA3" w:rsidRPr="0091177C">
        <w:t>υπενθυμίζει την παρατήρηση που περιλαμβάνεται στην ετήσια έκθεση του Ελεγκτικού Συνεδρίου σχετικά με τους οργανισμούς της Ένωσης για το 2021, όσον αφορά τη μη συμμόρφωση του Οργανισμού με το άρθρο 16 του κανονισμού υπηρεσιακής κατάστασης των υπαλλήλων της Ένωσης· σημειώνει ότι, σύμφωνα με την έκθεση του Ελεγκτικού Συνεδρίου, η εν λόγω παρατήρηση παραμένει ανοικτό ζήτημα· επισημαίνει ωστόσο ότι, σύμφωνα με την έκθεση του Οργανισμού, ο Οργανισμός έχει εν τω μεταξύ συστήσει επίσημα μεικτή επιτροπή, πέραν του ότι έχει αναθεωρήσει τις διαδικασίες του για την αντιμετώπιση των αδυναμιών που εντόπισε το Ελεγκτικό Συνέδριο·</w:t>
      </w:r>
    </w:p>
    <w:p w:rsidR="00DF6AA3" w:rsidRPr="0091177C" w:rsidRDefault="00DF6AA3" w:rsidP="00DF6AA3">
      <w:pPr>
        <w:spacing w:after="240"/>
        <w:ind w:left="567" w:hanging="567"/>
        <w:rPr>
          <w:b/>
          <w:i/>
          <w:szCs w:val="24"/>
        </w:rPr>
      </w:pPr>
      <w:r w:rsidRPr="0091177C">
        <w:rPr>
          <w:b/>
          <w:i/>
        </w:rPr>
        <w:t>Σύναψη δημόσιων συμβάσεων</w:t>
      </w:r>
    </w:p>
    <w:p w:rsidR="00DF6AA3" w:rsidRPr="00496990" w:rsidRDefault="00496990" w:rsidP="00496990">
      <w:pPr>
        <w:spacing w:after="240"/>
        <w:ind w:left="567" w:hanging="573"/>
        <w:rPr>
          <w:szCs w:val="24"/>
        </w:rPr>
      </w:pPr>
      <w:r w:rsidRPr="00EF76B8">
        <w:rPr>
          <w:szCs w:val="24"/>
        </w:rPr>
        <w:t>24.</w:t>
      </w:r>
      <w:r w:rsidRPr="00EF76B8">
        <w:rPr>
          <w:szCs w:val="24"/>
        </w:rPr>
        <w:tab/>
      </w:r>
      <w:r w:rsidR="00DF6AA3" w:rsidRPr="0091177C">
        <w:t>σημειώνει ότι, σύμφωνα με την έκθεση του Ελεγκτικού Συνεδρίου, ο Οργανισμός συνήψε, μέσω μιας εξαιρετικά επείγουσας διαδικασίας, σύμβαση αξίας 1,9 εκατομμυρίων EUR με πάροχο υπηρεσιών για τη συνεχή ανάπτυξη ενός συστήματος αναφοράς συμβάντων· σημειώνει την παρατήρηση του Ελεγκτικού Συνεδρίου, σύμφωνα με την οποία η διαδικασία ήταν παράτυπη, όπως και όλες οι σχετικές πληρωμές (261 385 EUR) που πραγματοποιήθηκαν το 2022, δεδομένου ότι δεν πληρούνταν οι νομικές προϋποθέσεις για την προσφυγή στην εν λόγω διαδικασία· επισημαίνει, ωστόσο, την απάντηση του Οργανισμού, σύμφωνα με την οποία ο επιλεγείς ανάδοχος ήταν ο μόνος που μπόρεσε να συνεχίσει την ανάπτυξη του εν λόγω συστήματος χωρίς να προκαλέσει διαταραχή και άμεσο κίνδυνο για την ασφάλεια με δυνητικές καταστροφικές συνέπειες·</w:t>
      </w:r>
    </w:p>
    <w:p w:rsidR="00DF6AA3" w:rsidRPr="00496990" w:rsidRDefault="00496990" w:rsidP="00496990">
      <w:pPr>
        <w:spacing w:after="240"/>
        <w:ind w:left="567" w:hanging="573"/>
        <w:rPr>
          <w:szCs w:val="24"/>
        </w:rPr>
      </w:pPr>
      <w:r w:rsidRPr="00EF76B8">
        <w:rPr>
          <w:szCs w:val="24"/>
        </w:rPr>
        <w:t>25.</w:t>
      </w:r>
      <w:r w:rsidRPr="00EF76B8">
        <w:rPr>
          <w:szCs w:val="24"/>
        </w:rPr>
        <w:tab/>
      </w:r>
      <w:r w:rsidR="00DF6AA3" w:rsidRPr="0091177C">
        <w:t>σημειώνει ότι, σύμφωνα με τις παρατηρήσεις του Ελεγκτικού Συνεδρίου, ο Οργανισμός, αφού προκήρυξε διαδικασία υποβολής προσφορών για υπηρεσίες διαχείρισης συμβάντων, τροποποίησε την τιμή της προσφοράς χωρίς να ακολουθήσει τις διατάξεις που προβλέπονται στο άρθρο 151 του δημοσιονομικού κανονισμού· παρατηρεί ότι, μετά από καταγγελία του προσφέροντος, ο Οργανισμός διενήργησε δεύτερη αξιολόγηση που οδήγησε στον αποκλεισμό του προσφέροντος με την αιτιολογία ότι «δεν πληρούσε τις απαιτήσεις που ορίζονται στη συγγραφή υποχρεώσεων», χωρίς ωστόσο να προσδιορίζονται οι απαιτήσεις που δεν πληρούνταν· σημειώνει το συμπέρασμα του Ελεγκτικού Συνεδρίου, σύμφωνα με το οποίο ο αποκλεισμός του προσφέροντος δεν ήταν δεόντως αιτιολογημένος· καλεί τον οργανισμό να λάβει τα απαραίτητα μέτρα προκειμένου να διασφαλίσει ότι στις μελλοντικές διαδικασίες σύναψης συμβάσεων οποιαδήποτε διόρθωση της τιμής ή αποκλεισμός των προσφερόντων θα αιτιολογούνται σύμφωνα με την εφαρμοστέα νομική βάση·</w:t>
      </w:r>
    </w:p>
    <w:p w:rsidR="00DF6AA3" w:rsidRPr="0091177C" w:rsidRDefault="00DF6AA3" w:rsidP="00DF6AA3">
      <w:pPr>
        <w:spacing w:after="240"/>
        <w:ind w:left="567" w:hanging="567"/>
        <w:rPr>
          <w:b/>
          <w:i/>
          <w:szCs w:val="24"/>
        </w:rPr>
      </w:pPr>
      <w:r w:rsidRPr="0091177C">
        <w:rPr>
          <w:b/>
          <w:i/>
        </w:rPr>
        <w:t>Πρόληψη και διαχείριση συγκρούσεων συμφερόντων και διαφάνεια</w:t>
      </w:r>
    </w:p>
    <w:p w:rsidR="00DF6AA3" w:rsidRPr="0091177C" w:rsidRDefault="00496990" w:rsidP="00496990">
      <w:pPr>
        <w:spacing w:after="240"/>
        <w:ind w:left="567" w:hanging="573"/>
      </w:pPr>
      <w:r w:rsidRPr="0091177C">
        <w:t>26.</w:t>
      </w:r>
      <w:r w:rsidRPr="0091177C">
        <w:tab/>
      </w:r>
      <w:r w:rsidR="00DF6AA3" w:rsidRPr="0091177C">
        <w:t xml:space="preserve">λαμβάνει γνώση του υφισταμένου συστήματος του Οργανισμού για την πρόληψη και τον μετριασμό των συγκρούσεων συμφερόντων, το οποίο περιλαμβάνει ετήσια διαδικασία όπου το προσωπικό καλείται να επανεξετάσει και να </w:t>
      </w:r>
      <w:proofErr w:type="spellStart"/>
      <w:r w:rsidR="00DF6AA3" w:rsidRPr="0091177C">
        <w:t>επικαιροποιήσει</w:t>
      </w:r>
      <w:proofErr w:type="spellEnd"/>
      <w:r w:rsidR="00DF6AA3" w:rsidRPr="0091177C">
        <w:t xml:space="preserve"> (εφόσον απαιτείται) κάθε αλλαγή στην κατάστασή του που θα μπορούσε να οδηγήσει σε πραγματική ή δυνητική σύγκρουση συμφερόντων· σημειώνει ότι το 2022, από όλες τις δηλώσεις συμφερόντων που υποβλήθηκαν από το προσωπικό σε διάφορα πλαίσια (ετήσια δήλωση, νέες προσλήψεις, δραστηριότητες μετά την έξοδο από την υπηρεσία ή εξωτερικές δραστηριότητες / άδεια για προσωπικούς λόγους) και αξιολογήθηκαν από τον Οργανισμό σύμφωνα με την ισχύουσα διαδικασία, τέσσερις υποθέσεις παραπέμφθηκαν για γνωμοδότηση στην επιτροπή δεοντολογίας του Οργανισμού· εκφράζει την ικανοποίησή του για το γεγονός ότι το 2022 δεν υπήρξαν επιβεβαιωμένες περιπτώσεις σύγκρουσης συμφερόντων και όλες οι περιπτώσεις στις οποίες εντοπίστηκε κίνδυνος πραγματικής ή δυνητικής σύγκρουσης συμφερόντων θα μπορούσαν να μετριαστούν με τη θέσπιση ειδικών μέτρων, όπως, για παράδειγμα, περίοδοι αναμονής, απαγόρευση των δραστηριοτήτων εκπροσώπησης συμφερόντων, μη συμμετοχή σε ορισμένες αναθέσεις·</w:t>
      </w:r>
    </w:p>
    <w:p w:rsidR="00DF6AA3" w:rsidRPr="0091177C" w:rsidRDefault="00496990" w:rsidP="00496990">
      <w:pPr>
        <w:spacing w:after="240"/>
        <w:ind w:left="567" w:hanging="573"/>
      </w:pPr>
      <w:r w:rsidRPr="0091177C">
        <w:t>27.</w:t>
      </w:r>
      <w:r w:rsidRPr="0091177C">
        <w:tab/>
      </w:r>
      <w:r w:rsidR="00DF6AA3" w:rsidRPr="0091177C">
        <w:t>σημειώνει ότι τα βιογραφικά σημειώματα και οι δηλώσεις συμφερόντων των μελών του διοικητικού συμβουλίου και των ανώτερων και μεσαίων διοικητικών στελεχών δημοσιεύονται στον ιστότοπο του Οργανισμού· σημειώνει επίσης ότι ο Οργανισμός δεν καταγράφει όλες τις συναντήσεις του με εκπροσώπους ομάδων συμφερόντων στην ιστοσελίδα του, και καλεί τον Οργανισμό να το πράξει χωρίς καθυστέρηση·</w:t>
      </w:r>
    </w:p>
    <w:p w:rsidR="00DF6AA3" w:rsidRPr="0091177C" w:rsidRDefault="00496990" w:rsidP="00496990">
      <w:pPr>
        <w:spacing w:after="240"/>
        <w:ind w:left="567" w:hanging="573"/>
      </w:pPr>
      <w:r w:rsidRPr="0091177C">
        <w:t>28.</w:t>
      </w:r>
      <w:r w:rsidRPr="0091177C">
        <w:tab/>
      </w:r>
      <w:r w:rsidR="00DF6AA3" w:rsidRPr="0091177C">
        <w:t>σημειώνει ότι ο Οργανισμός είναι ανοικτός στο ενδεχόμενο χάραξης μιας εσωτερικής στρατηγικής για την καταπολέμηση της διαφθοράς μελλοντικά, αλλά θεωρεί επί του παρόντος ότι, σύμφωνα με τα στοιχεία των τελευταίων ετών, δεν υπάρχει απειλή εν προκειμένω· ωστόσο, καλεί τον Οργανισμό να επανεξετάσει τη θέση του και να λάβει μέτρα για τη χάραξη εσωτερικής στρατηγικής για την καταπολέμηση της διαφθοράς·</w:t>
      </w:r>
    </w:p>
    <w:p w:rsidR="00DF6AA3" w:rsidRPr="0091177C" w:rsidRDefault="00DF6AA3" w:rsidP="00DF6AA3">
      <w:pPr>
        <w:spacing w:after="240"/>
        <w:ind w:left="567" w:hanging="567"/>
        <w:rPr>
          <w:szCs w:val="24"/>
        </w:rPr>
      </w:pPr>
      <w:r w:rsidRPr="0091177C">
        <w:rPr>
          <w:b/>
          <w:i/>
        </w:rPr>
        <w:t>Εσωτερικός έλεγχος</w:t>
      </w:r>
    </w:p>
    <w:p w:rsidR="00DF6AA3" w:rsidRPr="00496990" w:rsidRDefault="00496990" w:rsidP="00496990">
      <w:pPr>
        <w:spacing w:after="240"/>
        <w:ind w:left="567" w:hanging="573"/>
        <w:rPr>
          <w:szCs w:val="24"/>
        </w:rPr>
      </w:pPr>
      <w:r w:rsidRPr="00EF76B8">
        <w:rPr>
          <w:szCs w:val="24"/>
        </w:rPr>
        <w:t>29.</w:t>
      </w:r>
      <w:r w:rsidRPr="00EF76B8">
        <w:rPr>
          <w:szCs w:val="24"/>
        </w:rPr>
        <w:tab/>
      </w:r>
      <w:r w:rsidR="00DF6AA3" w:rsidRPr="0091177C">
        <w:t>σημειώνει ότι το 2022 η Υπηρεσία Εσωτερικού Λογιστικού Ελέγχου (IAS) της Επιτροπής διενήργησε έλεγχο σχετικά με τις δραστηριότητες τυποποίησης, στο πλαίσιο του οποίου αξιολογήθηκε κατά πόσον οι έλεγχοι που πραγματοποιούνται παρέχουν εύλογη βεβαιότητα όσον αφορά τη συμμόρφωση με τη σχετική νομοθεσία, καθώς και κατά πόσον οι δραστηριότητες τυποποίησης οργανώνονται με αποδοτικό τρόπο για την αποτελεσματική στήριξη της επίτευξης των επιχειρησιακών στόχων του Οργανισμού· σημειώνει επίσης ότι, ως αποτέλεσμα του εν λόγω ελέγχου, διατυπώθηκαν τρεις συστάσεις για τις οποίες ο Οργανισμός κατάρτισε σχέδιο δράσης προς εφαρμογή κατά τη διάρκεια του 2023·</w:t>
      </w:r>
    </w:p>
    <w:p w:rsidR="00DF6AA3" w:rsidRPr="0091177C" w:rsidRDefault="00496990" w:rsidP="00496990">
      <w:pPr>
        <w:spacing w:after="240"/>
        <w:ind w:left="567" w:hanging="573"/>
      </w:pPr>
      <w:r w:rsidRPr="0091177C">
        <w:t>30.</w:t>
      </w:r>
      <w:r w:rsidRPr="0091177C">
        <w:tab/>
      </w:r>
      <w:r w:rsidR="00DF6AA3" w:rsidRPr="0091177C">
        <w:t xml:space="preserve">σημειώνει ότι το πρόγραμμα ελέγχου του κλιμακίου εσωτερικού ελέγχου (IAC) του Οργανισμού για το 2022 περιλάμβανε οκτώ επιχειρήσεις και, συγκεκριμένα, τέσσερις ελέγχους αξιοπιστίας, συμπεριλαμβανομένου ενός ελέγχου που διενεργήθηκε από την Υπηρεσία Εσωτερικού Λογιστικού Ελέγχου, δύο ελέγχους </w:t>
      </w:r>
      <w:proofErr w:type="spellStart"/>
      <w:r w:rsidR="00DF6AA3" w:rsidRPr="0091177C">
        <w:t>συμβούλευσης</w:t>
      </w:r>
      <w:proofErr w:type="spellEnd"/>
      <w:r w:rsidR="00DF6AA3" w:rsidRPr="0091177C">
        <w:t xml:space="preserve"> και δύο ελέγχους επακολούθησης· σημειώνει ότι, κατά τη διάρκεια των ελέγχων παρακολούθησης του 2022, δύο από τις 13 δράσεις που εντοπίστηκαν στους αρχικούς ελέγχους από το 2021 μπόρεσαν να ολοκληρωθούν, ενώ έξι δράσεις αξιολογήθηκαν ως μερικώς </w:t>
      </w:r>
      <w:proofErr w:type="spellStart"/>
      <w:r w:rsidR="00DF6AA3" w:rsidRPr="0091177C">
        <w:t>υλοποιηθείσες</w:t>
      </w:r>
      <w:proofErr w:type="spellEnd"/>
      <w:r w:rsidR="00DF6AA3" w:rsidRPr="0091177C">
        <w:t xml:space="preserve"> και πέντε δράσεις παρέμειναν σε εκκρεμότητα· καλεί τον Οργανισμό να λάβει τα απαραίτητα μέτρα για την αντιμετώπιση των εν λόγω δράσεων·</w:t>
      </w:r>
    </w:p>
    <w:p w:rsidR="00DF6AA3" w:rsidRPr="0091177C" w:rsidRDefault="00DF6AA3" w:rsidP="00DF6AA3">
      <w:pPr>
        <w:spacing w:after="240"/>
        <w:ind w:left="567" w:hanging="567"/>
        <w:rPr>
          <w:rFonts w:eastAsiaTheme="minorHAnsi"/>
          <w:b/>
          <w:i/>
          <w:szCs w:val="24"/>
        </w:rPr>
      </w:pPr>
      <w:r w:rsidRPr="0091177C">
        <w:rPr>
          <w:b/>
          <w:i/>
        </w:rPr>
        <w:t>Λοιπές παρατηρήσεις</w:t>
      </w:r>
    </w:p>
    <w:p w:rsidR="00DF6AA3" w:rsidRPr="0091177C" w:rsidRDefault="00496990" w:rsidP="00496990">
      <w:pPr>
        <w:pStyle w:val="NormalHanging12a"/>
        <w:ind w:hanging="573"/>
        <w:jc w:val="both"/>
      </w:pPr>
      <w:r w:rsidRPr="0091177C">
        <w:t>31.</w:t>
      </w:r>
      <w:r w:rsidRPr="0091177C">
        <w:tab/>
      </w:r>
      <w:r w:rsidR="00DF6AA3" w:rsidRPr="0091177C">
        <w:t>χαιρετίζει την έμφαση που δίνει ο Οργανισμός στην Ουκρανία ως υποψήφια προς ένταξη χώρα στο σύστημα της Ένωσης·</w:t>
      </w:r>
    </w:p>
    <w:p w:rsidR="00DF6AA3" w:rsidRPr="00496990" w:rsidRDefault="00496990" w:rsidP="00496990">
      <w:pPr>
        <w:spacing w:after="240"/>
        <w:ind w:left="567" w:hanging="573"/>
        <w:rPr>
          <w:szCs w:val="24"/>
        </w:rPr>
      </w:pPr>
      <w:r w:rsidRPr="00EF76B8">
        <w:rPr>
          <w:szCs w:val="24"/>
        </w:rPr>
        <w:t>32.</w:t>
      </w:r>
      <w:r w:rsidRPr="00EF76B8">
        <w:rPr>
          <w:szCs w:val="24"/>
        </w:rPr>
        <w:tab/>
      </w:r>
      <w:r w:rsidR="00DF6AA3" w:rsidRPr="0091177C">
        <w:t>σημειώνει ότι, σύμφωνα με την έκθεση του Οργανισμού, το 2022 ο Οργανισμός διενήργησε ολοκληρωμένη μελέτη ευχρηστίας, η οποία περιλάμβανε τη μέθοδο «</w:t>
      </w:r>
      <w:proofErr w:type="spellStart"/>
      <w:r w:rsidR="00DF6AA3" w:rsidRPr="0091177C">
        <w:t>tree</w:t>
      </w:r>
      <w:proofErr w:type="spellEnd"/>
      <w:r w:rsidR="00DF6AA3" w:rsidRPr="0091177C">
        <w:t xml:space="preserve"> </w:t>
      </w:r>
      <w:proofErr w:type="spellStart"/>
      <w:r w:rsidR="00DF6AA3" w:rsidRPr="0091177C">
        <w:t>testing</w:t>
      </w:r>
      <w:proofErr w:type="spellEnd"/>
      <w:r w:rsidR="00DF6AA3" w:rsidRPr="0091177C">
        <w:t xml:space="preserve">» και ατομικές συνεντεύξεις με χρήστες· σημειώνει ότι η μελέτη προσέφερε ποιοτικές γνώσεις οι οποίες, σε συνδυασμό με τις ποσοτικές γνώσεις, αναμένεται να βελτιώσουν τον EASA </w:t>
      </w:r>
      <w:proofErr w:type="spellStart"/>
      <w:r w:rsidR="00DF6AA3" w:rsidRPr="0091177C">
        <w:t>Pro</w:t>
      </w:r>
      <w:proofErr w:type="spellEnd"/>
      <w:r w:rsidR="00DF6AA3" w:rsidRPr="0091177C">
        <w:t xml:space="preserve">, τον EASA </w:t>
      </w:r>
      <w:proofErr w:type="spellStart"/>
      <w:r w:rsidR="00DF6AA3" w:rsidRPr="0091177C">
        <w:t>Light</w:t>
      </w:r>
      <w:proofErr w:type="spellEnd"/>
      <w:r w:rsidR="00DF6AA3" w:rsidRPr="0091177C">
        <w:t xml:space="preserve"> και το δίκτυο των κοινοτήτων στον ιστότοπο του Οργανισμού· συγχαίρει τον Οργανισμό που έθεσε σε εφαρμογή ένα έργο ώστε να καταστήσει τον EASA </w:t>
      </w:r>
      <w:proofErr w:type="spellStart"/>
      <w:r w:rsidR="00DF6AA3" w:rsidRPr="0091177C">
        <w:t>Light</w:t>
      </w:r>
      <w:proofErr w:type="spellEnd"/>
      <w:r w:rsidR="00DF6AA3" w:rsidRPr="0091177C">
        <w:t xml:space="preserve"> (ειδικό χώρο στον ιστότοπο του Οργανισμού όπου επεξηγούνται οι δραστηριότητες του Οργανισμού σε απλή μη τεχνική αγγλική γλώσσα) διαθέσιμο σε όλες τις επίσημες γλώσσες της Ένωσης·</w:t>
      </w:r>
    </w:p>
    <w:p w:rsidR="00DF6AA3" w:rsidRPr="0091177C" w:rsidRDefault="00DF6AA3" w:rsidP="00DF6AA3">
      <w:pPr>
        <w:pStyle w:val="NormalCenter12a"/>
        <w:rPr>
          <w:szCs w:val="24"/>
        </w:rPr>
      </w:pPr>
      <w:r w:rsidRPr="0091177C">
        <w:t>°</w:t>
      </w:r>
    </w:p>
    <w:p w:rsidR="00DF6AA3" w:rsidRPr="0091177C" w:rsidRDefault="00DF6AA3" w:rsidP="00DF6AA3">
      <w:pPr>
        <w:pStyle w:val="NormalCenter12a"/>
        <w:rPr>
          <w:szCs w:val="24"/>
        </w:rPr>
      </w:pPr>
      <w:r w:rsidRPr="0091177C">
        <w:t>°</w:t>
      </w:r>
      <w:r w:rsidRPr="0091177C">
        <w:tab/>
        <w:t>°</w:t>
      </w:r>
    </w:p>
    <w:p w:rsidR="00E365E1" w:rsidRPr="0091177C" w:rsidRDefault="00496990" w:rsidP="00496990">
      <w:pPr>
        <w:pStyle w:val="NormalHanging12a"/>
        <w:ind w:hanging="570"/>
      </w:pPr>
      <w:r w:rsidRPr="0091177C">
        <w:t>33.</w:t>
      </w:r>
      <w:r w:rsidRPr="0091177C">
        <w:tab/>
      </w:r>
      <w:r w:rsidR="00DF6AA3" w:rsidRPr="0091177C">
        <w:t xml:space="preserve">παραπέμπει, όσον αφορά άλλες παρατηρήσεις οριζόντιου χαρακτήρα που συνοδεύουν την απόφαση απαλλαγής, στο ψήφισμά του της </w:t>
      </w:r>
      <w:r w:rsidR="00A33BB2">
        <w:t>11ης Απριλίου</w:t>
      </w:r>
      <w:r w:rsidR="00DF6AA3" w:rsidRPr="0091177C">
        <w:t xml:space="preserve"> 2024</w:t>
      </w:r>
      <w:r w:rsidR="00DF6AA3" w:rsidRPr="0091177C">
        <w:rPr>
          <w:rStyle w:val="FootnoteReference"/>
          <w:szCs w:val="24"/>
        </w:rPr>
        <w:footnoteReference w:id="12"/>
      </w:r>
      <w:r w:rsidR="00DF6AA3" w:rsidRPr="0091177C">
        <w:t xml:space="preserve"> σχετικά με τις επιδόσεις, τη χρηματοοικονομική διαχείριση και τον έλεγχο των οργανισμών.</w:t>
      </w:r>
      <w:bookmarkStart w:id="9" w:name="TextBodyEnd"/>
      <w:bookmarkEnd w:id="9"/>
    </w:p>
    <w:sectPr w:rsidR="00E365E1" w:rsidRPr="0091177C" w:rsidSect="009117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C58" w:rsidRPr="0091177C" w:rsidRDefault="00FF3C58">
      <w:r w:rsidRPr="0091177C">
        <w:separator/>
      </w:r>
    </w:p>
  </w:endnote>
  <w:endnote w:type="continuationSeparator" w:id="0">
    <w:p w:rsidR="00FF3C58" w:rsidRPr="0091177C" w:rsidRDefault="00FF3C58">
      <w:r w:rsidRPr="009117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AA3" w:rsidRPr="0091177C" w:rsidRDefault="00DF6AA3" w:rsidP="005B07C7">
    <w:pPr>
      <w:pStyle w:val="EPFooter"/>
    </w:pPr>
    <w:r w:rsidRPr="0091177C">
      <w:t>PE</w:t>
    </w:r>
    <w:r w:rsidRPr="0091177C">
      <w:rPr>
        <w:rStyle w:val="HideTWBExt"/>
      </w:rPr>
      <w:t>&lt;</w:t>
    </w:r>
    <w:proofErr w:type="spellStart"/>
    <w:r w:rsidRPr="0091177C">
      <w:rPr>
        <w:rStyle w:val="HideTWBExt"/>
      </w:rPr>
      <w:t>NoPE</w:t>
    </w:r>
    <w:proofErr w:type="spellEnd"/>
    <w:r w:rsidRPr="0091177C">
      <w:rPr>
        <w:rStyle w:val="HideTWBExt"/>
      </w:rPr>
      <w:t>&gt;</w:t>
    </w:r>
    <w:r w:rsidRPr="0091177C">
      <w:t>753.511</w:t>
    </w:r>
    <w:r w:rsidRPr="0091177C">
      <w:rPr>
        <w:rStyle w:val="HideTWBExt"/>
      </w:rPr>
      <w:t>&lt;/</w:t>
    </w:r>
    <w:proofErr w:type="spellStart"/>
    <w:r w:rsidRPr="0091177C">
      <w:rPr>
        <w:rStyle w:val="HideTWBExt"/>
      </w:rPr>
      <w:t>NoPE</w:t>
    </w:r>
    <w:proofErr w:type="spellEnd"/>
    <w:r w:rsidRPr="0091177C">
      <w:rPr>
        <w:rStyle w:val="HideTWBExt"/>
      </w:rPr>
      <w:t>&gt;&lt;Version&gt;</w:t>
    </w:r>
    <w:r w:rsidRPr="0091177C">
      <w:t>v02-00</w:t>
    </w:r>
    <w:r w:rsidRPr="0091177C">
      <w:rPr>
        <w:rStyle w:val="HideTWBExt"/>
      </w:rPr>
      <w:t>&lt;/</w:t>
    </w:r>
    <w:proofErr w:type="spellStart"/>
    <w:r w:rsidRPr="0091177C">
      <w:rPr>
        <w:rStyle w:val="HideTWBExt"/>
      </w:rPr>
      <w:t>Version</w:t>
    </w:r>
    <w:proofErr w:type="spellEnd"/>
    <w:r w:rsidRPr="0091177C">
      <w:rPr>
        <w:rStyle w:val="HideTWBExt"/>
      </w:rPr>
      <w:t>&gt;</w:t>
    </w:r>
    <w:r w:rsidRPr="0091177C">
      <w:tab/>
    </w:r>
    <w:r w:rsidRPr="0091177C">
      <w:fldChar w:fldCharType="begin"/>
    </w:r>
    <w:r w:rsidRPr="0091177C">
      <w:instrText xml:space="preserve"> PAGE  \* MERGEFORMAT </w:instrText>
    </w:r>
    <w:r w:rsidRPr="0091177C">
      <w:fldChar w:fldCharType="separate"/>
    </w:r>
    <w:r w:rsidRPr="0091177C">
      <w:rPr>
        <w:noProof/>
      </w:rPr>
      <w:t>4</w:t>
    </w:r>
    <w:r w:rsidRPr="0091177C">
      <w:fldChar w:fldCharType="end"/>
    </w:r>
    <w:r w:rsidRPr="0091177C">
      <w:t>/</w:t>
    </w:r>
    <w:r w:rsidR="00496990">
      <w:fldChar w:fldCharType="begin"/>
    </w:r>
    <w:r w:rsidR="00496990">
      <w:instrText xml:space="preserve"> NUMPAGES  \* MERGEFORMAT </w:instrText>
    </w:r>
    <w:r w:rsidR="00496990">
      <w:fldChar w:fldCharType="separate"/>
    </w:r>
    <w:r w:rsidRPr="0091177C">
      <w:rPr>
        <w:noProof/>
      </w:rPr>
      <w:t>4</w:t>
    </w:r>
    <w:r w:rsidR="00496990">
      <w:rPr>
        <w:noProof/>
      </w:rPr>
      <w:fldChar w:fldCharType="end"/>
    </w:r>
    <w:r w:rsidRPr="0091177C">
      <w:tab/>
    </w:r>
    <w:r w:rsidRPr="0091177C">
      <w:rPr>
        <w:rStyle w:val="HideTWBExt"/>
      </w:rPr>
      <w:t>&lt;PathFdR&gt;</w:t>
    </w:r>
    <w:r w:rsidRPr="0091177C">
      <w:t>RR\1298981EL.docx</w:t>
    </w:r>
    <w:r w:rsidRPr="0091177C">
      <w:rPr>
        <w:rStyle w:val="HideTWBExt"/>
      </w:rPr>
      <w:t>&lt;/</w:t>
    </w:r>
    <w:proofErr w:type="spellStart"/>
    <w:r w:rsidRPr="0091177C">
      <w:rPr>
        <w:rStyle w:val="HideTWBExt"/>
      </w:rPr>
      <w:t>PathFdR</w:t>
    </w:r>
    <w:proofErr w:type="spellEnd"/>
    <w:r w:rsidRPr="0091177C">
      <w:rPr>
        <w:rStyle w:val="HideTWBExt"/>
      </w:rPr>
      <w:t>&gt;</w:t>
    </w:r>
  </w:p>
  <w:p w:rsidR="00DF6AA3" w:rsidRPr="0091177C" w:rsidRDefault="00DF6AA3" w:rsidP="005B07C7">
    <w:pPr>
      <w:pStyle w:val="EPFooter2"/>
    </w:pPr>
    <w:r w:rsidRPr="0091177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AA3" w:rsidRPr="0091177C" w:rsidRDefault="00DF6AA3" w:rsidP="005B07C7">
    <w:pPr>
      <w:pStyle w:val="EPFooter"/>
    </w:pPr>
    <w:r w:rsidRPr="0091177C">
      <w:rPr>
        <w:rStyle w:val="HideTWBExt"/>
      </w:rPr>
      <w:t>&lt;PathFdR&gt;</w:t>
    </w:r>
    <w:r w:rsidRPr="0091177C">
      <w:t>RR\1298981EL.docx</w:t>
    </w:r>
    <w:r w:rsidRPr="0091177C">
      <w:rPr>
        <w:rStyle w:val="HideTWBExt"/>
      </w:rPr>
      <w:t>&lt;/</w:t>
    </w:r>
    <w:proofErr w:type="spellStart"/>
    <w:r w:rsidRPr="0091177C">
      <w:rPr>
        <w:rStyle w:val="HideTWBExt"/>
      </w:rPr>
      <w:t>PathFdR</w:t>
    </w:r>
    <w:proofErr w:type="spellEnd"/>
    <w:r w:rsidRPr="0091177C">
      <w:rPr>
        <w:rStyle w:val="HideTWBExt"/>
      </w:rPr>
      <w:t>&gt;</w:t>
    </w:r>
    <w:r w:rsidRPr="0091177C">
      <w:tab/>
    </w:r>
    <w:r w:rsidRPr="0091177C">
      <w:tab/>
      <w:t>PE</w:t>
    </w:r>
    <w:r w:rsidRPr="0091177C">
      <w:rPr>
        <w:rStyle w:val="HideTWBExt"/>
      </w:rPr>
      <w:t>&lt;</w:t>
    </w:r>
    <w:proofErr w:type="spellStart"/>
    <w:r w:rsidRPr="0091177C">
      <w:rPr>
        <w:rStyle w:val="HideTWBExt"/>
      </w:rPr>
      <w:t>NoPE</w:t>
    </w:r>
    <w:proofErr w:type="spellEnd"/>
    <w:r w:rsidRPr="0091177C">
      <w:rPr>
        <w:rStyle w:val="HideTWBExt"/>
      </w:rPr>
      <w:t>&gt;</w:t>
    </w:r>
    <w:r w:rsidRPr="0091177C">
      <w:t>753.511</w:t>
    </w:r>
    <w:r w:rsidRPr="0091177C">
      <w:rPr>
        <w:rStyle w:val="HideTWBExt"/>
      </w:rPr>
      <w:t>&lt;/</w:t>
    </w:r>
    <w:proofErr w:type="spellStart"/>
    <w:r w:rsidRPr="0091177C">
      <w:rPr>
        <w:rStyle w:val="HideTWBExt"/>
      </w:rPr>
      <w:t>NoPE</w:t>
    </w:r>
    <w:proofErr w:type="spellEnd"/>
    <w:r w:rsidRPr="0091177C">
      <w:rPr>
        <w:rStyle w:val="HideTWBExt"/>
      </w:rPr>
      <w:t>&gt;&lt;Version&gt;</w:t>
    </w:r>
    <w:r w:rsidRPr="0091177C">
      <w:t>v02-00</w:t>
    </w:r>
    <w:r w:rsidRPr="0091177C">
      <w:rPr>
        <w:rStyle w:val="HideTWBExt"/>
      </w:rPr>
      <w:t>&lt;/</w:t>
    </w:r>
    <w:proofErr w:type="spellStart"/>
    <w:r w:rsidRPr="0091177C">
      <w:rPr>
        <w:rStyle w:val="HideTWBExt"/>
      </w:rPr>
      <w:t>Version</w:t>
    </w:r>
    <w:proofErr w:type="spellEnd"/>
    <w:r w:rsidRPr="0091177C">
      <w:rPr>
        <w:rStyle w:val="HideTWBExt"/>
      </w:rPr>
      <w:t>&gt;</w:t>
    </w:r>
  </w:p>
  <w:p w:rsidR="00DF6AA3" w:rsidRPr="0091177C" w:rsidRDefault="00DF6AA3" w:rsidP="005B07C7">
    <w:pPr>
      <w:pStyle w:val="EPFooter2"/>
    </w:pPr>
    <w:r w:rsidRPr="0091177C">
      <w:t>EL</w:t>
    </w:r>
    <w:r w:rsidRPr="0091177C">
      <w:tab/>
    </w:r>
    <w:r w:rsidRPr="0091177C">
      <w:rPr>
        <w:b w:val="0"/>
        <w:i/>
        <w:color w:val="C0C0C0"/>
        <w:sz w:val="22"/>
      </w:rPr>
      <w:t>Ενωμένη στην πολυμορφία</w:t>
    </w:r>
    <w:r w:rsidRPr="0091177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C58" w:rsidRPr="0091177C" w:rsidRDefault="00FF3C58">
      <w:r w:rsidRPr="0091177C">
        <w:separator/>
      </w:r>
    </w:p>
  </w:footnote>
  <w:footnote w:type="continuationSeparator" w:id="0">
    <w:p w:rsidR="00FF3C58" w:rsidRPr="0091177C" w:rsidRDefault="00FF3C58">
      <w:r w:rsidRPr="0091177C">
        <w:continuationSeparator/>
      </w:r>
    </w:p>
  </w:footnote>
  <w:footnote w:id="1">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C, C/2023/594, 27.10.2023.</w:t>
      </w:r>
    </w:p>
  </w:footnote>
  <w:footnote w:id="2">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C, C/2023/112, 12.10.2023.</w:t>
      </w:r>
    </w:p>
  </w:footnote>
  <w:footnote w:id="3">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193 της 30.7.2018, σ. 1.</w:t>
      </w:r>
    </w:p>
  </w:footnote>
  <w:footnote w:id="4">
    <w:p w:rsidR="00DF6AA3" w:rsidRPr="00496990" w:rsidRDefault="00DF6AA3" w:rsidP="0091177C">
      <w:pPr>
        <w:pStyle w:val="FootnoteText"/>
        <w:ind w:left="567" w:hanging="567"/>
        <w:rPr>
          <w:sz w:val="24"/>
          <w:szCs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212 της 22.8.2018, σ. 1.</w:t>
      </w:r>
    </w:p>
  </w:footnote>
  <w:footnote w:id="5">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122 της 10.5.2019, σ. 1.</w:t>
      </w:r>
    </w:p>
  </w:footnote>
  <w:footnote w:id="6">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C, C/2023/594, 27.10.2023.</w:t>
      </w:r>
    </w:p>
  </w:footnote>
  <w:footnote w:id="7">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C, C/2023/112, 12.10.2023.</w:t>
      </w:r>
    </w:p>
  </w:footnote>
  <w:footnote w:id="8">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193 της 30.7.2018, σ. 1.</w:t>
      </w:r>
    </w:p>
  </w:footnote>
  <w:footnote w:id="9">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212 της 22.8.2018, σ. 1.</w:t>
      </w:r>
    </w:p>
  </w:footnote>
  <w:footnote w:id="10">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L 122 της 10.5.2019, σ. 1.</w:t>
      </w:r>
    </w:p>
  </w:footnote>
  <w:footnote w:id="11">
    <w:p w:rsidR="00DF6AA3" w:rsidRPr="00496990"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ΕΕ C 73 της 28.2.2023, σ. 25.</w:t>
      </w:r>
    </w:p>
  </w:footnote>
  <w:footnote w:id="12">
    <w:p w:rsidR="00DF6AA3" w:rsidRPr="0091177C" w:rsidRDefault="00DF6AA3" w:rsidP="0091177C">
      <w:pPr>
        <w:pStyle w:val="FootnoteText"/>
        <w:ind w:left="567" w:hanging="567"/>
        <w:rPr>
          <w:sz w:val="24"/>
          <w:lang w:val="el-GR"/>
        </w:rPr>
      </w:pPr>
      <w:r w:rsidRPr="00496990">
        <w:rPr>
          <w:rStyle w:val="FootnoteReference"/>
          <w:sz w:val="24"/>
          <w:lang w:val="el-GR"/>
        </w:rPr>
        <w:footnoteRef/>
      </w:r>
      <w:r w:rsidR="0091177C" w:rsidRPr="00496990">
        <w:rPr>
          <w:sz w:val="24"/>
          <w:lang w:val="el-GR"/>
        </w:rPr>
        <w:t xml:space="preserve"> </w:t>
      </w:r>
      <w:r w:rsidR="0091177C" w:rsidRPr="00496990">
        <w:rPr>
          <w:sz w:val="24"/>
          <w:lang w:val="el-GR"/>
        </w:rPr>
        <w:tab/>
      </w:r>
      <w:r w:rsidRPr="00496990">
        <w:rPr>
          <w:sz w:val="24"/>
          <w:lang w:val="el-GR"/>
        </w:rPr>
        <w:t>Κείμενα που εγκρίθηκαν, P9_TA(2024)0</w:t>
      </w:r>
      <w:r w:rsidR="00496990" w:rsidRPr="00496990">
        <w:rPr>
          <w:sz w:val="24"/>
          <w:lang w:val="el-GR"/>
        </w:rPr>
        <w:t>280</w:t>
      </w:r>
      <w:r w:rsidRPr="0049699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17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E144884"/>
    <w:multiLevelType w:val="hybridMultilevel"/>
    <w:tmpl w:val="0D2E22C0"/>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6C72B2"/>
    <w:multiLevelType w:val="multilevel"/>
    <w:tmpl w:val="DB6C47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4487343B"/>
    <w:multiLevelType w:val="hybridMultilevel"/>
    <w:tmpl w:val="314CA57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021E26"/>
    <w:multiLevelType w:val="hybridMultilevel"/>
    <w:tmpl w:val="70C81EC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1"/>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EL"/>
    <w:docVar w:name="dvnumam" w:val="0"/>
    <w:docVar w:name="dvpe" w:val="753.511"/>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2(2023/2145(DEC))"/>
  </w:docVars>
  <w:rsids>
    <w:rsidRoot w:val="00FF3C5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990"/>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1FC3"/>
    <w:rsid w:val="00762C74"/>
    <w:rsid w:val="00786EC0"/>
    <w:rsid w:val="007D1690"/>
    <w:rsid w:val="007E22AD"/>
    <w:rsid w:val="00817416"/>
    <w:rsid w:val="00842779"/>
    <w:rsid w:val="00865F67"/>
    <w:rsid w:val="00881A7B"/>
    <w:rsid w:val="008840E5"/>
    <w:rsid w:val="00887B3E"/>
    <w:rsid w:val="008C2AC6"/>
    <w:rsid w:val="0091177C"/>
    <w:rsid w:val="00930C23"/>
    <w:rsid w:val="0093193B"/>
    <w:rsid w:val="009509D8"/>
    <w:rsid w:val="00950B64"/>
    <w:rsid w:val="00981893"/>
    <w:rsid w:val="00A1687D"/>
    <w:rsid w:val="00A33BB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30C"/>
    <w:rsid w:val="00DF6AA3"/>
    <w:rsid w:val="00E365E1"/>
    <w:rsid w:val="00E820A4"/>
    <w:rsid w:val="00EB006A"/>
    <w:rsid w:val="00EB4772"/>
    <w:rsid w:val="00ED169E"/>
    <w:rsid w:val="00ED4235"/>
    <w:rsid w:val="00EF76B8"/>
    <w:rsid w:val="00F04346"/>
    <w:rsid w:val="00F075DC"/>
    <w:rsid w:val="00F149E9"/>
    <w:rsid w:val="00F5134D"/>
    <w:rsid w:val="00F74202"/>
    <w:rsid w:val="00F87713"/>
    <w:rsid w:val="00FB4360"/>
    <w:rsid w:val="00FD0C70"/>
    <w:rsid w:val="00FF3C5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AD1DC"/>
  <w15:chartTrackingRefBased/>
  <w15:docId w15:val="{783641F2-9F9B-4C05-B633-2BE0682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F6A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6AA3"/>
    <w:pPr>
      <w:spacing w:before="480" w:after="240"/>
    </w:pPr>
  </w:style>
  <w:style w:type="paragraph" w:customStyle="1" w:styleId="PageHeading">
    <w:name w:val="PageHeading"/>
    <w:basedOn w:val="Normal"/>
    <w:rsid w:val="00DF6AA3"/>
    <w:pPr>
      <w:keepNext/>
      <w:spacing w:after="480"/>
      <w:jc w:val="center"/>
    </w:pPr>
    <w:rPr>
      <w:rFonts w:ascii="Arial" w:hAnsi="Arial" w:cs="Arial"/>
      <w:b/>
    </w:rPr>
  </w:style>
  <w:style w:type="paragraph" w:customStyle="1" w:styleId="NormalBold">
    <w:name w:val="NormalBold"/>
    <w:basedOn w:val="Normal"/>
    <w:rsid w:val="00DF6AA3"/>
    <w:rPr>
      <w:b/>
    </w:rPr>
  </w:style>
  <w:style w:type="paragraph" w:customStyle="1" w:styleId="NormalHanging12a">
    <w:name w:val="NormalHanging12a"/>
    <w:basedOn w:val="Normal"/>
    <w:link w:val="NormalHanging12aChar"/>
    <w:rsid w:val="00DF6AA3"/>
    <w:pPr>
      <w:spacing w:after="240"/>
      <w:ind w:left="567" w:hanging="567"/>
    </w:pPr>
  </w:style>
  <w:style w:type="paragraph" w:customStyle="1" w:styleId="NormalCenter12a">
    <w:name w:val="NormalCenter12a"/>
    <w:basedOn w:val="Normal"/>
    <w:rsid w:val="00DF6AA3"/>
    <w:pPr>
      <w:spacing w:after="240"/>
      <w:jc w:val="center"/>
    </w:pPr>
  </w:style>
  <w:style w:type="paragraph" w:styleId="Header">
    <w:name w:val="header"/>
    <w:basedOn w:val="Normal"/>
    <w:link w:val="HeaderChar"/>
    <w:rsid w:val="00DF6AA3"/>
    <w:pPr>
      <w:tabs>
        <w:tab w:val="center" w:pos="4513"/>
        <w:tab w:val="right" w:pos="9026"/>
      </w:tabs>
    </w:pPr>
  </w:style>
  <w:style w:type="character" w:customStyle="1" w:styleId="HeaderChar">
    <w:name w:val="Header Char"/>
    <w:basedOn w:val="DefaultParagraphFont"/>
    <w:link w:val="Header"/>
    <w:rsid w:val="00DF6AA3"/>
    <w:rPr>
      <w:sz w:val="24"/>
      <w:lang w:val="el-GR"/>
    </w:rPr>
  </w:style>
  <w:style w:type="paragraph" w:customStyle="1" w:styleId="EPFooter">
    <w:name w:val="EPFooter"/>
    <w:basedOn w:val="Normal"/>
    <w:rsid w:val="00DF6AA3"/>
    <w:pPr>
      <w:tabs>
        <w:tab w:val="center" w:pos="4535"/>
        <w:tab w:val="right" w:pos="9071"/>
      </w:tabs>
      <w:spacing w:before="240" w:after="240"/>
    </w:pPr>
    <w:rPr>
      <w:color w:val="010000"/>
      <w:sz w:val="22"/>
    </w:rPr>
  </w:style>
  <w:style w:type="paragraph" w:customStyle="1" w:styleId="Default">
    <w:name w:val="Default"/>
    <w:rsid w:val="00DF6AA3"/>
    <w:pPr>
      <w:autoSpaceDE w:val="0"/>
      <w:autoSpaceDN w:val="0"/>
      <w:adjustRightInd w:val="0"/>
    </w:pPr>
    <w:rPr>
      <w:rFonts w:ascii="Calibri" w:hAnsi="Calibri" w:cs="Calibri"/>
      <w:color w:val="000000"/>
      <w:sz w:val="24"/>
      <w:szCs w:val="24"/>
      <w:lang w:val="el-GR"/>
    </w:rPr>
  </w:style>
  <w:style w:type="character" w:customStyle="1" w:styleId="NormalHanging12aChar">
    <w:name w:val="NormalHanging12a Char"/>
    <w:basedOn w:val="DefaultParagraphFont"/>
    <w:link w:val="NormalHanging12a"/>
    <w:rsid w:val="00DF6AA3"/>
    <w:rPr>
      <w:sz w:val="24"/>
      <w:lang w:val="el-GR"/>
    </w:rPr>
  </w:style>
  <w:style w:type="paragraph" w:styleId="Footer">
    <w:name w:val="footer"/>
    <w:basedOn w:val="Normal"/>
    <w:link w:val="FooterChar"/>
    <w:rsid w:val="00761FC3"/>
    <w:pPr>
      <w:tabs>
        <w:tab w:val="center" w:pos="4513"/>
        <w:tab w:val="right" w:pos="9026"/>
      </w:tabs>
    </w:pPr>
  </w:style>
  <w:style w:type="character" w:customStyle="1" w:styleId="FooterChar">
    <w:name w:val="Footer Char"/>
    <w:basedOn w:val="DefaultParagraphFont"/>
    <w:link w:val="Footer"/>
    <w:rsid w:val="00761FC3"/>
    <w:rPr>
      <w:sz w:val="24"/>
      <w:lang w:val="el-GR"/>
    </w:rPr>
  </w:style>
  <w:style w:type="paragraph" w:styleId="ListParagraph">
    <w:name w:val="List Paragraph"/>
    <w:basedOn w:val="Normal"/>
    <w:uiPriority w:val="34"/>
    <w:qFormat/>
    <w:rsid w:val="00EF76B8"/>
    <w:pPr>
      <w:ind w:left="720"/>
      <w:contextualSpacing/>
    </w:pPr>
  </w:style>
  <w:style w:type="paragraph" w:styleId="BalloonText">
    <w:name w:val="Balloon Text"/>
    <w:basedOn w:val="Normal"/>
    <w:link w:val="BalloonTextChar"/>
    <w:rsid w:val="00DF130C"/>
    <w:rPr>
      <w:rFonts w:ascii="Segoe UI" w:hAnsi="Segoe UI" w:cs="Segoe UI"/>
      <w:sz w:val="18"/>
      <w:szCs w:val="18"/>
    </w:rPr>
  </w:style>
  <w:style w:type="character" w:customStyle="1" w:styleId="BalloonTextChar">
    <w:name w:val="Balloon Text Char"/>
    <w:basedOn w:val="DefaultParagraphFont"/>
    <w:link w:val="BalloonText"/>
    <w:rsid w:val="00DF130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734D4-ACEF-4D38-9623-07E969AD2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4652</Words>
  <Characters>28122</Characters>
  <Application>Microsoft Office Word</Application>
  <DocSecurity>0</DocSecurity>
  <Lines>562</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2024-04-11T11:14:00Z</dcterms:created>
  <dcterms:modified xsi:type="dcterms:W3CDTF">2024-04-11T11:14:00Z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A9-0116/2024</vt:lpwstr>
  </property>
  <property fmtid="{D5CDD505-2E9C-101B-9397-08002B2CF9AE}" pid="4" name="&lt;Type&gt;">
    <vt:lpwstr>RR</vt:lpwstr>
  </property>
</Properties>
</file>