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698A" w:rsidTr="0010095E">
        <w:trPr>
          <w:trHeight w:hRule="exact" w:val="1418"/>
        </w:trPr>
        <w:tc>
          <w:tcPr>
            <w:tcW w:w="6804" w:type="dxa"/>
            <w:shd w:val="clear" w:color="auto" w:fill="auto"/>
            <w:vAlign w:val="center"/>
          </w:tcPr>
          <w:p w:rsidR="00751A4A" w:rsidRPr="0006698A" w:rsidRDefault="00BA00CC" w:rsidP="0010095E">
            <w:pPr>
              <w:pStyle w:val="EPName"/>
            </w:pPr>
            <w:r w:rsidRPr="0006698A">
              <w:t>Europos Parlamentas</w:t>
            </w:r>
          </w:p>
          <w:p w:rsidR="00751A4A" w:rsidRPr="0006698A" w:rsidRDefault="00817416" w:rsidP="00756632">
            <w:pPr>
              <w:pStyle w:val="EPTerm"/>
              <w:rPr>
                <w:rStyle w:val="HideTWBExt"/>
                <w:noProof w:val="0"/>
                <w:vanish w:val="0"/>
                <w:color w:val="auto"/>
              </w:rPr>
            </w:pPr>
            <w:r w:rsidRPr="0006698A">
              <w:t>2019-2024</w:t>
            </w:r>
          </w:p>
        </w:tc>
        <w:tc>
          <w:tcPr>
            <w:tcW w:w="2268" w:type="dxa"/>
            <w:shd w:val="clear" w:color="auto" w:fill="auto"/>
          </w:tcPr>
          <w:p w:rsidR="00751A4A" w:rsidRPr="0006698A" w:rsidRDefault="00187494" w:rsidP="0010095E">
            <w:pPr>
              <w:pStyle w:val="EPLogo"/>
            </w:pPr>
            <w:r w:rsidRPr="0006698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698A" w:rsidRDefault="00D058B8" w:rsidP="004C5D52">
      <w:pPr>
        <w:pStyle w:val="LineTop"/>
      </w:pPr>
    </w:p>
    <w:p w:rsidR="00680577" w:rsidRPr="0006698A" w:rsidRDefault="00BA00CC" w:rsidP="00680577">
      <w:pPr>
        <w:pStyle w:val="EPBodyTA1"/>
      </w:pPr>
      <w:r w:rsidRPr="0006698A">
        <w:t>PRIIMTI TEKSTAI</w:t>
      </w:r>
    </w:p>
    <w:p w:rsidR="00D058B8" w:rsidRPr="0006698A" w:rsidRDefault="00D058B8" w:rsidP="00D058B8">
      <w:pPr>
        <w:pStyle w:val="LineBottom"/>
      </w:pPr>
    </w:p>
    <w:p w:rsidR="00BA00CC" w:rsidRPr="0006698A" w:rsidRDefault="00BA00CC" w:rsidP="00BA00CC">
      <w:pPr>
        <w:pStyle w:val="ATHeading1"/>
      </w:pPr>
      <w:bookmarkStart w:id="0" w:name="TANumber"/>
      <w:r w:rsidRPr="0006698A">
        <w:t>P9_TA(2024)0</w:t>
      </w:r>
      <w:r w:rsidR="00684C3C" w:rsidRPr="0006698A">
        <w:t>249</w:t>
      </w:r>
      <w:bookmarkEnd w:id="0"/>
    </w:p>
    <w:p w:rsidR="00BA00CC" w:rsidRPr="0006698A" w:rsidRDefault="00BA00CC" w:rsidP="00BA00CC">
      <w:pPr>
        <w:pStyle w:val="ATHeading2"/>
      </w:pPr>
      <w:bookmarkStart w:id="1" w:name="title"/>
      <w:r w:rsidRPr="0006698A">
        <w:t>2022 m. biudžeto įvykdymo patvirtinimas: Europos Sąjungos aviacijos saugos agentūra</w:t>
      </w:r>
      <w:bookmarkEnd w:id="1"/>
    </w:p>
    <w:p w:rsidR="00BA00CC" w:rsidRPr="0006698A" w:rsidRDefault="00BA00CC" w:rsidP="00BA00CC">
      <w:pPr>
        <w:rPr>
          <w:i/>
          <w:vanish/>
        </w:rPr>
      </w:pPr>
      <w:r w:rsidRPr="0006698A">
        <w:rPr>
          <w:i/>
        </w:rPr>
        <w:fldChar w:fldCharType="begin"/>
      </w:r>
      <w:r w:rsidRPr="0006698A">
        <w:rPr>
          <w:i/>
        </w:rPr>
        <w:instrText xml:space="preserve"> TC"(</w:instrText>
      </w:r>
      <w:bookmarkStart w:id="2" w:name="DocNumber"/>
      <w:r w:rsidRPr="0006698A">
        <w:rPr>
          <w:i/>
        </w:rPr>
        <w:instrText>A9-0116/2024</w:instrText>
      </w:r>
      <w:bookmarkEnd w:id="2"/>
      <w:r w:rsidRPr="0006698A">
        <w:rPr>
          <w:i/>
        </w:rPr>
        <w:instrText xml:space="preserve"> - Pranešėjas: Petri Sarvamaa)"\l3 \n&gt; \* MERGEFORMAT </w:instrText>
      </w:r>
      <w:r w:rsidRPr="0006698A">
        <w:rPr>
          <w:i/>
        </w:rPr>
        <w:fldChar w:fldCharType="end"/>
      </w:r>
    </w:p>
    <w:p w:rsidR="00BA00CC" w:rsidRPr="0006698A" w:rsidRDefault="00BA00CC" w:rsidP="00BA00CC">
      <w:pPr>
        <w:rPr>
          <w:vanish/>
        </w:rPr>
      </w:pPr>
      <w:bookmarkStart w:id="3" w:name="Commission"/>
      <w:r w:rsidRPr="0006698A">
        <w:rPr>
          <w:vanish/>
        </w:rPr>
        <w:t>Biudžeto kontrolės komitetas</w:t>
      </w:r>
      <w:bookmarkEnd w:id="3"/>
    </w:p>
    <w:p w:rsidR="00BA00CC" w:rsidRPr="0006698A" w:rsidRDefault="00BA00CC" w:rsidP="00BA00CC">
      <w:pPr>
        <w:rPr>
          <w:vanish/>
        </w:rPr>
      </w:pPr>
      <w:bookmarkStart w:id="4" w:name="PE"/>
      <w:r w:rsidRPr="0006698A">
        <w:rPr>
          <w:vanish/>
        </w:rPr>
        <w:t>PE753.511</w:t>
      </w:r>
      <w:bookmarkEnd w:id="4"/>
    </w:p>
    <w:p w:rsidR="00BA00CC" w:rsidRPr="0006698A" w:rsidRDefault="00BA00CC" w:rsidP="008E176C">
      <w:pPr>
        <w:pStyle w:val="ATHeading3"/>
      </w:pPr>
      <w:bookmarkStart w:id="5" w:name="Sujet"/>
      <w:r w:rsidRPr="0006698A">
        <w:t xml:space="preserve">1. 2024 m. </w:t>
      </w:r>
      <w:r w:rsidR="008E176C" w:rsidRPr="0006698A">
        <w:t>balandžio</w:t>
      </w:r>
      <w:r w:rsidRPr="0006698A">
        <w:t xml:space="preserve"> 11 d. Europos Parlamento sprendimas dėl Europos Sąjungos aviacijos saugos agentūros 2022 finansinių metų biudžeto įvykdymo patvirtinimo</w:t>
      </w:r>
      <w:bookmarkEnd w:id="5"/>
      <w:r w:rsidRPr="0006698A">
        <w:t xml:space="preserve"> </w:t>
      </w:r>
      <w:bookmarkStart w:id="6" w:name="References"/>
      <w:r w:rsidRPr="0006698A">
        <w:t>(2023/2145(DEC))</w:t>
      </w:r>
      <w:bookmarkEnd w:id="6"/>
    </w:p>
    <w:p w:rsidR="00154A8C" w:rsidRPr="0006698A" w:rsidRDefault="00154A8C" w:rsidP="00154A8C">
      <w:pPr>
        <w:pStyle w:val="EPComma"/>
      </w:pPr>
      <w:bookmarkStart w:id="7" w:name="TextBodyBegin"/>
      <w:bookmarkEnd w:id="7"/>
      <w:r w:rsidRPr="0006698A">
        <w:rPr>
          <w:i/>
        </w:rPr>
        <w:t>Europos Parlamentas</w:t>
      </w:r>
      <w:r w:rsidRPr="0006698A">
        <w:t>,</w:t>
      </w:r>
    </w:p>
    <w:p w:rsidR="00154A8C" w:rsidRPr="0006698A" w:rsidRDefault="00154A8C" w:rsidP="00154A8C">
      <w:pPr>
        <w:pStyle w:val="NormalHanging12a"/>
      </w:pPr>
      <w:r w:rsidRPr="0006698A">
        <w:t>–</w:t>
      </w:r>
      <w:r w:rsidRPr="0006698A">
        <w:tab/>
        <w:t>atsižvelgdamas į Europos Sąjungos aviacijos saugos agentūros 2022 finansinių metų galutines metines ataskaitas,</w:t>
      </w:r>
    </w:p>
    <w:p w:rsidR="00154A8C" w:rsidRPr="0006698A" w:rsidRDefault="00154A8C" w:rsidP="00154A8C">
      <w:pPr>
        <w:pStyle w:val="NormalHanging12a"/>
      </w:pPr>
      <w:r w:rsidRPr="0006698A">
        <w:t>–</w:t>
      </w:r>
      <w:r w:rsidRPr="0006698A">
        <w:tab/>
        <w:t>atsižvelgdamas į Audito Rūmų 2022 finansinių metų metinę ataskaitą dėl ES agentūrų kartu su agentūrų atsakymais</w:t>
      </w:r>
      <w:r w:rsidRPr="0006698A">
        <w:rPr>
          <w:rStyle w:val="FootnoteReference"/>
        </w:rPr>
        <w:footnoteReference w:id="1"/>
      </w:r>
      <w:r w:rsidRPr="0006698A">
        <w:t>,</w:t>
      </w:r>
    </w:p>
    <w:p w:rsidR="00154A8C" w:rsidRPr="0006698A" w:rsidRDefault="00154A8C" w:rsidP="00154A8C">
      <w:pPr>
        <w:pStyle w:val="NormalHanging12a"/>
      </w:pPr>
      <w:r w:rsidRPr="0006698A">
        <w:t>–</w:t>
      </w:r>
      <w:r w:rsidRPr="0006698A">
        <w:tab/>
        <w:t>atsižvelgdamas į Audito Rūmų pagal Sutarties dėl Europos Sąjungos veikimo 287 straipsnį pateiktą sąskaitų patikimumo ir pagal jas atliktų operacijų teisėtumo ir tvarkingumo patikinimo pareiškimą</w:t>
      </w:r>
      <w:r w:rsidRPr="0006698A">
        <w:rPr>
          <w:rStyle w:val="FootnoteReference"/>
        </w:rPr>
        <w:footnoteReference w:id="2"/>
      </w:r>
      <w:r w:rsidRPr="0006698A">
        <w:t>,</w:t>
      </w:r>
    </w:p>
    <w:p w:rsidR="00154A8C" w:rsidRPr="0006698A" w:rsidRDefault="00154A8C" w:rsidP="00154A8C">
      <w:pPr>
        <w:pStyle w:val="NormalHanging12a"/>
      </w:pPr>
      <w:r w:rsidRPr="0006698A">
        <w:t>–</w:t>
      </w:r>
      <w:r w:rsidRPr="0006698A">
        <w:tab/>
        <w:t xml:space="preserve">atsižvelgdamas į </w:t>
      </w:r>
      <w:r w:rsidR="00311C4F" w:rsidRPr="0006698A">
        <w:t xml:space="preserve">2024 m. vasario 22 d. </w:t>
      </w:r>
      <w:r w:rsidRPr="0006698A">
        <w:t>Tarybos rekomendaciją dėl patvirtinimo, kad Agentūra įvykdė 2022 finansinių metų biudžetą (</w:t>
      </w:r>
      <w:r w:rsidR="00642502" w:rsidRPr="0006698A">
        <w:t>06180</w:t>
      </w:r>
      <w:r w:rsidRPr="0006698A">
        <w:t>/2024 – C9</w:t>
      </w:r>
      <w:r w:rsidRPr="0006698A">
        <w:noBreakHyphen/>
      </w:r>
      <w:r w:rsidR="00642502" w:rsidRPr="0006698A">
        <w:t>0083</w:t>
      </w:r>
      <w:r w:rsidRPr="0006698A">
        <w:t>/2024),</w:t>
      </w:r>
    </w:p>
    <w:p w:rsidR="00154A8C" w:rsidRPr="0006698A" w:rsidRDefault="00154A8C" w:rsidP="00154A8C">
      <w:pPr>
        <w:pStyle w:val="NormalHanging12a"/>
      </w:pPr>
      <w:r w:rsidRPr="0006698A">
        <w:t>–</w:t>
      </w:r>
      <w:r w:rsidRPr="0006698A">
        <w:tab/>
        <w:t>atsižvelgdamas į Sutarties dėl Europos Sąjungos veikimo 319 straipsnį,</w:t>
      </w:r>
    </w:p>
    <w:p w:rsidR="00154A8C" w:rsidRPr="0006698A" w:rsidRDefault="00154A8C" w:rsidP="00154A8C">
      <w:pPr>
        <w:pStyle w:val="NormalHanging12a"/>
      </w:pPr>
      <w:r w:rsidRPr="0006698A">
        <w:t>–</w:t>
      </w:r>
      <w:r w:rsidRPr="0006698A">
        <w:tab/>
        <w:t>atsižvelgdamas į 2018 m. liepos 1</w:t>
      </w:r>
      <w:r w:rsidR="006A770C">
        <w:t>8</w:t>
      </w:r>
      <w:r w:rsidRPr="0006698A">
        <w:t>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6698A">
        <w:rPr>
          <w:rStyle w:val="FootnoteReference"/>
        </w:rPr>
        <w:footnoteReference w:id="3"/>
      </w:r>
      <w:r w:rsidRPr="0006698A">
        <w:t>, ypač į jo 70 straipsnį,</w:t>
      </w:r>
    </w:p>
    <w:p w:rsidR="00154A8C" w:rsidRPr="0006698A" w:rsidRDefault="00154A8C" w:rsidP="00154A8C">
      <w:pPr>
        <w:pStyle w:val="NormalHanging12a"/>
      </w:pPr>
      <w:r w:rsidRPr="0006698A">
        <w:t>–</w:t>
      </w:r>
      <w:r w:rsidRPr="0006698A">
        <w:tab/>
        <w:t xml:space="preserve">atsižvelgdamas į 2018 m. liepos 4 d. Europos Parlamento ir Tarybos reglamentą (ES) 2018/1139 dėl bendrųjų civilinės aviacijos taisyklių, ir kuriuo įsteigiama Europos </w:t>
      </w:r>
      <w:r w:rsidRPr="0006698A">
        <w:lastRenderedPageBreak/>
        <w:t>Sąjungos aviacijos saugos agentūra, iš dalies keičiami Europos Parlamento ir Tarybos reglamentai (EB) Nr. 2111/2005, (EB) Nr. 1008/2008, (ES) Nr. 996/2010, (ES) Nr. 376/2014 ir direktyvos 2014/30/ES ir 2014/53/ES bei panaikinami Europos Parlamento ir Tarybos reglamentai (EB) Nr. 552/2004 ir (EB) Nr. 216/2008 bei Tarybos reglamentas (EEB) Nr. 3922/91</w:t>
      </w:r>
      <w:r w:rsidRPr="0006698A">
        <w:rPr>
          <w:rStyle w:val="FootnoteReference"/>
        </w:rPr>
        <w:footnoteReference w:id="4"/>
      </w:r>
      <w:r w:rsidRPr="0006698A">
        <w:t>, ypač į jo 121 straipsnį,</w:t>
      </w:r>
    </w:p>
    <w:p w:rsidR="00154A8C" w:rsidRPr="0006698A" w:rsidRDefault="00154A8C" w:rsidP="00154A8C">
      <w:pPr>
        <w:pStyle w:val="NormalHanging12a"/>
      </w:pPr>
      <w:r w:rsidRPr="0006698A">
        <w:t>–</w:t>
      </w:r>
      <w:r w:rsidRPr="0006698A">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06698A">
        <w:rPr>
          <w:rStyle w:val="FootnoteReference"/>
        </w:rPr>
        <w:footnoteReference w:id="5"/>
      </w:r>
      <w:r w:rsidRPr="0006698A">
        <w:t xml:space="preserve"> 70 straipsnyje, ypač į jo 105 straipsnį,</w:t>
      </w:r>
    </w:p>
    <w:p w:rsidR="00154A8C" w:rsidRPr="0006698A" w:rsidRDefault="00154A8C" w:rsidP="00154A8C">
      <w:pPr>
        <w:pStyle w:val="NormalHanging12a"/>
      </w:pPr>
      <w:r w:rsidRPr="0006698A">
        <w:t>–</w:t>
      </w:r>
      <w:r w:rsidRPr="0006698A">
        <w:tab/>
        <w:t>atsižvelgdamas į Darbo tvarkos taisyklių 100 straipsnį ir V priedą,</w:t>
      </w:r>
    </w:p>
    <w:p w:rsidR="00154A8C" w:rsidRPr="0006698A" w:rsidRDefault="00154A8C" w:rsidP="00154A8C">
      <w:pPr>
        <w:pStyle w:val="NormalHanging12a"/>
      </w:pPr>
      <w:r w:rsidRPr="0006698A">
        <w:t>–</w:t>
      </w:r>
      <w:r w:rsidRPr="0006698A">
        <w:tab/>
        <w:t>atsižvelgdamas į Transporto ir turizmo komiteto nuomonę,</w:t>
      </w:r>
    </w:p>
    <w:p w:rsidR="00154A8C" w:rsidRPr="0006698A" w:rsidRDefault="00154A8C" w:rsidP="00154A8C">
      <w:pPr>
        <w:pStyle w:val="NormalHanging12a"/>
      </w:pPr>
      <w:r w:rsidRPr="0006698A">
        <w:t>–</w:t>
      </w:r>
      <w:r w:rsidRPr="0006698A">
        <w:tab/>
        <w:t>atsižvelgdamas į Biudžeto kontrolės komiteto pranešimą (A9-0116/2024),</w:t>
      </w:r>
    </w:p>
    <w:p w:rsidR="00154A8C" w:rsidRPr="0006698A" w:rsidRDefault="00154A8C" w:rsidP="00154A8C">
      <w:pPr>
        <w:pStyle w:val="NormalHanging12a"/>
      </w:pPr>
      <w:r w:rsidRPr="0006698A">
        <w:t>1.</w:t>
      </w:r>
      <w:r w:rsidRPr="0006698A">
        <w:tab/>
        <w:t>patvirtina Europos Sąjungos aviacijos saugos agentūros laikinajam vykdomajam direktoriui, kad Agentūros 2022 finansinių metų biudžetas įvykdytas;</w:t>
      </w:r>
    </w:p>
    <w:p w:rsidR="00154A8C" w:rsidRPr="0006698A" w:rsidRDefault="00154A8C" w:rsidP="00154A8C">
      <w:pPr>
        <w:pStyle w:val="NormalHanging12a"/>
      </w:pPr>
      <w:r w:rsidRPr="0006698A">
        <w:t>2.</w:t>
      </w:r>
      <w:r w:rsidRPr="0006698A">
        <w:tab/>
        <w:t>išdėsto savo pastabas toliau pateikiamoje rezoliucijoje;</w:t>
      </w:r>
    </w:p>
    <w:p w:rsidR="00154A8C" w:rsidRPr="0006698A" w:rsidRDefault="00154A8C" w:rsidP="00154A8C">
      <w:pPr>
        <w:pStyle w:val="NormalHanging12a"/>
      </w:pPr>
      <w:r w:rsidRPr="0006698A">
        <w:t>3.</w:t>
      </w:r>
      <w:r w:rsidRPr="0006698A">
        <w:tab/>
        <w:t xml:space="preserve">paveda Pirmininkei perduoti šį sprendimą ir rezoliuciją, kuri yra neatskiriama jo dalis, Europos Sąjungos aviacijos saugos agentūros laikinajam vykdomajam direktoriui, Tarybai, Komisijai ir Audito Rūmams ir pasirūpinti, kad jie būtų paskelbti </w:t>
      </w:r>
      <w:r w:rsidRPr="0006698A">
        <w:rPr>
          <w:i/>
          <w:iCs/>
        </w:rPr>
        <w:t>Europos Sąjungos oficialiajame leidinyje</w:t>
      </w:r>
      <w:r w:rsidRPr="0006698A">
        <w:t xml:space="preserve"> (L serijoje).</w:t>
      </w:r>
    </w:p>
    <w:p w:rsidR="00154A8C" w:rsidRPr="0006698A" w:rsidRDefault="00154A8C" w:rsidP="00154A8C"/>
    <w:p w:rsidR="00154A8C" w:rsidRPr="0006698A" w:rsidRDefault="00154A8C" w:rsidP="00154A8C">
      <w:pPr>
        <w:widowControl/>
        <w:rPr>
          <w:rFonts w:ascii="Arial" w:hAnsi="Arial" w:cs="Arial"/>
          <w:b/>
        </w:rPr>
        <w:sectPr w:rsidR="00154A8C" w:rsidRPr="0006698A" w:rsidSect="006A476F">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154A8C" w:rsidRPr="0006698A" w:rsidRDefault="00154A8C" w:rsidP="007D298D">
      <w:pPr>
        <w:pStyle w:val="ATHeading3"/>
      </w:pPr>
      <w:bookmarkStart w:id="8" w:name="_Toc146727728"/>
      <w:bookmarkStart w:id="9" w:name="_Toc161243963"/>
      <w:bookmarkStart w:id="10" w:name="_Toc162000239"/>
      <w:r w:rsidRPr="0006698A">
        <w:lastRenderedPageBreak/>
        <w:t xml:space="preserve">2. </w:t>
      </w:r>
      <w:r w:rsidR="008E176C" w:rsidRPr="0006698A">
        <w:t xml:space="preserve">2024 m. balandžio 11 d. Europos Parlamento sprendimas </w:t>
      </w:r>
      <w:bookmarkEnd w:id="8"/>
      <w:bookmarkEnd w:id="9"/>
      <w:bookmarkEnd w:id="10"/>
      <w:r w:rsidRPr="0006698A">
        <w:t>dėl Europos Sąjungos aviacijos saugos agentūros 2022 finansinių metų sąskaitų uždarymo</w:t>
      </w:r>
      <w:r w:rsidR="008E176C" w:rsidRPr="0006698A">
        <w:t xml:space="preserve"> </w:t>
      </w:r>
      <w:r w:rsidRPr="0006698A">
        <w:t>(2023/2145(DEC))</w:t>
      </w:r>
    </w:p>
    <w:p w:rsidR="00154A8C" w:rsidRPr="0006698A" w:rsidRDefault="00154A8C" w:rsidP="00154A8C">
      <w:pPr>
        <w:pStyle w:val="EPComma"/>
      </w:pPr>
      <w:r w:rsidRPr="0006698A">
        <w:rPr>
          <w:i/>
          <w:iCs/>
        </w:rPr>
        <w:t>Europos Parlamentas,</w:t>
      </w:r>
    </w:p>
    <w:p w:rsidR="00154A8C" w:rsidRPr="0006698A" w:rsidRDefault="00154A8C" w:rsidP="00154A8C">
      <w:pPr>
        <w:pStyle w:val="NormalHanging12a"/>
      </w:pPr>
      <w:r w:rsidRPr="0006698A">
        <w:t>–</w:t>
      </w:r>
      <w:r w:rsidRPr="0006698A">
        <w:tab/>
        <w:t>atsižvelgdamas į Europos Sąjungos aviacijos saugos agentūros 2022 finansinių metų galutines metines ataskaitas,</w:t>
      </w:r>
    </w:p>
    <w:p w:rsidR="00154A8C" w:rsidRPr="0006698A" w:rsidRDefault="00154A8C" w:rsidP="00154A8C">
      <w:pPr>
        <w:pStyle w:val="NormalHanging12a"/>
      </w:pPr>
      <w:r w:rsidRPr="0006698A">
        <w:t>–</w:t>
      </w:r>
      <w:r w:rsidRPr="0006698A">
        <w:tab/>
        <w:t>atsižvelgdamas į Audito Rūmų 2022 finansinių metų metinę ataskaitą dėl ES agentūrų kartu su agentūrų atsakymais</w:t>
      </w:r>
      <w:r w:rsidRPr="0006698A">
        <w:rPr>
          <w:rStyle w:val="FootnoteReference"/>
        </w:rPr>
        <w:footnoteReference w:id="6"/>
      </w:r>
      <w:r w:rsidRPr="0006698A">
        <w:t>,</w:t>
      </w:r>
    </w:p>
    <w:p w:rsidR="00154A8C" w:rsidRPr="0006698A" w:rsidRDefault="00154A8C" w:rsidP="00154A8C">
      <w:pPr>
        <w:pStyle w:val="NormalHanging12a"/>
      </w:pPr>
      <w:r w:rsidRPr="0006698A">
        <w:t>–</w:t>
      </w:r>
      <w:r w:rsidRPr="0006698A">
        <w:tab/>
        <w:t>atsižvelgdamas į Audito Rūmų pagal Sutarties dėl Europos Sąjungos veikimo 287 straipsnį pateiktą sąskaitų patikimumo ir pagal jas atliktų operacijų teisėtumo ir tvarkingumo patikinimo pareiškimą</w:t>
      </w:r>
      <w:r w:rsidRPr="0006698A">
        <w:rPr>
          <w:rStyle w:val="FootnoteReference"/>
        </w:rPr>
        <w:footnoteReference w:id="7"/>
      </w:r>
      <w:r w:rsidRPr="0006698A">
        <w:t>,</w:t>
      </w:r>
    </w:p>
    <w:p w:rsidR="00154A8C" w:rsidRPr="0006698A" w:rsidRDefault="00154A8C" w:rsidP="00154A8C">
      <w:pPr>
        <w:pStyle w:val="NormalHanging12a"/>
      </w:pPr>
      <w:r w:rsidRPr="0006698A">
        <w:t>–</w:t>
      </w:r>
      <w:r w:rsidRPr="0006698A">
        <w:tab/>
        <w:t xml:space="preserve">atsižvelgdamas į </w:t>
      </w:r>
      <w:r w:rsidR="00311C4F" w:rsidRPr="0006698A">
        <w:t xml:space="preserve">2024 m. vasario 22 d. </w:t>
      </w:r>
      <w:r w:rsidRPr="0006698A">
        <w:t>Tarybos rekomendaciją dėl patvirtinimo, kad Agentūra įvykdė 2022 finansinių metų biudžetą (</w:t>
      </w:r>
      <w:r w:rsidR="00642502" w:rsidRPr="0006698A">
        <w:t>06180</w:t>
      </w:r>
      <w:r w:rsidRPr="0006698A">
        <w:t>/2024 – C9</w:t>
      </w:r>
      <w:r w:rsidRPr="0006698A">
        <w:noBreakHyphen/>
      </w:r>
      <w:r w:rsidR="00642502" w:rsidRPr="0006698A">
        <w:t>0083</w:t>
      </w:r>
      <w:r w:rsidRPr="0006698A">
        <w:t>/2024),</w:t>
      </w:r>
    </w:p>
    <w:p w:rsidR="00154A8C" w:rsidRPr="0006698A" w:rsidRDefault="00154A8C" w:rsidP="00154A8C">
      <w:pPr>
        <w:pStyle w:val="NormalHanging12a"/>
      </w:pPr>
      <w:r w:rsidRPr="0006698A">
        <w:t>–</w:t>
      </w:r>
      <w:r w:rsidRPr="0006698A">
        <w:tab/>
        <w:t>atsižvelgdamas į Sutarties dėl Europos Sąjungos veikimo 319 straipsnį,</w:t>
      </w:r>
    </w:p>
    <w:p w:rsidR="00154A8C" w:rsidRPr="0006698A" w:rsidRDefault="00154A8C" w:rsidP="00154A8C">
      <w:pPr>
        <w:pStyle w:val="NormalHanging12a"/>
      </w:pPr>
      <w:r w:rsidRPr="0006698A">
        <w:t>–</w:t>
      </w:r>
      <w:r w:rsidRPr="0006698A">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06698A">
        <w:rPr>
          <w:rStyle w:val="FootnoteReference"/>
        </w:rPr>
        <w:footnoteReference w:id="8"/>
      </w:r>
      <w:r w:rsidRPr="0006698A">
        <w:t>, ypač į jo 70 straipsnį,</w:t>
      </w:r>
    </w:p>
    <w:p w:rsidR="00154A8C" w:rsidRPr="0006698A" w:rsidRDefault="00154A8C" w:rsidP="00154A8C">
      <w:pPr>
        <w:pStyle w:val="NormalHanging12a"/>
      </w:pPr>
      <w:r w:rsidRPr="0006698A">
        <w:t>–</w:t>
      </w:r>
      <w:r w:rsidRPr="0006698A">
        <w:tab/>
        <w:t>atsižvelgdamas į 2018 m. liepos 4 d. Europos Parlamento ir Tarybos reglamentą (ES) 2018/1139 dėl bendrųjų civilinės aviacijos taisyklių, ir kuriuo įsteigiama Europos Sąjungos aviacijos saugos agentūra, iš dalies keičiami Europos Parlamento ir Tarybos reglamentai (EB) Nr. 2111/2005, (EB) Nr. 1008/2008, (ES) Nr. 996/2010, (ES) Nr. 376/2014 ir direktyvos 2014/30/ES ir 2014/53/ES bei panaikinami Europos Parlamento ir Tarybos reglamentai (EB) Nr. 552/2004 ir (EB) Nr. 216/2008 bei Tarybos reglamentas (EEB) Nr. 3922/91</w:t>
      </w:r>
      <w:r w:rsidRPr="0006698A">
        <w:rPr>
          <w:rStyle w:val="FootnoteReference"/>
        </w:rPr>
        <w:footnoteReference w:id="9"/>
      </w:r>
      <w:r w:rsidRPr="0006698A">
        <w:t>, ypač į jo 121 straipsnį,</w:t>
      </w:r>
    </w:p>
    <w:p w:rsidR="00154A8C" w:rsidRPr="0006698A" w:rsidRDefault="00154A8C" w:rsidP="00154A8C">
      <w:pPr>
        <w:pStyle w:val="NormalHanging12a"/>
      </w:pPr>
      <w:r w:rsidRPr="0006698A">
        <w:t>–</w:t>
      </w:r>
      <w:r w:rsidRPr="0006698A">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06698A">
        <w:rPr>
          <w:rStyle w:val="FootnoteReference"/>
        </w:rPr>
        <w:footnoteReference w:id="10"/>
      </w:r>
      <w:r w:rsidRPr="0006698A">
        <w:t xml:space="preserve"> 70 straipsnyje, ypač į jo 105 straipsnį,</w:t>
      </w:r>
    </w:p>
    <w:p w:rsidR="00154A8C" w:rsidRPr="0006698A" w:rsidRDefault="00154A8C" w:rsidP="00154A8C">
      <w:pPr>
        <w:pStyle w:val="NormalHanging12a"/>
      </w:pPr>
      <w:r w:rsidRPr="0006698A">
        <w:t>–</w:t>
      </w:r>
      <w:r w:rsidRPr="0006698A">
        <w:tab/>
        <w:t>atsižvelgdamas į Darbo tvarkos taisyklių 100 straipsnį ir V priedą,</w:t>
      </w:r>
    </w:p>
    <w:p w:rsidR="00154A8C" w:rsidRPr="0006698A" w:rsidRDefault="00154A8C" w:rsidP="00154A8C">
      <w:pPr>
        <w:pStyle w:val="NormalHanging12a"/>
      </w:pPr>
      <w:r w:rsidRPr="0006698A">
        <w:t>–</w:t>
      </w:r>
      <w:r w:rsidRPr="0006698A">
        <w:tab/>
        <w:t>atsižvelgdamas į Transporto ir turizmo komiteto nuomonę,</w:t>
      </w:r>
    </w:p>
    <w:p w:rsidR="00154A8C" w:rsidRPr="0006698A" w:rsidRDefault="00154A8C" w:rsidP="00154A8C">
      <w:pPr>
        <w:pStyle w:val="NormalHanging12a"/>
      </w:pPr>
      <w:r w:rsidRPr="0006698A">
        <w:t>–</w:t>
      </w:r>
      <w:r w:rsidRPr="0006698A">
        <w:tab/>
        <w:t>atsižvelgdamas į Biudžeto kontrolės komiteto pranešimą (A9-0116/2024),</w:t>
      </w:r>
    </w:p>
    <w:p w:rsidR="00154A8C" w:rsidRPr="0006698A" w:rsidRDefault="00154A8C" w:rsidP="00154A8C">
      <w:pPr>
        <w:pStyle w:val="NormalHanging12a"/>
      </w:pPr>
      <w:r w:rsidRPr="0006698A">
        <w:lastRenderedPageBreak/>
        <w:t>1.</w:t>
      </w:r>
      <w:r w:rsidRPr="0006698A">
        <w:tab/>
        <w:t>pritaria Europos Sąjungos aviacijos saugos agentūros 2022 finansinių metų sąskaitų uždarymui;</w:t>
      </w:r>
    </w:p>
    <w:p w:rsidR="00154A8C" w:rsidRPr="0006698A" w:rsidRDefault="00154A8C" w:rsidP="00154A8C">
      <w:pPr>
        <w:pStyle w:val="NormalHanging12a"/>
      </w:pPr>
      <w:r w:rsidRPr="0006698A">
        <w:t>2.</w:t>
      </w:r>
      <w:r w:rsidRPr="0006698A">
        <w:tab/>
        <w:t xml:space="preserve">paveda Pirmininkei perduoti šį sprendimą Europos Sąjungos aviacijos saugos agentūros laikinajam vykdomajam direktoriui, Tarybai, Komisijai ir Audito Rūmams ir pasirūpinti, kad jis būtų paskelbtas </w:t>
      </w:r>
      <w:r w:rsidRPr="0006698A">
        <w:rPr>
          <w:i/>
          <w:iCs/>
        </w:rPr>
        <w:t>Europos Sąjungos oficialiajame leidinyje</w:t>
      </w:r>
      <w:r w:rsidRPr="0006698A">
        <w:t xml:space="preserve"> (L serijoje).</w:t>
      </w:r>
    </w:p>
    <w:p w:rsidR="00154A8C" w:rsidRPr="0006698A" w:rsidRDefault="00154A8C" w:rsidP="00154A8C"/>
    <w:p w:rsidR="00154A8C" w:rsidRPr="0006698A" w:rsidRDefault="00154A8C" w:rsidP="00154A8C">
      <w:pPr>
        <w:widowControl/>
        <w:rPr>
          <w:rFonts w:ascii="Arial" w:hAnsi="Arial" w:cs="Arial"/>
          <w:b/>
        </w:rPr>
        <w:sectPr w:rsidR="00154A8C" w:rsidRPr="0006698A" w:rsidSect="006A476F">
          <w:footnotePr>
            <w:numRestart w:val="eachPage"/>
          </w:footnotePr>
          <w:endnotePr>
            <w:numFmt w:val="decimal"/>
          </w:endnotePr>
          <w:pgSz w:w="11906" w:h="16838"/>
          <w:pgMar w:top="1134" w:right="1418" w:bottom="1418" w:left="1418" w:header="567" w:footer="567" w:gutter="0"/>
          <w:cols w:space="720"/>
          <w:docGrid w:linePitch="326"/>
        </w:sectPr>
      </w:pPr>
    </w:p>
    <w:p w:rsidR="00154A8C" w:rsidRPr="0006698A" w:rsidRDefault="00154A8C" w:rsidP="007D298D">
      <w:pPr>
        <w:pStyle w:val="ATHeading3"/>
      </w:pPr>
      <w:bookmarkStart w:id="11" w:name="_Toc146727729"/>
      <w:bookmarkStart w:id="12" w:name="_Toc161243964"/>
      <w:bookmarkStart w:id="13" w:name="_Toc162000240"/>
      <w:r w:rsidRPr="0006698A">
        <w:lastRenderedPageBreak/>
        <w:t xml:space="preserve">3. </w:t>
      </w:r>
      <w:r w:rsidR="008E176C" w:rsidRPr="0006698A">
        <w:t>2024 m. balandžio 11 d. Europos Parlamento rezoliucija</w:t>
      </w:r>
      <w:bookmarkEnd w:id="11"/>
      <w:bookmarkEnd w:id="12"/>
      <w:bookmarkEnd w:id="13"/>
      <w:r w:rsidR="008E176C" w:rsidRPr="0006698A">
        <w:t xml:space="preserve"> </w:t>
      </w:r>
      <w:r w:rsidRPr="0006698A">
        <w:t>su pastabomis, sudarančiomis neatskiriamą sprendimo dėl Europos Sąjungos aviacijos saugos agentūros 2022 finansinių metų biudžeto įvykdymo patvirtinimo dalį</w:t>
      </w:r>
      <w:r w:rsidR="008E176C" w:rsidRPr="0006698A">
        <w:t xml:space="preserve"> </w:t>
      </w:r>
      <w:r w:rsidRPr="0006698A">
        <w:t>(2023/2145(DEC))</w:t>
      </w:r>
    </w:p>
    <w:p w:rsidR="00154A8C" w:rsidRPr="0006698A" w:rsidRDefault="00154A8C" w:rsidP="00154A8C">
      <w:pPr>
        <w:pStyle w:val="EPComma"/>
        <w:rPr>
          <w:szCs w:val="24"/>
        </w:rPr>
      </w:pPr>
      <w:r w:rsidRPr="0006698A">
        <w:rPr>
          <w:i/>
          <w:iCs/>
        </w:rPr>
        <w:t>Europos Parlamentas,</w:t>
      </w:r>
    </w:p>
    <w:p w:rsidR="00154A8C" w:rsidRPr="0006698A" w:rsidRDefault="00154A8C" w:rsidP="00154A8C">
      <w:pPr>
        <w:pStyle w:val="NormalHanging12a"/>
        <w:rPr>
          <w:szCs w:val="24"/>
        </w:rPr>
      </w:pPr>
      <w:r w:rsidRPr="0006698A">
        <w:t>–</w:t>
      </w:r>
      <w:r w:rsidRPr="0006698A">
        <w:tab/>
        <w:t>atsižvelgdamas į savo sprendimą dėl Europos Sąjungos aviacijos saugos agentūros 2022 finansinių metų biudžeto įvykdymo patvirtinimo,</w:t>
      </w:r>
    </w:p>
    <w:p w:rsidR="00154A8C" w:rsidRPr="0006698A" w:rsidRDefault="00154A8C" w:rsidP="00154A8C">
      <w:pPr>
        <w:pStyle w:val="NormalHanging12a"/>
        <w:rPr>
          <w:szCs w:val="24"/>
        </w:rPr>
      </w:pPr>
      <w:r w:rsidRPr="0006698A">
        <w:t>–</w:t>
      </w:r>
      <w:r w:rsidRPr="0006698A">
        <w:tab/>
        <w:t>atsižvelgdamas į Darbo tvarkos taisyklių 100 straipsnį ir V priedą,</w:t>
      </w:r>
    </w:p>
    <w:p w:rsidR="00154A8C" w:rsidRPr="0006698A" w:rsidRDefault="00154A8C" w:rsidP="00154A8C">
      <w:pPr>
        <w:pStyle w:val="NormalHanging12a"/>
        <w:rPr>
          <w:szCs w:val="24"/>
        </w:rPr>
      </w:pPr>
      <w:r w:rsidRPr="0006698A">
        <w:t>–</w:t>
      </w:r>
      <w:r w:rsidRPr="0006698A">
        <w:tab/>
        <w:t>atsižvelgdamas į Transporto ir turizmo komiteto nuomonę,</w:t>
      </w:r>
    </w:p>
    <w:p w:rsidR="00154A8C" w:rsidRPr="0006698A" w:rsidRDefault="00154A8C" w:rsidP="00154A8C">
      <w:pPr>
        <w:pStyle w:val="NormalHanging12a"/>
        <w:rPr>
          <w:szCs w:val="24"/>
        </w:rPr>
      </w:pPr>
      <w:r w:rsidRPr="0006698A">
        <w:t>–</w:t>
      </w:r>
      <w:r w:rsidRPr="0006698A">
        <w:tab/>
        <w:t>atsižvelgdamas į Biudžeto kontrolės komiteto pranešimą (A9-0116/2024),</w:t>
      </w:r>
    </w:p>
    <w:p w:rsidR="00154A8C" w:rsidRPr="0006698A" w:rsidRDefault="00154A8C" w:rsidP="00154A8C">
      <w:pPr>
        <w:spacing w:after="240"/>
        <w:ind w:left="567" w:hanging="567"/>
        <w:rPr>
          <w:szCs w:val="24"/>
        </w:rPr>
      </w:pPr>
      <w:r w:rsidRPr="0006698A">
        <w:t>A.</w:t>
      </w:r>
      <w:r w:rsidRPr="0006698A">
        <w:tab/>
        <w:t>kadangi, remiantis Europos Sąjungos aviacijos saugos agentūros (toliau – Agentūra) pajamų ir išlaidų suvestine</w:t>
      </w:r>
      <w:r w:rsidRPr="0006698A">
        <w:rPr>
          <w:szCs w:val="24"/>
          <w:vertAlign w:val="superscript"/>
        </w:rPr>
        <w:footnoteReference w:id="11"/>
      </w:r>
      <w:r w:rsidRPr="0006698A">
        <w:t>, jos galutinis 2022 finansinių metų biudžetas buvo 224 265 965 EUR, t. y. 10,04 proc. didesnis nei 2021 m.; kadangi Agentūros biudžetą sudaro 39 678 000 EUR suma iš Sąjungos biudžeto ir 120 435 031 EUR pajamos iš mokesčių ir rinkliavų;</w:t>
      </w:r>
    </w:p>
    <w:p w:rsidR="00154A8C" w:rsidRPr="0006698A" w:rsidRDefault="00154A8C" w:rsidP="00154A8C">
      <w:pPr>
        <w:spacing w:after="240"/>
        <w:ind w:left="567" w:hanging="567"/>
        <w:rPr>
          <w:szCs w:val="24"/>
        </w:rPr>
      </w:pPr>
      <w:r w:rsidRPr="0006698A">
        <w:t>B.</w:t>
      </w:r>
      <w:r w:rsidRPr="0006698A">
        <w:tab/>
        <w:t>kadangi Audito Rūmai savo ataskaitoje dėl Europos Sąjungos aviacijos saugos agentūros 2022 finansinių metų metinių ataskaitų (toliau – Audito Rūmų ataskaita) nurodo, kad gavo pagrįstą patikinimą, jog Agentūros metinės ataskaitos yra patikimos ir jose nurodytos operacijos yra teisėtos ir tvarkingos;</w:t>
      </w:r>
    </w:p>
    <w:p w:rsidR="00154A8C" w:rsidRPr="0006698A" w:rsidRDefault="00154A8C" w:rsidP="00154A8C">
      <w:pPr>
        <w:spacing w:after="240"/>
        <w:ind w:left="567" w:hanging="567"/>
        <w:rPr>
          <w:b/>
          <w:i/>
          <w:szCs w:val="24"/>
        </w:rPr>
      </w:pPr>
      <w:r w:rsidRPr="0006698A">
        <w:rPr>
          <w:b/>
          <w:i/>
        </w:rPr>
        <w:t>Biudžeto ir finansų valdymas</w:t>
      </w:r>
    </w:p>
    <w:p w:rsidR="00154A8C" w:rsidRPr="0006698A" w:rsidRDefault="00154A8C" w:rsidP="00154A8C">
      <w:pPr>
        <w:spacing w:after="240"/>
        <w:ind w:left="567" w:hanging="567"/>
        <w:rPr>
          <w:szCs w:val="24"/>
        </w:rPr>
      </w:pPr>
      <w:r w:rsidRPr="0006698A">
        <w:t>1.</w:t>
      </w:r>
      <w:r w:rsidRPr="0006698A">
        <w:tab/>
        <w:t>pažymi, kad dėl 2022 finansiniais metais vykdytos biudžeto stebėsenos biudžeto įsipareigojimų asignavimų įvykdymo lygis einamaisiais metais buvo 97,08 proc., t. y. 0,77 proc. didesnis palyginti su 2021 m.; be to, pažymi, kad einamaisiais metais mokėjimų asignavimų panaudojimo lygis buvo 87,18 proc., t. y. 0,16 proc. mažesnis, palyginti su 2021 m.;</w:t>
      </w:r>
    </w:p>
    <w:p w:rsidR="00154A8C" w:rsidRPr="0006698A" w:rsidRDefault="00154A8C" w:rsidP="00154A8C">
      <w:pPr>
        <w:spacing w:after="240"/>
        <w:ind w:left="567" w:hanging="567"/>
        <w:rPr>
          <w:szCs w:val="24"/>
        </w:rPr>
      </w:pPr>
      <w:r w:rsidRPr="0006698A">
        <w:t>2.</w:t>
      </w:r>
      <w:r w:rsidRPr="0006698A">
        <w:tab/>
      </w:r>
      <w:r w:rsidRPr="0006698A">
        <w:rPr>
          <w:shd w:val="clear" w:color="auto" w:fill="FFFFFF"/>
        </w:rPr>
        <w:t>pažymi, kad Agentūra metus užbaigė su neigiamu 8,2 mln. EUR mokesčių ir rinkliavų biudžeto rezultatu (palyginti su 11,2 mln. EUR 2021 m.); todėl pažymi, kad Agentūros sukauptas mokesčių ir rinkliavų perteklius buvo sumažintas nuo 72,1 mln. EUR iki 63,9 mln. EUR;</w:t>
      </w:r>
      <w:r w:rsidRPr="0006698A">
        <w:t xml:space="preserve"> pažymi, kad panaikintų asignavimų, susijusių su į 2022 m. perkeltais įsipareigojimais, lygis buvo 2,82 proc., t. y. mažesnis už Komisijos nustatytą 5</w:t>
      </w:r>
      <w:r w:rsidRPr="0006698A">
        <w:rPr>
          <w:shd w:val="clear" w:color="auto" w:fill="FFFFFF"/>
        </w:rPr>
        <w:t> </w:t>
      </w:r>
      <w:r w:rsidRPr="0006698A">
        <w:t>proc. viršutinę ribą;</w:t>
      </w:r>
    </w:p>
    <w:p w:rsidR="00154A8C" w:rsidRPr="0006698A" w:rsidRDefault="00154A8C" w:rsidP="007D298D">
      <w:pPr>
        <w:pStyle w:val="NormalHanging12a"/>
      </w:pPr>
      <w:r w:rsidRPr="0006698A">
        <w:t>3.</w:t>
      </w:r>
      <w:r w:rsidRPr="0006698A">
        <w:tab/>
      </w:r>
      <w:r w:rsidR="000D7D8C" w:rsidRPr="0006698A">
        <w:t xml:space="preserve">remdamasis </w:t>
      </w:r>
      <w:r w:rsidRPr="0006698A">
        <w:t xml:space="preserve">Audito Rūmų </w:t>
      </w:r>
      <w:r w:rsidR="000D7D8C" w:rsidRPr="0006698A">
        <w:t>ataskaita pažymi</w:t>
      </w:r>
      <w:r w:rsidRPr="0006698A">
        <w:t>, kad Agentūra renka mokesčius ir rinkliavas už sertifikavimo paslaugų teikimą, tačiau nedokumentuoja patikrų, kurias ji atlieka siekdama užtikrinti, kad šios pajamos būtų teisingai surinktos, todėl nesilaiko Finansinio reglamento 74 straipsnio 5 dalies ir 75 straipsnio; atkreipia dėmesį į Agentūros atsakymą, pagal kurį Agentūra įsipareigoja imtis būtinų veiksmų siekdama užtikrinti, kad patikros būtų tinkamai dokumentuotos;</w:t>
      </w:r>
    </w:p>
    <w:p w:rsidR="00154A8C" w:rsidRPr="0006698A" w:rsidRDefault="00154A8C" w:rsidP="00154A8C">
      <w:pPr>
        <w:spacing w:after="240"/>
        <w:ind w:left="567" w:hanging="567"/>
        <w:rPr>
          <w:b/>
          <w:i/>
          <w:szCs w:val="24"/>
        </w:rPr>
      </w:pPr>
      <w:r w:rsidRPr="0006698A">
        <w:rPr>
          <w:b/>
          <w:i/>
        </w:rPr>
        <w:lastRenderedPageBreak/>
        <w:t>Veiklos rezultatai</w:t>
      </w:r>
    </w:p>
    <w:p w:rsidR="00154A8C" w:rsidRPr="0006698A" w:rsidRDefault="00154A8C" w:rsidP="00154A8C">
      <w:pPr>
        <w:spacing w:after="240"/>
        <w:ind w:left="567" w:hanging="567"/>
        <w:rPr>
          <w:szCs w:val="24"/>
        </w:rPr>
      </w:pPr>
      <w:r w:rsidRPr="0006698A">
        <w:t>4.</w:t>
      </w:r>
      <w:r w:rsidRPr="0006698A">
        <w:tab/>
        <w:t>pažymi, kad 2022 m. Agentūra naudojo tam tikras priemones, kad įvertintų savo veiklos teikiamą pridėtinę vertę</w:t>
      </w:r>
      <w:r w:rsidRPr="0006698A">
        <w:rPr>
          <w:shd w:val="clear" w:color="auto" w:fill="FFFFFF"/>
        </w:rPr>
        <w:t>, ir kitas priemones, kad pagerintų savo biudžeto valdymą,</w:t>
      </w:r>
      <w:r w:rsidRPr="0006698A">
        <w:t xml:space="preserve"> taikydama 128 tikslų ir 66 pagrindinių veiklos rezultatų rodiklių (PVRR) derinį 11 pagrindinių veiklos sričių; pažymi, kad 2022 m. Agentūros veiklos rezultatai buvo labai geri – buvo įgyvendinta 97 proc. jos 2022 m. metinės darbo programos ir 77 proc. Agentūros pagrindinių veiklos rezultatų rodiklių;</w:t>
      </w:r>
    </w:p>
    <w:p w:rsidR="00154A8C" w:rsidRPr="0006698A" w:rsidRDefault="00154A8C" w:rsidP="00154A8C">
      <w:pPr>
        <w:pStyle w:val="Default"/>
        <w:spacing w:after="240"/>
        <w:ind w:left="567" w:hanging="567"/>
        <w:rPr>
          <w:rFonts w:ascii="Times New Roman" w:hAnsi="Times New Roman" w:cs="Times New Roman"/>
        </w:rPr>
      </w:pPr>
      <w:r w:rsidRPr="0006698A">
        <w:rPr>
          <w:rFonts w:ascii="Times New Roman" w:hAnsi="Times New Roman"/>
        </w:rPr>
        <w:t>5.</w:t>
      </w:r>
      <w:r w:rsidRPr="0006698A">
        <w:rPr>
          <w:rFonts w:ascii="Times New Roman" w:hAnsi="Times New Roman"/>
        </w:rPr>
        <w:tab/>
        <w:t xml:space="preserve">pripažįsta pagrindinius Agentūros pasiekimus ir pažangą 2022 m. naujose srityse, susijusiose su žaliaisiais sprendimais ir skaitmeninimu; atsižvelgdamas į tai, pažymi, kad Agentūra, įgyvendindama 2022 m. EASA tvarios aviacijos programą, suintensyvino savo pastangas užtikrinti švarią aviaciją ir ėmėsi įvairių veiksmų, pvz., paskelbė trečiąją Europos aviacijos aplinkos apsaugos ataskaitą ir sėkmingai prisidėjo prie Tarptautinės civilinės aviacijos organizacijos (ICAO) 41 asamblėjos išvadų dėl aplinkos; </w:t>
      </w:r>
      <w:r w:rsidR="00D00F29" w:rsidRPr="0006698A">
        <w:rPr>
          <w:rFonts w:ascii="Times New Roman" w:hAnsi="Times New Roman"/>
        </w:rPr>
        <w:t>pažymi</w:t>
      </w:r>
      <w:r w:rsidRPr="0006698A">
        <w:rPr>
          <w:rFonts w:ascii="Times New Roman" w:hAnsi="Times New Roman"/>
        </w:rPr>
        <w:t>, kad 2022 m. Agentūra atliko išsamią strateginių prioritetų peržiūrą, kad pašalintų sistemai kylančią riziką, susijusią su Europos aviacijos saugos planu (EPAS); atsižvelgdamas į tai pažymi, kad atlikus peržiūrą daugiau dėmesio skirta rizikos tarpusavio priklausomybės valdymui ir darbuotojų kompetencijai, taip pat įtraukti papildomi prioritetai, susiję su saugiu besiformuojančių technologijų ir naujų verslo koncepcijų integravimu; pažymi, kad šie nauji strateginiai prioritetai įtraukti į 2023–2025 m. EPAS redakciją, priimtą 2022 m.;</w:t>
      </w:r>
    </w:p>
    <w:p w:rsidR="00154A8C" w:rsidRPr="0006698A" w:rsidRDefault="00154A8C" w:rsidP="00154A8C">
      <w:pPr>
        <w:autoSpaceDE w:val="0"/>
        <w:autoSpaceDN w:val="0"/>
        <w:adjustRightInd w:val="0"/>
        <w:spacing w:after="240"/>
        <w:ind w:left="567" w:hanging="567"/>
        <w:rPr>
          <w:szCs w:val="24"/>
        </w:rPr>
      </w:pPr>
      <w:r w:rsidRPr="0006698A">
        <w:t>6.</w:t>
      </w:r>
      <w:r w:rsidRPr="0006698A">
        <w:tab/>
        <w:t>atkreipia dėmesį į 2022 m. Agentūros veiksmus įgyvendinant judumo mieste veiksmų gaires, t. y. paskelbtas vertikaliojo kilimo ir tūpimo aerodromų projektavimo gaires, siūlomą naują oro taksi eksploatavimo miestuose reglamentavimo sistemą, gaires dėl mažesnio nei 600 kg bepiločių orlaivių triukšmo lygio nustatymo ir priimtinas atitikties užtikrinimo priemones bei rekomendacinę medžiagą, kuriais remiamas suderintas, saugus ir veiksmingas sistemos „U-space“ įgyvendinimas visoje Sąjungoje;</w:t>
      </w:r>
    </w:p>
    <w:p w:rsidR="00154A8C" w:rsidRPr="0006698A" w:rsidRDefault="00154A8C" w:rsidP="00154A8C">
      <w:pPr>
        <w:pStyle w:val="NormalHanging12a"/>
      </w:pPr>
      <w:r w:rsidRPr="0006698A">
        <w:t>7.</w:t>
      </w:r>
      <w:r w:rsidRPr="0006698A">
        <w:tab/>
        <w:t>palankiai vertina skaitmeninę Europos dangaus pertvarką, įskaitant geresnes judumo galimybes ir skrydžių vadovų kvalifikacijos supaprastinimą, licencijų išdavimą ir mokymą bei oro eismo valdymo (OEV) antžemines sistemas; ragina iš dalies pakeisti SERA radiotelefonijos frazes, skirtas pilotų ir skrydžių vadovų bendravimui; pabrėžia, kad skaitmeninę Europos dangaus pertvarką sudaro keli atskiri komponentai ir sudedamosios dalys, kurie yra itin svarbūs būsimai oro erdvės architektūrai ir kuriais siekiama remti saugą, veiksmingumą ir aplinkosauginį veiksmingumą;</w:t>
      </w:r>
    </w:p>
    <w:p w:rsidR="00154A8C" w:rsidRPr="0006698A" w:rsidRDefault="00154A8C" w:rsidP="00154A8C">
      <w:pPr>
        <w:pStyle w:val="NormalHanging12a"/>
      </w:pPr>
      <w:r w:rsidRPr="0006698A">
        <w:t>8.</w:t>
      </w:r>
      <w:r w:rsidRPr="0006698A">
        <w:tab/>
        <w:t>pabrėžia Bendro Europos dangaus svarbą sprendžiant Europos oro erdvės susiskaidymo problemą ir siekiant pagerinti OEV veiklos rezultatus saugos, pajėgumų, ekonominio efektyvumo ir aplinkosaugos požiūriais; palankiai vertina Agentūros darbą 2022 m. vykdant Bendro Europos dangaus 2+ reformą, visų pirma derinant ATCO, išduodant licencijas ir Agentūrai sertifikuojant OEV ir (arba) ONP antžemines sistemas; palankiai vertina tai, kad abi reformos mažina sąnaudas ir didina OEV pajėgumus, taip pat teikia didelę pridėtinę vertę Bendro Europos dangaus 2+ iniciatyvos paketui;</w:t>
      </w:r>
    </w:p>
    <w:p w:rsidR="00154A8C" w:rsidRPr="0006698A" w:rsidRDefault="00154A8C" w:rsidP="00154A8C">
      <w:pPr>
        <w:pStyle w:val="NormalHanging12a"/>
      </w:pPr>
      <w:r w:rsidRPr="0006698A">
        <w:t>9.</w:t>
      </w:r>
      <w:r w:rsidRPr="0006698A">
        <w:tab/>
        <w:t xml:space="preserve">supranta susirūpinimą dėl Rusijos keleivinių orlaivių parko; ypač palankiai vertina Agentūros dalyvavimą Ukrainos civilinės ir karinės oro erdvės saugos grupėje, visų pirma atsižvelgiant į didėjančius oro erdvės poreikius, kad būtų sudarytos palankesnės sąlygos nacionalinėms ir NATO karinėms pratyboms; pripažįsta, kad sėkmingai įgyvendinta darbo programa su Europos gynybos agentūra (EGA), kuri labai sustiprino </w:t>
      </w:r>
      <w:r w:rsidRPr="0006698A">
        <w:lastRenderedPageBreak/>
        <w:t>bendradarbiavimą besiformuojančioje inovacijų srityje; palankiai vertina tai, kad Agentūra rėmė Komisijos iniciatyvas pagal programą „RescEU“ (ugniagesių sutartis ir aeronautikos MEDEVAC / transporto pajėgumai);</w:t>
      </w:r>
    </w:p>
    <w:p w:rsidR="00154A8C" w:rsidRPr="0006698A" w:rsidRDefault="00154A8C" w:rsidP="00154A8C">
      <w:pPr>
        <w:spacing w:after="240"/>
        <w:ind w:left="567" w:hanging="567"/>
      </w:pPr>
      <w:r w:rsidRPr="0006698A">
        <w:t>10.</w:t>
      </w:r>
      <w:r w:rsidRPr="0006698A">
        <w:tab/>
        <w:t>atkreipia dėmesį į Agentūros veiksmus reaguojant į Rusijos agresijos karą prieš Ukrainą, pvz., paskelbtą Konfliktų zonų informacinį biuletenį, kuriame operatoriams rekomenduojama nevykdyti skrydžių virš teritorijų, kuriose vykdoma intensyvi ar intensyvesnė karinė veikla, ir paskelbtą Saugos informacinį biuletenį apie laikinus GNSS sutrikimus netoli Ukrainos konflikto zonų; šiuo požiūriu palankiai vertina tai, kad pasibaigus iniciatyvos bandomajam etapui pradėjo veikti Europos dalijimosi informacija ir bendradarbiavimo konfliktų zonų klausimais platforma, kurios tikslas – dalytis informacija apie grėsmes civilinei aviacijai, kylančias dėl konfliktų zonų ar ginkluotų sukilėlių; taip pat pabrėžia, kad neteisėta invazija į Ukrainą sukėlė naujų saugumo problemų ir sustiprino anksčiau egzistavusias problemas; pakartoja raginimą palaikyti glaudžius santykius su Europos nacionalinės ir karinės aviacijos institucijomis ir Europos gynybos agentūra (EGA), Bendradarbiavimo ginkluotės srityje jungtine organizacija (OCCAR) ir NATO, kad būtų galima vykdyti Agentūros užduotis pagal Reglamentą (ES) 2018/1139, siekiant pagerinti skrydžių saugą ir saugumą Europoje;</w:t>
      </w:r>
    </w:p>
    <w:p w:rsidR="00154A8C" w:rsidRPr="0006698A" w:rsidRDefault="00154A8C" w:rsidP="00154A8C">
      <w:pPr>
        <w:spacing w:after="240"/>
        <w:ind w:left="567" w:hanging="567"/>
      </w:pPr>
      <w:r w:rsidRPr="0006698A">
        <w:t>11.</w:t>
      </w:r>
      <w:r w:rsidRPr="0006698A">
        <w:tab/>
        <w:t>pripažįsta, kad Agentūra laikėsi sankcijų ir politikos, kurias Komisija nustatė po neteisėtos Rusijos invazijos į Ukrainą 2022 m., ir kad visa bendradarbiavimo su Rusija veikla buvo sustabdyta, o Agentūra daugiausia dėmesio skyrė veiklai, kuria remiama Ukraina; šiuo atžvilgiu palankiai vertina tai, kad Agentūros peronų koordinavimo grupė padėjo Komisijai sudaryti Rusijos piliečių naudojamų arba kontroliuojamų orlaivių registracijos sąrašą – šis sąrašas buvo atnaujintas 38 kartus ir 2022 m. apėmė daugiau kaip tūkstantį orlaivių;</w:t>
      </w:r>
    </w:p>
    <w:p w:rsidR="00154A8C" w:rsidRPr="0006698A" w:rsidRDefault="00154A8C" w:rsidP="00154A8C">
      <w:pPr>
        <w:spacing w:after="240"/>
        <w:ind w:left="567" w:hanging="567"/>
        <w:rPr>
          <w:b/>
          <w:i/>
          <w:szCs w:val="24"/>
        </w:rPr>
      </w:pPr>
      <w:r w:rsidRPr="0006698A">
        <w:rPr>
          <w:b/>
          <w:i/>
        </w:rPr>
        <w:t>Veiksmingumas ir nauda</w:t>
      </w:r>
    </w:p>
    <w:p w:rsidR="00154A8C" w:rsidRPr="0006698A" w:rsidRDefault="00154A8C" w:rsidP="00154A8C">
      <w:pPr>
        <w:autoSpaceDE w:val="0"/>
        <w:autoSpaceDN w:val="0"/>
        <w:adjustRightInd w:val="0"/>
        <w:spacing w:after="240"/>
        <w:ind w:left="567" w:hanging="567"/>
        <w:rPr>
          <w:szCs w:val="24"/>
        </w:rPr>
      </w:pPr>
      <w:r w:rsidRPr="0006698A">
        <w:t>12.</w:t>
      </w:r>
      <w:r w:rsidRPr="0006698A">
        <w:tab/>
        <w:t>palankiai vertina tai, kad Agentūra dalijasi ištekliais su kitomis agentūromis, kai sutampa užduotys ir kompetencijos, be kita ko, žmogiškųjų išteklių konsultavimo paslaugų, skaitmeninimo ir priemonių, e. mokymosi ir apklausų rengimo srityse, taip pat jos dalyvavimą tarpinstituciniuose ir tarpžinybiniuose konkursuose; pažymi, kad Agentūra glaudžiai bendradarbiauja su Europos aplinkos agentūra rengdama ataskaitas, pvz., Europos aviacijos aplinkos ataskaitą, su Eurokontrole dėl abipusių galimybių su aviacija susijusių mokymosi sprendimų srityje ir su Europos Sąjungos geležinkelių agentūra pagal 2022 m. pasirašytą memorandumą dėl bendradarbiavimo, kuriuo nustatomas reguliarus struktūrinis dialogas ir stiprinamas keitimasis informacija, žiniomis ir patirtimi įvairiose bendradarbiavimo srityse; palankiai vertina tai, kad Agentūra palaiko strategines partnerystes dėl dalijimosi ištekliais ir informacija su beveik visomis nacionalinėmis kompetentingomis aviacijos institucijomis valstybėse narėse;</w:t>
      </w:r>
    </w:p>
    <w:p w:rsidR="00154A8C" w:rsidRPr="0006698A" w:rsidRDefault="00154A8C" w:rsidP="00154A8C">
      <w:pPr>
        <w:pStyle w:val="NormalHanging12a"/>
      </w:pPr>
      <w:r w:rsidRPr="0006698A">
        <w:t>13.</w:t>
      </w:r>
      <w:r w:rsidRPr="0006698A">
        <w:tab/>
        <w:t>palankiai vertina tai, kad Agentūra, siekdama padidinti veiksmingumą ir nuoseklumą, užmezgė keletą partnerysčių su kitomis Sąjungos įstaigomis, įskaitant Europos aplinkos agentūrą, Europos ligų prevencijos ir kontrolės centrą, Netaršios aviacijos bendrąją įmonę ir bendrąją įmonę SESAR3; palankiai vertina bendradarbiavimą su keliomis agentūromis dėl mokymosi sprendimų bendro intereso klausimais žmogiškųjų išteklių konsultavimo paslaugų, skaitmeninimo ir priemonių, e. mokymosi ir apklausų rengimo srityse, įskaitant Europos vaistų agentūrą, Europos vertybinių popierių rinkos instituciją, Europos maisto saugos tarnybą ir Europos prokuratūrą;</w:t>
      </w:r>
    </w:p>
    <w:p w:rsidR="00154A8C" w:rsidRPr="0006698A" w:rsidRDefault="00154A8C" w:rsidP="00154A8C">
      <w:pPr>
        <w:autoSpaceDE w:val="0"/>
        <w:autoSpaceDN w:val="0"/>
        <w:adjustRightInd w:val="0"/>
        <w:spacing w:after="240"/>
        <w:ind w:left="567" w:hanging="567"/>
        <w:rPr>
          <w:szCs w:val="24"/>
        </w:rPr>
      </w:pPr>
      <w:r w:rsidRPr="0006698A">
        <w:lastRenderedPageBreak/>
        <w:t>14.</w:t>
      </w:r>
      <w:r w:rsidRPr="0006698A">
        <w:tab/>
        <w:t>primena, kad 2020 m. buvo parengta pertvarkos programa „Tikslas – pasirengimas ateities iššūkiams“ siekiant sumažinti išlaidas, padidinti veiksmingumą ir atsižvelgti į pagrindines Agentūros varomąsias jėgas; pažymi, kad ta programa, oficialiai užbaigta 2022 m., padėjo įgyvendinti pagrindinius pokyčius, kurie, be kita ko, apima supaprastintą taisyklių rengimo procedūrą, paslaugas prieš pradedant taikyti novatoriškas technologijas ir patobulintą įmonių programavimo procesą, taip pat 12 proc. našumo padidėjimą (lyginant 2022 m. ir 2019 m. išdirbius), prilygstantį Agentūros pridėtinių išlaidų sumažinimui 36 etato ekvivalentais; palankiai vertina tai, kad siekiant veiksmingumo buvo sukurtas programos metodas ir infrastruktūra naujoms iniciatyvoms inicijuoti, kad Agentūra galėtų toliau tobulinti procesus ir skaitmenizaciją;</w:t>
      </w:r>
    </w:p>
    <w:p w:rsidR="00154A8C" w:rsidRPr="0006698A" w:rsidRDefault="00154A8C" w:rsidP="00154A8C">
      <w:pPr>
        <w:autoSpaceDE w:val="0"/>
        <w:autoSpaceDN w:val="0"/>
        <w:adjustRightInd w:val="0"/>
        <w:spacing w:after="240"/>
        <w:ind w:left="567" w:hanging="567"/>
        <w:rPr>
          <w:szCs w:val="24"/>
        </w:rPr>
      </w:pPr>
      <w:r w:rsidRPr="0006698A">
        <w:t>15.</w:t>
      </w:r>
      <w:r w:rsidRPr="0006698A">
        <w:tab/>
        <w:t>palankiai vertina veiksmus, kurių Agentūra ėmėsi siekdama stebėti ir valdyti savo aplinkosauginį pėdsaką srityse, susijusiose, be kita ko, su jos pastatais, komunalinėmis ir tiekimo paslaugomis; atsižvelgdamas į tai pažymi, kad Agentūra optimizavo energijos ir vandens vartojimą savo pastate, perka 100 proc. atsinaujinančiosios elektros energijos, turi centralizuotus atliekų surinkimo punktus Agentūros komandos patalpose ir taiko priemones, kuriomis siekiama sumažinti popieriaus ir biuro reikmenų kiekį;</w:t>
      </w:r>
    </w:p>
    <w:p w:rsidR="00154A8C" w:rsidRPr="0006698A" w:rsidRDefault="00154A8C" w:rsidP="00154A8C">
      <w:pPr>
        <w:spacing w:after="240"/>
        <w:ind w:left="567" w:hanging="567"/>
        <w:rPr>
          <w:szCs w:val="24"/>
        </w:rPr>
      </w:pPr>
      <w:r w:rsidRPr="0006698A">
        <w:t>16.</w:t>
      </w:r>
      <w:r w:rsidRPr="0006698A">
        <w:tab/>
        <w:t>pažymi, kad Agentūra, naudodama turimus priemonių rinkinius, savo kvietimuose teikti pasiūlymus ir toliau taiko atitinkamus žaliųjų viešųjų pirkimų kriterijus ir reikalavimus; taip pat pažymi, kad 2022 m. vienas darbuotojas buvo įdarbintas siekiant užtikrinti išteklius, kad būtų galima iš naujo pradėti nuolatinio organizacijų aplinkosauginio veiksmingumo gerinimo priemonių analizę, daugiausia dėmesio skiriant EMAS ir ISO 14001; ragina Agentūrą informuoti biudžeto įvykdymą tvirtinančią instituciją apie šios analizės rezultatus;</w:t>
      </w:r>
    </w:p>
    <w:p w:rsidR="00154A8C" w:rsidRPr="0006698A" w:rsidRDefault="00154A8C" w:rsidP="00154A8C">
      <w:pPr>
        <w:spacing w:after="240"/>
        <w:ind w:left="567" w:hanging="567"/>
        <w:rPr>
          <w:b/>
          <w:i/>
          <w:szCs w:val="24"/>
        </w:rPr>
      </w:pPr>
      <w:r w:rsidRPr="0006698A">
        <w:rPr>
          <w:b/>
          <w:i/>
        </w:rPr>
        <w:t>Personalo politika</w:t>
      </w:r>
    </w:p>
    <w:p w:rsidR="00154A8C" w:rsidRPr="0006698A" w:rsidRDefault="00154A8C" w:rsidP="00154A8C">
      <w:pPr>
        <w:spacing w:after="240"/>
        <w:ind w:left="567" w:hanging="567"/>
        <w:rPr>
          <w:szCs w:val="24"/>
        </w:rPr>
      </w:pPr>
      <w:r w:rsidRPr="0006698A">
        <w:t>17.</w:t>
      </w:r>
      <w:r w:rsidRPr="0006698A">
        <w:tab/>
        <w:t>pažymi, kad 2022 m. gruodžio 3</w:t>
      </w:r>
      <w:r w:rsidR="006A770C">
        <w:t>1</w:t>
      </w:r>
      <w:bookmarkStart w:id="14" w:name="_GoBack"/>
      <w:bookmarkEnd w:id="14"/>
      <w:r w:rsidRPr="0006698A">
        <w:t> d. etatų planas buvo įvykdytas 95,59 proc., t. y. į 681 laikinųjų darbuotojų etatus, patvirtintus pagal Sąjungos biudžetą (palyginti su 2021 m. patvirtintais 680 etatų), buvo įdarbintas 651 laikinasis darbuotojas; pažymi, kad, be to, 2022 m. Agentūroje dirbo 95 sutartininkai ir 23 deleguotieji nacionaliniai ekspertai;</w:t>
      </w:r>
    </w:p>
    <w:p w:rsidR="00154A8C" w:rsidRPr="0006698A" w:rsidRDefault="00154A8C" w:rsidP="00154A8C">
      <w:pPr>
        <w:spacing w:after="240"/>
        <w:ind w:left="567" w:hanging="567"/>
        <w:rPr>
          <w:szCs w:val="24"/>
        </w:rPr>
      </w:pPr>
      <w:r w:rsidRPr="0006698A">
        <w:t>18.</w:t>
      </w:r>
      <w:r w:rsidRPr="0006698A">
        <w:tab/>
        <w:t>pažymi, kad 2022 m. Agentūra daug investavo į techninių pajėgumų stiprinimą ir karjeros galimybių siūlymą pagal atnaujintą kompetencijos politiką; atsižvelgdamas į tai pažymi, kad 2022 m. Agentūra sėkmingai įdarbino daugiau kaip 60 naujų darbuotojų, įgyvendino trečiosios kartos jaunimo kvalifikacijos programą, suteikė vidaus karjeros raidos galimybių daugiau kaip 70 darbuotojų ir darbuotojams surengė 98 proc. planuotų techninių mokymų; palankiai vertina labai mažą Agentūros darbuotojų kaitos lygį (0,1 proc.) 2022 m.;</w:t>
      </w:r>
    </w:p>
    <w:p w:rsidR="00154A8C" w:rsidRPr="0006698A" w:rsidRDefault="00154A8C" w:rsidP="00154A8C">
      <w:pPr>
        <w:pStyle w:val="NormalHanging12a"/>
      </w:pPr>
      <w:r w:rsidRPr="0006698A">
        <w:t>19.</w:t>
      </w:r>
      <w:r w:rsidRPr="0006698A">
        <w:tab/>
        <w:t xml:space="preserve">susirūpinęs pažymi, kad Agentūros vyresniosios ir vidurinės grandies vadovų lygmeniu lyčių pusiausvyra yra nepakankama: 17 iš 22 narių (77 proc.) yra vyrai, o Agentūros valdančiojoje taryboje – 59 iš 79 narių (75 proc.) yra vyrai; taip pat atkreipia dėmesį į bendrą Agentūros darbuotojų sudėtį lyčių atžvilgiu: iš 757 darbuotojų 525 yra vyrai (69 proc.); </w:t>
      </w:r>
      <w:r w:rsidR="00813CA2" w:rsidRPr="0006698A">
        <w:t>pažymi</w:t>
      </w:r>
      <w:r w:rsidRPr="0006698A">
        <w:t xml:space="preserve">, kad Agentūra sistemingai stebi lyčių pasiskirstymą tarp kandidatų ir aktyviai siekia moterų kandidačių, skelbdama pareigybes tinkamuose forumuose, aiškiai skatindama moteris kandidates teikti paraiškas ir tiksliai apibūdindama pareigybes, nes tai gali turėti įtakos profesinio ir asmeninio gyvenimo pusiausvyrai; ragina Agentūrą toliau dėti pastangas siekiant lyčių pusiausvyros vadovybės ir visų darbuotojų lygmeniu, </w:t>
      </w:r>
      <w:r w:rsidRPr="0006698A">
        <w:lastRenderedPageBreak/>
        <w:t>imantis konkrečių veiksmų, kad būtų padidintas moterų paraiškų į Agentūros siūlomas pareigas skaičius; prašo Komisijos ir valstybių narių skiriant savo narius į Agentūros valdančiąją tarybą atsižvelgti į tai, kad svarbu užtikrinti lyčių pusiausvyrą;</w:t>
      </w:r>
    </w:p>
    <w:p w:rsidR="00154A8C" w:rsidRPr="0006698A" w:rsidRDefault="00154A8C" w:rsidP="00154A8C">
      <w:pPr>
        <w:pStyle w:val="NormalHanging12a"/>
      </w:pPr>
      <w:r w:rsidRPr="0006698A">
        <w:t>20.</w:t>
      </w:r>
      <w:r w:rsidRPr="0006698A">
        <w:tab/>
        <w:t>palankiai vertina tai, kad Agentūra ir toliau daug dėmesio skyrė lyčių pusiausvyrai, geografinei pusiausvyrai ir įvairovei; primena, kad svarbu plėtoti ilgalaikę žmogiškųjų išteklių politiką, apimančią profesinio ir asmeninio gyvenimo pusiausvyrą ir siūlomas su karjeros raida susijusias konkrečias mokymosi galimybes, darbą iš namų, teisę atsijungti ir labiau subalansuotą geografinį pasiskirstymą, siekiant užtikrinti tinkamą atstovavimą visoms valstybėms narėms, taip pat asmenų su negalia įdarbinimą, integravimą ir vienodo požiūrio į juos bei jų galimybių skatinimą;</w:t>
      </w:r>
    </w:p>
    <w:p w:rsidR="00154A8C" w:rsidRPr="0006698A" w:rsidRDefault="00154A8C" w:rsidP="00154A8C">
      <w:pPr>
        <w:spacing w:after="240"/>
        <w:ind w:left="567" w:hanging="567"/>
        <w:rPr>
          <w:szCs w:val="24"/>
        </w:rPr>
      </w:pPr>
      <w:r w:rsidRPr="0006698A">
        <w:t>21.</w:t>
      </w:r>
      <w:r w:rsidRPr="0006698A">
        <w:tab/>
        <w:t>remdamasis Agentūros ataskaita dėl tolesnių priemonių, kurių imtasi atsižvelgiant į Agentūros 2021 finansinių metų biudžeto įvykdymo patvirtinimą (toliau – Agentūros ataskaita), pažymi, kad Agentūra, remdamasi savo kompetencijų valdymo ir strateginio darbo jėgos planavimo programa, nustatė stabilų 2022+ darbuotojų skaičiaus scenarijų ir dideles išorės išteklių investicijas į technines ir organizacines ekspertines žinias tiek tradicinėms užduotims, tiek naujoms sritims, remiantis Agentūros vidutinės trukmės strateginiais prioritetais, įskaitant, pvz., naujas technologijas, kibernetinį saugumą, saugos vertinimą, skrydžių bandymus ir mokslinius tyrimus;</w:t>
      </w:r>
    </w:p>
    <w:p w:rsidR="00154A8C" w:rsidRPr="0006698A" w:rsidRDefault="00154A8C" w:rsidP="00154A8C">
      <w:pPr>
        <w:spacing w:after="240"/>
        <w:ind w:left="567" w:hanging="567"/>
      </w:pPr>
      <w:r w:rsidRPr="0006698A">
        <w:t>22.</w:t>
      </w:r>
      <w:r w:rsidRPr="0006698A">
        <w:tab/>
        <w:t>pažymi, kad 2022 m. pranešta apie vieną priekabiavimo atvejį, kai Agentūra naudojosi agentūrų tinklo išorės tyrėjo paslaugomis, ir padaryta išvada, kad priekabiavimas negali būti patvirtintas; taip pat pažymi, kad 2022 m. pranešta iš viso apie 4 profesinio perdegimo atvejus, t. y. tiek pat, kiek 2021 m.;</w:t>
      </w:r>
    </w:p>
    <w:p w:rsidR="00154A8C" w:rsidRPr="0006698A" w:rsidRDefault="00154A8C" w:rsidP="00154A8C">
      <w:pPr>
        <w:spacing w:after="240"/>
        <w:ind w:left="567" w:hanging="567"/>
        <w:rPr>
          <w:rFonts w:cstheme="minorHAnsi"/>
        </w:rPr>
      </w:pPr>
      <w:r w:rsidRPr="0006698A">
        <w:t>23.</w:t>
      </w:r>
      <w:r w:rsidRPr="0006698A">
        <w:tab/>
        <w:t>remdamasis Audito Rūmų 2021 m. metine ataskaita dėl Sąjungos agentūrų primena pastabą dėl to, kad Agentūra nesilaiko Sąjungos tarnybos nuostatų 16 straipsnio; remdamasis Audito Rūmų ataskaita pažymi, kad ši pastaba liko neišspręsta; vis dėlto, remdamasis Agentūros ataskaita, pažymi, kad Agentūra tuo tarpu oficialiai įsteigė Jungtinį komitetą, be to, peržiūrėjo savo procedūras, skirtas Audito Rūmų nustatytiems trūkumams pašalinti;</w:t>
      </w:r>
    </w:p>
    <w:p w:rsidR="00154A8C" w:rsidRPr="0006698A" w:rsidRDefault="00154A8C" w:rsidP="00154A8C">
      <w:pPr>
        <w:spacing w:after="240"/>
        <w:ind w:left="567" w:hanging="567"/>
        <w:rPr>
          <w:b/>
          <w:i/>
          <w:szCs w:val="24"/>
        </w:rPr>
      </w:pPr>
      <w:r w:rsidRPr="0006698A">
        <w:rPr>
          <w:b/>
          <w:i/>
        </w:rPr>
        <w:t>Viešieji pirkimai</w:t>
      </w:r>
    </w:p>
    <w:p w:rsidR="00154A8C" w:rsidRPr="0006698A" w:rsidRDefault="00154A8C" w:rsidP="00154A8C">
      <w:pPr>
        <w:spacing w:after="240"/>
        <w:ind w:left="567" w:hanging="567"/>
        <w:rPr>
          <w:szCs w:val="24"/>
        </w:rPr>
      </w:pPr>
      <w:r w:rsidRPr="0006698A">
        <w:t>24.</w:t>
      </w:r>
      <w:r w:rsidRPr="0006698A">
        <w:tab/>
        <w:t>remdamasis Audito Rūmų ataskaita pažymi, kad Agentūra sudarė sutartį su vienu paslaugų teikėju dėl 1,9 mln. EUR vertės pranešimo apie incidentus sistemos tolesnio plėtojimo taikant ypatingos skubos procedūrą; atkreipia dėmesį į Audito Rūmų pastabą, kad 2022 m. procedūra ir visi susiję mokėjimai (261 385 EUR) buvo netvarkingi, kadangi nebuvo įvykdytos tos procedūros taikymo teisinės sąlygos; vis dėlto atkreipia dėmesį į Agentūros atsakymą, kad paskirtas rangovas buvo vienintelis, galintis tęsti tos sistemos plėtrą nesukeldamas sutrikimų ir tiesioginio pavojaus saugumui, kurie galėtų turėti katastrofiškų padarinių;</w:t>
      </w:r>
    </w:p>
    <w:p w:rsidR="00154A8C" w:rsidRPr="0006698A" w:rsidRDefault="00154A8C" w:rsidP="00154A8C">
      <w:pPr>
        <w:spacing w:after="240"/>
        <w:ind w:left="567" w:hanging="567"/>
        <w:rPr>
          <w:szCs w:val="24"/>
        </w:rPr>
      </w:pPr>
      <w:r w:rsidRPr="0006698A">
        <w:t>25.</w:t>
      </w:r>
      <w:r w:rsidRPr="0006698A">
        <w:tab/>
        <w:t xml:space="preserve">remdamasis Audito Rūmų pastabomis pažymi, kad Agentūra, pradėjusi konkurso dėl renginių valdymo paslaugų procedūrą, pakeitė konkurso kainą nesilaikydama Finansinio reglamento 151 straipsnio nuostatų; pažymi, kad gavusi konkurso dalyvio skundą Agentūra atliko antrą vertinimą, po kurio konkurso dalyvis buvo pašalintas iš konkurso dėl to, kad jis „neatitiko konkurso specifikacijose nustatytų reikalavimų“, tačiau nenurodė, kurie reikalavimai nebuvo įvykdyti; atkreipia dėmesį į Audito Rūmų išvadą, kad konkurso dalyvio pašalinimas nebuvo tinkamai pagrįstas; ragina Agentūrą imtis </w:t>
      </w:r>
      <w:r w:rsidRPr="0006698A">
        <w:lastRenderedPageBreak/>
        <w:t>būtinų veiksmų siekiant užtikrinti, kad būsimose viešųjų pirkimų procedūrose bet koks kainos koregavimas ar konkurso dalyvių pašalinimas iš konkurso būtų pagrįstas pagal taikomą teisinį pagrindą;</w:t>
      </w:r>
    </w:p>
    <w:p w:rsidR="00154A8C" w:rsidRPr="0006698A" w:rsidRDefault="00154A8C" w:rsidP="00154A8C">
      <w:pPr>
        <w:spacing w:after="240"/>
        <w:ind w:left="567" w:hanging="567"/>
        <w:rPr>
          <w:b/>
          <w:i/>
          <w:szCs w:val="24"/>
        </w:rPr>
      </w:pPr>
      <w:r w:rsidRPr="0006698A">
        <w:rPr>
          <w:b/>
          <w:i/>
        </w:rPr>
        <w:t>Interesų konfliktų prevencija ir valdymas, taip pat skaidrumas</w:t>
      </w:r>
    </w:p>
    <w:p w:rsidR="00154A8C" w:rsidRPr="0006698A" w:rsidRDefault="00154A8C" w:rsidP="00154A8C">
      <w:pPr>
        <w:spacing w:after="240"/>
        <w:ind w:left="567" w:hanging="567"/>
      </w:pPr>
      <w:r w:rsidRPr="0006698A">
        <w:t>26.</w:t>
      </w:r>
      <w:r w:rsidRPr="0006698A">
        <w:tab/>
        <w:t>pripažįsta esamą Agentūros interesų konfliktų prevencijos ir mažinimo sistemą, kuri apima metinę užduotį, kurios metu darbuotojų prašoma peržiūrėti ir (prireikus) atnaujinti visus savo padėties pokyčius, dėl kurių galėtų kilti faktinis arba galimas interesų konfliktas; pažymi, kad 2022 m. iš visų interesų deklaracijų, kurias darbuotojai pateikė įvairiomis aplinkybėmis (metinė deklaracija, nauji darbuotojai, pasibaigus tarnybos laikui ar su darbu nesusijusi veikla ir (arba) atostogos dėl asmeninių priežasčių), kurias Agentūra įvertino laikydamasi taikomos procedūros, 4 atvejai buvo perduoti Agentūros etikos komitetui, kad šis pateiktų nuomonę; palankiai vertina tai, kad 2022 m. nebuvo patvirtintų interesų konflikto atvejų ir visus atvejus, kai buvo nustatyta faktinio ar galimo interesų konflikto rizika, buvo galima išspręsti taikant konkrečias priemones, pvz., veiklos pertraukas, lobistinės veiklos draudimus arba nedalyvavimą atliekant tam tikras užduotis;</w:t>
      </w:r>
    </w:p>
    <w:p w:rsidR="00154A8C" w:rsidRPr="0006698A" w:rsidRDefault="00154A8C" w:rsidP="00154A8C">
      <w:pPr>
        <w:spacing w:after="240"/>
        <w:ind w:left="567" w:hanging="567"/>
      </w:pPr>
      <w:r w:rsidRPr="0006698A">
        <w:t>27.</w:t>
      </w:r>
      <w:r w:rsidRPr="0006698A">
        <w:tab/>
        <w:t>pažymi, kad valdybos narių ir vyresniosios vadovybės narių gyvenimo aprašymai bei interesų deklaracijos skelbiami Agentūros interneto svetainėje; taip pat pažymi, kad Agentūra savo interneto svetainėje nenurodo visų savo susitikimų su lobistais ar interesų grupių atstovais, ir ragina Agentūrą tai padaryti nedelsiant;</w:t>
      </w:r>
    </w:p>
    <w:p w:rsidR="00154A8C" w:rsidRPr="0006698A" w:rsidRDefault="00154A8C" w:rsidP="00154A8C">
      <w:pPr>
        <w:spacing w:after="240"/>
        <w:ind w:left="567" w:hanging="567"/>
      </w:pPr>
      <w:r w:rsidRPr="0006698A">
        <w:t>28.</w:t>
      </w:r>
      <w:r w:rsidRPr="0006698A">
        <w:tab/>
      </w:r>
      <w:r w:rsidR="00813CA2" w:rsidRPr="0006698A">
        <w:t>pažymi</w:t>
      </w:r>
      <w:r w:rsidRPr="0006698A">
        <w:t>, kad Agentūra yra pasirengusi ateityje parengti vidaus kovos su korupcija strategiją, tačiau mano, kad šiuo metu, remiantis pastarųjų metų duomenimis, šiuo atžvilgiu pavojaus nėra; vis dėlto ragina Agentūrą iš naujo įvertinti savo poziciją ir imtis veiksmų siekiant parengti vidaus kovos su korupcija strategiją;</w:t>
      </w:r>
    </w:p>
    <w:p w:rsidR="00154A8C" w:rsidRPr="0006698A" w:rsidRDefault="00154A8C" w:rsidP="00154A8C">
      <w:pPr>
        <w:spacing w:after="240"/>
        <w:ind w:left="567" w:hanging="567"/>
        <w:rPr>
          <w:szCs w:val="24"/>
        </w:rPr>
      </w:pPr>
      <w:r w:rsidRPr="0006698A">
        <w:rPr>
          <w:b/>
          <w:i/>
        </w:rPr>
        <w:t>Vidaus kontrolė</w:t>
      </w:r>
    </w:p>
    <w:p w:rsidR="00154A8C" w:rsidRPr="0006698A" w:rsidRDefault="00154A8C" w:rsidP="00154A8C">
      <w:pPr>
        <w:spacing w:after="240"/>
        <w:ind w:left="567" w:hanging="567"/>
        <w:rPr>
          <w:szCs w:val="24"/>
        </w:rPr>
      </w:pPr>
      <w:r w:rsidRPr="0006698A">
        <w:t>29.</w:t>
      </w:r>
      <w:r w:rsidRPr="0006698A">
        <w:tab/>
        <w:t>pažymi, kad 2022 m. Komisijos vidaus audito tarnyba (VAT) atliko standartizacijos veiklos auditą, kurio metu vertino, ar taikomos kontrolės priemonės suteikia pakankamą patikinimą, kad laikomasi atitinkamų teisės aktų, ir ar standartizacijos veikla organizuojama efektyviai, siekiant veiksmingai prisidėti prie Agentūros veiklos tikslų įgyvendinimo; taip pat pažymi, kad atlikus tą auditą buvo pateiktos trys rekomendacijos, dėl kurių Agentūra parengė veiksmų planą, kuris turi būti įgyvendintas 2023 m.;</w:t>
      </w:r>
    </w:p>
    <w:p w:rsidR="00154A8C" w:rsidRPr="0006698A" w:rsidRDefault="00154A8C" w:rsidP="00154A8C">
      <w:pPr>
        <w:spacing w:after="240"/>
        <w:ind w:left="567" w:hanging="567"/>
      </w:pPr>
      <w:r w:rsidRPr="0006698A">
        <w:t>30.</w:t>
      </w:r>
      <w:r w:rsidRPr="0006698A">
        <w:tab/>
        <w:t>pažymi, kad Agentūros vidaus audito skyriaus (VAS) 2022 m. audito programą sudarė 8 užduotys, t. y. 4 patikinimo auditai, įskaitant vieną VAT atliktą auditą, 2 konsultacijos ir 2 tolesni auditai; atkreipia dėmesį į tai, kad per 2022 m. tolesnius auditus 2 iš 13 veiksmų, nustatytų per pradinius 2021 m. auditus, galėjo būti užbaigti, šeši veiksmai buvo įvertinti kaip iš dalies įgyvendinti, o penki veiksmai tebevykdomi; ragina Agentūrą imtis būtinų priemonių šiems klausimams spręsti;</w:t>
      </w:r>
    </w:p>
    <w:p w:rsidR="00154A8C" w:rsidRPr="0006698A" w:rsidRDefault="00154A8C" w:rsidP="00154A8C">
      <w:pPr>
        <w:spacing w:after="240"/>
        <w:ind w:left="567" w:hanging="567"/>
        <w:rPr>
          <w:rFonts w:eastAsiaTheme="minorHAnsi"/>
          <w:b/>
          <w:i/>
          <w:szCs w:val="24"/>
        </w:rPr>
      </w:pPr>
      <w:r w:rsidRPr="0006698A">
        <w:rPr>
          <w:b/>
          <w:i/>
        </w:rPr>
        <w:t>Kitos pastabos</w:t>
      </w:r>
    </w:p>
    <w:p w:rsidR="00154A8C" w:rsidRPr="0006698A" w:rsidRDefault="00154A8C" w:rsidP="007D298D">
      <w:pPr>
        <w:pStyle w:val="NormalHanging12a"/>
      </w:pPr>
      <w:r w:rsidRPr="0006698A">
        <w:t>31.</w:t>
      </w:r>
      <w:r w:rsidRPr="0006698A">
        <w:tab/>
        <w:t>palankiai vertina tai, kad Agentūra daug dėmesio skiria Ukrainos, kaip valstybės kandidatės, integracijai į ES sistemą;</w:t>
      </w:r>
    </w:p>
    <w:p w:rsidR="00154A8C" w:rsidRPr="0006698A" w:rsidRDefault="00154A8C" w:rsidP="00154A8C">
      <w:pPr>
        <w:spacing w:after="240"/>
        <w:ind w:left="567" w:hanging="567"/>
        <w:rPr>
          <w:szCs w:val="24"/>
        </w:rPr>
      </w:pPr>
      <w:r w:rsidRPr="0006698A">
        <w:t>32.</w:t>
      </w:r>
      <w:r w:rsidRPr="0006698A">
        <w:tab/>
        <w:t xml:space="preserve">remdamasis Agentūros ataskaita pažymi, kad 2022 m. Agentūra atliko išsamų </w:t>
      </w:r>
      <w:r w:rsidRPr="0006698A">
        <w:lastRenderedPageBreak/>
        <w:t>tinkamumo naudoti tyrimą, apimantį navigacijos medžio testavimą ir individualų pokalbį su naudotoju; pažymi, kad tyrime pateikta kokybinių įžvalgų, kurios, kartu su kiekybinėmis įžvalgomis, turėtų pagerinti „EASA Pro“, „EASA Light“ ir bendruomenes Agentūros interneto svetainėje; giria Agentūrą už tai, kad ji įgyvendino projektą, kuriuo siekiama, kad „EASA Light“ (speciali Agentūros interneto svetainės dalis, kurioje paaiškinama jos veikla paprasta netechnine anglų kalba) būtų prieinama visomis Sąjungos oficialiosiomis kalbomis;</w:t>
      </w:r>
    </w:p>
    <w:p w:rsidR="00154A8C" w:rsidRPr="0006698A" w:rsidRDefault="00154A8C" w:rsidP="00154A8C">
      <w:pPr>
        <w:pStyle w:val="NormalCenter12a"/>
        <w:rPr>
          <w:szCs w:val="24"/>
        </w:rPr>
      </w:pPr>
      <w:r w:rsidRPr="0006698A">
        <w:t>°</w:t>
      </w:r>
    </w:p>
    <w:p w:rsidR="00154A8C" w:rsidRPr="0006698A" w:rsidRDefault="00154A8C" w:rsidP="00154A8C">
      <w:pPr>
        <w:pStyle w:val="NormalCenter12a"/>
        <w:rPr>
          <w:szCs w:val="24"/>
        </w:rPr>
      </w:pPr>
      <w:r w:rsidRPr="0006698A">
        <w:t>°</w:t>
      </w:r>
      <w:r w:rsidRPr="0006698A">
        <w:tab/>
        <w:t>°</w:t>
      </w:r>
    </w:p>
    <w:p w:rsidR="00154A8C" w:rsidRPr="0006698A" w:rsidRDefault="00154A8C" w:rsidP="00154A8C">
      <w:pPr>
        <w:pStyle w:val="NormalHanging12a"/>
        <w:rPr>
          <w:szCs w:val="24"/>
        </w:rPr>
      </w:pPr>
      <w:r w:rsidRPr="0006698A">
        <w:t>33.</w:t>
      </w:r>
      <w:r w:rsidRPr="0006698A">
        <w:tab/>
        <w:t>pažymi, kad kitos su sprendimu dėl biudžeto įvykdymo patvirtinimo susijusios pastabos, kurios yra horizontaliojo pobūdžio, pateikiamos Parlamento 2024 m. </w:t>
      </w:r>
      <w:r w:rsidR="008E176C" w:rsidRPr="0006698A">
        <w:t>balandžio</w:t>
      </w:r>
      <w:r w:rsidR="00BA00CC" w:rsidRPr="0006698A">
        <w:t xml:space="preserve"> 11</w:t>
      </w:r>
      <w:r w:rsidRPr="0006698A">
        <w:t> d. rezoliucijoje</w:t>
      </w:r>
      <w:r w:rsidRPr="0006698A">
        <w:rPr>
          <w:rStyle w:val="FootnoteReference"/>
          <w:szCs w:val="24"/>
        </w:rPr>
        <w:footnoteReference w:id="12"/>
      </w:r>
      <w:r w:rsidRPr="0006698A">
        <w:t xml:space="preserve"> dėl agentūrų veiklos, finansų valdymo ir kontrolės.</w:t>
      </w:r>
    </w:p>
    <w:p w:rsidR="00E365E1" w:rsidRPr="0006698A" w:rsidRDefault="00E365E1" w:rsidP="00BA00CC">
      <w:bookmarkStart w:id="15" w:name="TextBodyEnd"/>
      <w:bookmarkEnd w:id="15"/>
    </w:p>
    <w:sectPr w:rsidR="00E365E1" w:rsidRPr="0006698A" w:rsidSect="006A476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0CC" w:rsidRPr="006A476F" w:rsidRDefault="00BA00CC">
      <w:r w:rsidRPr="006A476F">
        <w:separator/>
      </w:r>
    </w:p>
  </w:endnote>
  <w:endnote w:type="continuationSeparator" w:id="0">
    <w:p w:rsidR="00BA00CC" w:rsidRPr="006A476F" w:rsidRDefault="00BA00CC">
      <w:r w:rsidRPr="006A47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A8C" w:rsidRPr="006A476F" w:rsidRDefault="00154A8C" w:rsidP="00C447A2">
    <w:pPr>
      <w:pStyle w:val="EPFooter"/>
    </w:pPr>
    <w:r w:rsidRPr="006A476F">
      <w:t>PE</w:t>
    </w:r>
    <w:r w:rsidRPr="006A476F">
      <w:rPr>
        <w:rStyle w:val="HideTWBExt"/>
      </w:rPr>
      <w:t>&lt;NoPE&gt;</w:t>
    </w:r>
    <w:r w:rsidRPr="006A476F">
      <w:t>753.511</w:t>
    </w:r>
    <w:r w:rsidRPr="006A476F">
      <w:rPr>
        <w:rStyle w:val="HideTWBExt"/>
      </w:rPr>
      <w:t>&lt;/NoPE&gt;&lt;Version&gt;</w:t>
    </w:r>
    <w:r w:rsidRPr="006A476F">
      <w:t>v02-00</w:t>
    </w:r>
    <w:r w:rsidRPr="006A476F">
      <w:rPr>
        <w:rStyle w:val="HideTWBExt"/>
      </w:rPr>
      <w:t>&lt;/Version&gt;</w:t>
    </w:r>
    <w:r w:rsidRPr="006A476F">
      <w:tab/>
    </w:r>
    <w:r w:rsidRPr="006A476F">
      <w:fldChar w:fldCharType="begin"/>
    </w:r>
    <w:r w:rsidRPr="006A476F">
      <w:instrText xml:space="preserve"> PAGE  \* MERGEFORMAT </w:instrText>
    </w:r>
    <w:r w:rsidRPr="006A476F">
      <w:fldChar w:fldCharType="separate"/>
    </w:r>
    <w:r w:rsidR="006A476F" w:rsidRPr="006A476F">
      <w:rPr>
        <w:noProof/>
      </w:rPr>
      <w:t>4</w:t>
    </w:r>
    <w:r w:rsidRPr="006A476F">
      <w:fldChar w:fldCharType="end"/>
    </w:r>
    <w:r w:rsidRPr="006A476F">
      <w:t>/</w:t>
    </w:r>
    <w:fldSimple w:instr=" NUMPAGES  \* MERGEFORMAT ">
      <w:r w:rsidR="006A476F" w:rsidRPr="006A476F">
        <w:rPr>
          <w:noProof/>
        </w:rPr>
        <w:t>6</w:t>
      </w:r>
    </w:fldSimple>
    <w:r w:rsidRPr="006A476F">
      <w:tab/>
    </w:r>
    <w:r w:rsidRPr="006A476F">
      <w:rPr>
        <w:rStyle w:val="HideTWBExt"/>
      </w:rPr>
      <w:t>&lt;PathFdR&gt;</w:t>
    </w:r>
    <w:r w:rsidRPr="006A476F">
      <w:t>RR\1298981LT.docx</w:t>
    </w:r>
    <w:r w:rsidRPr="006A476F">
      <w:rPr>
        <w:rStyle w:val="HideTWBExt"/>
      </w:rPr>
      <w:t>&lt;/PathFdR&gt;</w:t>
    </w:r>
  </w:p>
  <w:p w:rsidR="00154A8C" w:rsidRPr="006A476F" w:rsidRDefault="00154A8C" w:rsidP="00C447A2">
    <w:pPr>
      <w:pStyle w:val="EPFooter2"/>
    </w:pPr>
    <w:r w:rsidRPr="006A476F">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A8C" w:rsidRPr="006A476F" w:rsidRDefault="00154A8C" w:rsidP="00C447A2">
    <w:pPr>
      <w:pStyle w:val="EPFooter"/>
    </w:pPr>
    <w:r w:rsidRPr="006A476F">
      <w:rPr>
        <w:rStyle w:val="HideTWBExt"/>
      </w:rPr>
      <w:t>&lt;PathFdR&gt;</w:t>
    </w:r>
    <w:r w:rsidRPr="006A476F">
      <w:t>RR\1298981LT.docx</w:t>
    </w:r>
    <w:r w:rsidRPr="006A476F">
      <w:rPr>
        <w:rStyle w:val="HideTWBExt"/>
      </w:rPr>
      <w:t>&lt;/PathFdR&gt;</w:t>
    </w:r>
    <w:r w:rsidRPr="006A476F">
      <w:tab/>
    </w:r>
    <w:r w:rsidRPr="006A476F">
      <w:tab/>
      <w:t>PE</w:t>
    </w:r>
    <w:r w:rsidRPr="006A476F">
      <w:rPr>
        <w:rStyle w:val="HideTWBExt"/>
      </w:rPr>
      <w:t>&lt;NoPE&gt;</w:t>
    </w:r>
    <w:r w:rsidRPr="006A476F">
      <w:t>753.511</w:t>
    </w:r>
    <w:r w:rsidRPr="006A476F">
      <w:rPr>
        <w:rStyle w:val="HideTWBExt"/>
      </w:rPr>
      <w:t>&lt;/NoPE&gt;&lt;Version&gt;</w:t>
    </w:r>
    <w:r w:rsidRPr="006A476F">
      <w:t>v02-00</w:t>
    </w:r>
    <w:r w:rsidRPr="006A476F">
      <w:rPr>
        <w:rStyle w:val="HideTWBExt"/>
      </w:rPr>
      <w:t>&lt;/Version&gt;</w:t>
    </w:r>
  </w:p>
  <w:p w:rsidR="00154A8C" w:rsidRPr="006A476F" w:rsidRDefault="00154A8C" w:rsidP="00C447A2">
    <w:pPr>
      <w:pStyle w:val="EPFooter2"/>
    </w:pPr>
    <w:r w:rsidRPr="006A476F">
      <w:t>LT</w:t>
    </w:r>
    <w:r w:rsidRPr="006A476F">
      <w:tab/>
    </w:r>
    <w:r w:rsidRPr="006A476F">
      <w:rPr>
        <w:b w:val="0"/>
        <w:i/>
        <w:color w:val="C0C0C0"/>
        <w:sz w:val="22"/>
      </w:rPr>
      <w:t>Suvienijusi įvairovę</w:t>
    </w:r>
    <w:r w:rsidRPr="006A476F">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76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76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7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0CC" w:rsidRPr="006A476F" w:rsidRDefault="00BA00CC">
      <w:r w:rsidRPr="006A476F">
        <w:separator/>
      </w:r>
    </w:p>
  </w:footnote>
  <w:footnote w:type="continuationSeparator" w:id="0">
    <w:p w:rsidR="00BA00CC" w:rsidRPr="006A476F" w:rsidRDefault="00BA00CC">
      <w:r w:rsidRPr="006A476F">
        <w:continuationSeparator/>
      </w:r>
    </w:p>
  </w:footnote>
  <w:footnote w:id="1">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C, C/2023/594, 2023 10 27.</w:t>
      </w:r>
    </w:p>
  </w:footnote>
  <w:footnote w:id="2">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C, C/2023/112, 2023 10 12.</w:t>
      </w:r>
    </w:p>
  </w:footnote>
  <w:footnote w:id="3">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L 193, 2018 7 30, p. 1.</w:t>
      </w:r>
    </w:p>
  </w:footnote>
  <w:footnote w:id="4">
    <w:p w:rsidR="00154A8C" w:rsidRPr="009750E6" w:rsidRDefault="00154A8C" w:rsidP="006A476F">
      <w:pPr>
        <w:pStyle w:val="FootnoteText"/>
        <w:ind w:left="567" w:hanging="567"/>
        <w:rPr>
          <w:sz w:val="24"/>
          <w:szCs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L 212, 2018 8 22, p. 1.</w:t>
      </w:r>
    </w:p>
  </w:footnote>
  <w:footnote w:id="5">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L 122, 2019 5 10, p. 1</w:t>
      </w:r>
    </w:p>
  </w:footnote>
  <w:footnote w:id="6">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C, C/2023/594, 2023 10 27.</w:t>
      </w:r>
    </w:p>
  </w:footnote>
  <w:footnote w:id="7">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C, C/2023/112, 2023 10 12.</w:t>
      </w:r>
    </w:p>
  </w:footnote>
  <w:footnote w:id="8">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L 193, 2018 7 30, p. 1.</w:t>
      </w:r>
    </w:p>
  </w:footnote>
  <w:footnote w:id="9">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L 212, 2018 8 22, p. 1.</w:t>
      </w:r>
    </w:p>
  </w:footnote>
  <w:footnote w:id="10">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L 122, 2019 5 10, p. 1</w:t>
      </w:r>
    </w:p>
  </w:footnote>
  <w:footnote w:id="11">
    <w:p w:rsidR="00154A8C" w:rsidRPr="009750E6"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OL C 73, 2023 2 28, p. 25.</w:t>
      </w:r>
    </w:p>
  </w:footnote>
  <w:footnote w:id="12">
    <w:p w:rsidR="00154A8C" w:rsidRPr="006A476F" w:rsidRDefault="00154A8C" w:rsidP="006A476F">
      <w:pPr>
        <w:pStyle w:val="FootnoteText"/>
        <w:ind w:left="567" w:hanging="567"/>
        <w:rPr>
          <w:sz w:val="24"/>
          <w:lang w:val="lt-LT"/>
        </w:rPr>
      </w:pPr>
      <w:r w:rsidRPr="009750E6">
        <w:rPr>
          <w:rStyle w:val="FootnoteReference"/>
          <w:sz w:val="24"/>
          <w:lang w:val="lt-LT"/>
        </w:rPr>
        <w:footnoteRef/>
      </w:r>
      <w:r w:rsidR="006A476F" w:rsidRPr="009750E6">
        <w:rPr>
          <w:sz w:val="24"/>
          <w:lang w:val="lt-LT"/>
        </w:rPr>
        <w:t xml:space="preserve"> </w:t>
      </w:r>
      <w:r w:rsidR="006A476F" w:rsidRPr="009750E6">
        <w:rPr>
          <w:sz w:val="24"/>
          <w:lang w:val="lt-LT"/>
        </w:rPr>
        <w:tab/>
      </w:r>
      <w:r w:rsidRPr="009750E6">
        <w:rPr>
          <w:sz w:val="24"/>
          <w:lang w:val="lt-LT"/>
        </w:rPr>
        <w:t>Priimti tekstai, P9_TA(2024)0</w:t>
      </w:r>
      <w:r w:rsidR="007E76B6" w:rsidRPr="009750E6">
        <w:rPr>
          <w:sz w:val="24"/>
          <w:lang w:val="lt-LT"/>
        </w:rPr>
        <w:t>28</w:t>
      </w:r>
      <w:r w:rsidRPr="009750E6">
        <w:rPr>
          <w:sz w:val="24"/>
          <w:lang w:val="lt-LT"/>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76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76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A47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LT"/>
    <w:docVar w:name="dvnumam" w:val="0"/>
    <w:docVar w:name="dvpe" w:val="753.511"/>
    <w:docVar w:name="dvrapporteur" w:val="Pranešėjas: "/>
    <w:docVar w:name="dvtitre" w:val="1. 2024 m. balandzio 11 d. Europos Parlamento sprendimas dėl Europos Sąjungos aviacijos saugos agentūros 2022 finansinių metų biudžeto įvykdymo patvirtinimo(2023/2145(DEC))"/>
  </w:docVars>
  <w:rsids>
    <w:rsidRoot w:val="00BA00CC"/>
    <w:rsid w:val="00002272"/>
    <w:rsid w:val="00064002"/>
    <w:rsid w:val="0006698A"/>
    <w:rsid w:val="000677B9"/>
    <w:rsid w:val="000831BA"/>
    <w:rsid w:val="000A42CC"/>
    <w:rsid w:val="000A79A5"/>
    <w:rsid w:val="000D7D8C"/>
    <w:rsid w:val="000E7DD9"/>
    <w:rsid w:val="0010095E"/>
    <w:rsid w:val="00125B37"/>
    <w:rsid w:val="00154A8C"/>
    <w:rsid w:val="00164D5E"/>
    <w:rsid w:val="00187494"/>
    <w:rsid w:val="001F32AE"/>
    <w:rsid w:val="002767FF"/>
    <w:rsid w:val="00287DB6"/>
    <w:rsid w:val="002B18FE"/>
    <w:rsid w:val="002B5493"/>
    <w:rsid w:val="00311C4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2502"/>
    <w:rsid w:val="006631B6"/>
    <w:rsid w:val="00680577"/>
    <w:rsid w:val="00684C3C"/>
    <w:rsid w:val="006A476F"/>
    <w:rsid w:val="006A770C"/>
    <w:rsid w:val="006D1794"/>
    <w:rsid w:val="006F74FA"/>
    <w:rsid w:val="00731ADD"/>
    <w:rsid w:val="00734777"/>
    <w:rsid w:val="00747932"/>
    <w:rsid w:val="00751A4A"/>
    <w:rsid w:val="00756632"/>
    <w:rsid w:val="00762C74"/>
    <w:rsid w:val="00786EC0"/>
    <w:rsid w:val="007D1690"/>
    <w:rsid w:val="007D298D"/>
    <w:rsid w:val="007E22AD"/>
    <w:rsid w:val="007E76B6"/>
    <w:rsid w:val="007F1CFD"/>
    <w:rsid w:val="00813CA2"/>
    <w:rsid w:val="00817416"/>
    <w:rsid w:val="00842779"/>
    <w:rsid w:val="00847E3C"/>
    <w:rsid w:val="00865F67"/>
    <w:rsid w:val="00881A7B"/>
    <w:rsid w:val="008840E5"/>
    <w:rsid w:val="00887B3E"/>
    <w:rsid w:val="008C2AC6"/>
    <w:rsid w:val="008E176C"/>
    <w:rsid w:val="00930C23"/>
    <w:rsid w:val="0093193B"/>
    <w:rsid w:val="009509D8"/>
    <w:rsid w:val="00950B64"/>
    <w:rsid w:val="009750E6"/>
    <w:rsid w:val="00981893"/>
    <w:rsid w:val="009C621A"/>
    <w:rsid w:val="00A1687D"/>
    <w:rsid w:val="00A43E52"/>
    <w:rsid w:val="00A4678D"/>
    <w:rsid w:val="00A778C7"/>
    <w:rsid w:val="00AB441E"/>
    <w:rsid w:val="00AB6293"/>
    <w:rsid w:val="00AD65F0"/>
    <w:rsid w:val="00AE0928"/>
    <w:rsid w:val="00AF3B82"/>
    <w:rsid w:val="00B12E95"/>
    <w:rsid w:val="00B22876"/>
    <w:rsid w:val="00B25485"/>
    <w:rsid w:val="00B558F0"/>
    <w:rsid w:val="00BA00CC"/>
    <w:rsid w:val="00BD48FE"/>
    <w:rsid w:val="00BD7BD8"/>
    <w:rsid w:val="00BE6ADC"/>
    <w:rsid w:val="00C05BFE"/>
    <w:rsid w:val="00C23CD4"/>
    <w:rsid w:val="00C61C0C"/>
    <w:rsid w:val="00C941CB"/>
    <w:rsid w:val="00CC2357"/>
    <w:rsid w:val="00CF071A"/>
    <w:rsid w:val="00D00F29"/>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0A3"/>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0887C1"/>
  <w15:chartTrackingRefBased/>
  <w15:docId w15:val="{166A6471-BD34-42F7-82EB-B48484470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54A8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54A8C"/>
    <w:pPr>
      <w:spacing w:before="480" w:after="240"/>
    </w:pPr>
  </w:style>
  <w:style w:type="paragraph" w:customStyle="1" w:styleId="PageHeading">
    <w:name w:val="PageHeading"/>
    <w:basedOn w:val="Normal"/>
    <w:rsid w:val="00154A8C"/>
    <w:pPr>
      <w:keepNext/>
      <w:spacing w:after="480"/>
      <w:jc w:val="center"/>
    </w:pPr>
    <w:rPr>
      <w:rFonts w:ascii="Arial" w:hAnsi="Arial" w:cs="Arial"/>
      <w:b/>
    </w:rPr>
  </w:style>
  <w:style w:type="paragraph" w:customStyle="1" w:styleId="NormalBold">
    <w:name w:val="NormalBold"/>
    <w:basedOn w:val="Normal"/>
    <w:rsid w:val="00154A8C"/>
    <w:rPr>
      <w:b/>
    </w:rPr>
  </w:style>
  <w:style w:type="paragraph" w:customStyle="1" w:styleId="NormalHanging12a">
    <w:name w:val="NormalHanging12a"/>
    <w:basedOn w:val="Normal"/>
    <w:link w:val="NormalHanging12aChar"/>
    <w:rsid w:val="00154A8C"/>
    <w:pPr>
      <w:spacing w:after="240"/>
      <w:ind w:left="567" w:hanging="567"/>
    </w:pPr>
  </w:style>
  <w:style w:type="paragraph" w:customStyle="1" w:styleId="NormalCenter12a">
    <w:name w:val="NormalCenter12a"/>
    <w:basedOn w:val="Normal"/>
    <w:rsid w:val="00154A8C"/>
    <w:pPr>
      <w:spacing w:after="240"/>
      <w:jc w:val="center"/>
    </w:pPr>
  </w:style>
  <w:style w:type="paragraph" w:styleId="Header">
    <w:name w:val="header"/>
    <w:basedOn w:val="Normal"/>
    <w:link w:val="HeaderChar"/>
    <w:rsid w:val="00154A8C"/>
    <w:pPr>
      <w:tabs>
        <w:tab w:val="center" w:pos="4513"/>
        <w:tab w:val="right" w:pos="9026"/>
      </w:tabs>
    </w:pPr>
  </w:style>
  <w:style w:type="character" w:customStyle="1" w:styleId="HeaderChar">
    <w:name w:val="Header Char"/>
    <w:basedOn w:val="DefaultParagraphFont"/>
    <w:link w:val="Header"/>
    <w:rsid w:val="00154A8C"/>
    <w:rPr>
      <w:sz w:val="24"/>
      <w:lang w:val="lt-LT"/>
    </w:rPr>
  </w:style>
  <w:style w:type="paragraph" w:customStyle="1" w:styleId="EPFooter">
    <w:name w:val="EPFooter"/>
    <w:basedOn w:val="Normal"/>
    <w:rsid w:val="00154A8C"/>
    <w:pPr>
      <w:tabs>
        <w:tab w:val="center" w:pos="4535"/>
        <w:tab w:val="right" w:pos="9071"/>
      </w:tabs>
      <w:spacing w:before="240" w:after="240"/>
    </w:pPr>
    <w:rPr>
      <w:color w:val="010000"/>
      <w:sz w:val="22"/>
    </w:rPr>
  </w:style>
  <w:style w:type="paragraph" w:customStyle="1" w:styleId="Default">
    <w:name w:val="Default"/>
    <w:rsid w:val="00154A8C"/>
    <w:pPr>
      <w:autoSpaceDE w:val="0"/>
      <w:autoSpaceDN w:val="0"/>
      <w:adjustRightInd w:val="0"/>
    </w:pPr>
    <w:rPr>
      <w:rFonts w:ascii="Calibri" w:hAnsi="Calibri" w:cs="Calibri"/>
      <w:color w:val="000000"/>
      <w:sz w:val="24"/>
      <w:szCs w:val="24"/>
      <w:lang w:val="lt-LT"/>
    </w:rPr>
  </w:style>
  <w:style w:type="character" w:customStyle="1" w:styleId="NormalHanging12aChar">
    <w:name w:val="NormalHanging12a Char"/>
    <w:basedOn w:val="DefaultParagraphFont"/>
    <w:link w:val="NormalHanging12a"/>
    <w:rsid w:val="00154A8C"/>
    <w:rPr>
      <w:sz w:val="24"/>
      <w:lang w:val="lt-LT"/>
    </w:rPr>
  </w:style>
  <w:style w:type="paragraph" w:styleId="BalloonText">
    <w:name w:val="Balloon Text"/>
    <w:basedOn w:val="Normal"/>
    <w:link w:val="BalloonTextChar"/>
    <w:rsid w:val="008E176C"/>
    <w:rPr>
      <w:rFonts w:ascii="Segoe UI" w:hAnsi="Segoe UI" w:cs="Segoe UI"/>
      <w:sz w:val="18"/>
      <w:szCs w:val="18"/>
    </w:rPr>
  </w:style>
  <w:style w:type="character" w:customStyle="1" w:styleId="BalloonTextChar">
    <w:name w:val="Balloon Text Char"/>
    <w:basedOn w:val="DefaultParagraphFont"/>
    <w:link w:val="BalloonText"/>
    <w:rsid w:val="008E176C"/>
    <w:rPr>
      <w:rFonts w:ascii="Segoe UI" w:hAnsi="Segoe UI" w:cs="Segoe UI"/>
      <w:sz w:val="18"/>
      <w:szCs w:val="18"/>
      <w:lang w:val="lt-LT"/>
    </w:rPr>
  </w:style>
  <w:style w:type="paragraph" w:styleId="Footer">
    <w:name w:val="footer"/>
    <w:basedOn w:val="Normal"/>
    <w:link w:val="FooterChar"/>
    <w:rsid w:val="009750E6"/>
    <w:pPr>
      <w:tabs>
        <w:tab w:val="center" w:pos="4513"/>
        <w:tab w:val="right" w:pos="9026"/>
      </w:tabs>
    </w:pPr>
  </w:style>
  <w:style w:type="character" w:customStyle="1" w:styleId="FooterChar">
    <w:name w:val="Footer Char"/>
    <w:basedOn w:val="DefaultParagraphFont"/>
    <w:link w:val="Footer"/>
    <w:rsid w:val="009750E6"/>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80D05-62FF-4160-A01A-A8D1D89E9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3796</Words>
  <Characters>22777</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2024-05-14T20:46:00Z</dcterms:created>
  <dcterms:modified xsi:type="dcterms:W3CDTF">2024-05-14T20:46:00Z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P9_TA(2024)0249_</vt:lpwstr>
  </property>
  <property fmtid="{D5CDD505-2E9C-101B-9397-08002B2CF9AE}" pid="4" name="&lt;Type&gt;">
    <vt:lpwstr>RR</vt:lpwstr>
  </property>
</Properties>
</file>