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F361E" w:rsidRPr="00EC73EC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5F361E" w:rsidRPr="00EC73EC" w:rsidRDefault="00475999">
            <w:pPr>
              <w:pStyle w:val="EPName"/>
            </w:pPr>
            <w:r w:rsidRPr="00EC73EC">
              <w:t>Európsky parlament</w:t>
            </w:r>
          </w:p>
          <w:p w:rsidR="005F361E" w:rsidRPr="00EC73EC" w:rsidRDefault="00475999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73E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5F361E" w:rsidRPr="00EC73EC" w:rsidRDefault="00475999">
            <w:pPr>
              <w:pStyle w:val="EPLogo"/>
            </w:pPr>
            <w:r w:rsidRPr="00EC73E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F361E" w:rsidRPr="00EC73EC" w:rsidRDefault="005F361E">
      <w:pPr>
        <w:pStyle w:val="LineTop"/>
      </w:pPr>
    </w:p>
    <w:p w:rsidR="005F361E" w:rsidRPr="00EC73EC" w:rsidRDefault="00475999">
      <w:pPr>
        <w:pStyle w:val="EPBodyTA1"/>
      </w:pPr>
      <w:r w:rsidRPr="00EC73EC">
        <w:t>PRIJATÉ TEXTY</w:t>
      </w:r>
    </w:p>
    <w:p w:rsidR="005F361E" w:rsidRPr="00EC73EC" w:rsidRDefault="005F361E">
      <w:pPr>
        <w:pStyle w:val="LineBottom"/>
      </w:pPr>
    </w:p>
    <w:p w:rsidR="005F361E" w:rsidRPr="00EC73EC" w:rsidRDefault="00475999">
      <w:pPr>
        <w:pStyle w:val="ATHeading1"/>
      </w:pPr>
      <w:bookmarkStart w:id="0" w:name="TANumber"/>
      <w:r w:rsidRPr="00EC73EC">
        <w:t>P9_TA(2024)0</w:t>
      </w:r>
      <w:r w:rsidR="00B241FC" w:rsidRPr="00EC73EC">
        <w:t>2</w:t>
      </w:r>
      <w:bookmarkEnd w:id="0"/>
      <w:r w:rsidR="00A679D8" w:rsidRPr="00EC73EC">
        <w:t>49</w:t>
      </w:r>
    </w:p>
    <w:p w:rsidR="005F361E" w:rsidRPr="00EC73EC" w:rsidRDefault="00475999">
      <w:pPr>
        <w:pStyle w:val="ATHeading2"/>
      </w:pPr>
      <w:bookmarkStart w:id="1" w:name="title"/>
      <w:r w:rsidRPr="00EC73EC">
        <w:t>Absolutórium za rok 2022: Agentúra Európskej únie pre bezpečnosť letectva</w:t>
      </w:r>
      <w:bookmarkEnd w:id="1"/>
    </w:p>
    <w:p w:rsidR="005F361E" w:rsidRPr="00EC73EC" w:rsidRDefault="00475999">
      <w:pPr>
        <w:rPr>
          <w:i/>
          <w:vanish/>
        </w:rPr>
      </w:pPr>
      <w:r w:rsidRPr="00EC73EC">
        <w:rPr>
          <w:i/>
        </w:rPr>
        <w:fldChar w:fldCharType="begin"/>
      </w:r>
      <w:r w:rsidRPr="00EC73EC">
        <w:rPr>
          <w:i/>
        </w:rPr>
        <w:instrText xml:space="preserve"> TC"(</w:instrText>
      </w:r>
      <w:bookmarkStart w:id="2" w:name="DocNumber"/>
      <w:r w:rsidRPr="00EC73EC">
        <w:rPr>
          <w:i/>
        </w:rPr>
        <w:instrText>A9-0116/2024</w:instrText>
      </w:r>
      <w:bookmarkEnd w:id="2"/>
      <w:r w:rsidRPr="00EC73EC">
        <w:rPr>
          <w:i/>
        </w:rPr>
        <w:instrText xml:space="preserve"> - Spravodajca: Petri Sarvamaa)"\l3 \n&gt; \* MERGEFORMAT </w:instrText>
      </w:r>
      <w:r w:rsidRPr="00EC73EC">
        <w:rPr>
          <w:i/>
        </w:rPr>
        <w:fldChar w:fldCharType="end"/>
      </w:r>
    </w:p>
    <w:p w:rsidR="005F361E" w:rsidRPr="00EC73EC" w:rsidRDefault="00475999">
      <w:pPr>
        <w:rPr>
          <w:vanish/>
        </w:rPr>
      </w:pPr>
      <w:bookmarkStart w:id="3" w:name="Commission"/>
      <w:r w:rsidRPr="00EC73EC">
        <w:rPr>
          <w:vanish/>
        </w:rPr>
        <w:t>Výbor pre kontrolu rozpočtu</w:t>
      </w:r>
      <w:bookmarkEnd w:id="3"/>
    </w:p>
    <w:p w:rsidR="005F361E" w:rsidRPr="00EC73EC" w:rsidRDefault="00475999">
      <w:pPr>
        <w:rPr>
          <w:vanish/>
        </w:rPr>
      </w:pPr>
      <w:bookmarkStart w:id="4" w:name="PE"/>
      <w:r w:rsidRPr="00EC73EC">
        <w:rPr>
          <w:vanish/>
        </w:rPr>
        <w:t>PE753.511</w:t>
      </w:r>
      <w:bookmarkEnd w:id="4"/>
    </w:p>
    <w:p w:rsidR="005F361E" w:rsidRPr="00EC73EC" w:rsidRDefault="00475999">
      <w:pPr>
        <w:pStyle w:val="ATHeading3"/>
      </w:pPr>
      <w:bookmarkStart w:id="5" w:name="Sujet"/>
      <w:r w:rsidRPr="00EC73EC">
        <w:t>1. Rozhodnutie Európskeho parlamentu z 11. apríla 2024 o absolutóriu za plnenie rozpočtu Agentúry Európskej únie pre bezpečnosť letectva za rozpočtový rok 2022</w:t>
      </w:r>
      <w:bookmarkEnd w:id="5"/>
      <w:r w:rsidRPr="00EC73EC">
        <w:t xml:space="preserve"> </w:t>
      </w:r>
      <w:bookmarkStart w:id="6" w:name="References"/>
      <w:r w:rsidRPr="00EC73EC">
        <w:t>(2023/2145(DEC))</w:t>
      </w:r>
      <w:bookmarkEnd w:id="6"/>
    </w:p>
    <w:p w:rsidR="005F361E" w:rsidRPr="00EC73EC" w:rsidRDefault="00475999">
      <w:pPr>
        <w:pStyle w:val="EPComma"/>
      </w:pPr>
      <w:bookmarkStart w:id="7" w:name="TextBodyBegin"/>
      <w:bookmarkEnd w:id="7"/>
      <w:r w:rsidRPr="00EC73EC">
        <w:rPr>
          <w:i/>
        </w:rPr>
        <w:t>Európsky parlament</w:t>
      </w:r>
      <w:r w:rsidRPr="00EC73EC">
        <w:t>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>so zreteľom na konečnú ročnú účtovnú závierku Agentúry Európskej únie pre bezpečnosť letectva za rozpočtový rok 2022,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>so zreteľom na výročnú správu Dvora audítorov o agentúrach EÚ za rozpočtový rok 2022 spolu s odpoveďami agentúr</w:t>
      </w:r>
      <w:r w:rsidRPr="00EC73EC">
        <w:rPr>
          <w:rStyle w:val="FootnoteReference"/>
        </w:rPr>
        <w:footnoteReference w:id="1"/>
      </w:r>
      <w:r w:rsidRPr="00EC73EC">
        <w:t>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>so zreteľom na vyhlásenie o vierohodnosti</w:t>
      </w:r>
      <w:r w:rsidRPr="00EC73EC">
        <w:rPr>
          <w:rStyle w:val="FootnoteReference"/>
        </w:rPr>
        <w:footnoteReference w:id="2"/>
      </w:r>
      <w:r w:rsidRPr="00EC73EC">
        <w:t xml:space="preserve"> vedenia účtov a zákonnosti a správnosti príslušných operácií, ktoré poskytol Dvor audítorov za rozpočtový rok 2022 v súlade s článkom 287 Zmluvy o fungovaní Európskej únie,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>so zreteľom na odporúčanie Rady z 22. februára 2024 o udelení absolutória agentúre za plnenie rozpočtu za rozpočtový rok 2022 (06180/2024 – C9</w:t>
      </w:r>
      <w:r w:rsidRPr="00EC73EC">
        <w:noBreakHyphen/>
        <w:t>0083/2024),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>so zreteľom na článok 319 Zmluvy o fungovaní Európskej únie,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 xml:space="preserve">so zreteľom na nariadenie Európskeho parlamentu a Rady (EÚ, </w:t>
      </w:r>
      <w:proofErr w:type="spellStart"/>
      <w:r w:rsidRPr="00EC73EC">
        <w:t>Euratom</w:t>
      </w:r>
      <w:proofErr w:type="spellEnd"/>
      <w:r w:rsidRPr="00EC73EC">
        <w:t xml:space="preserve">) 2018/1046 z 18. júla 2018 o rozpočtových pravidlách, ktoré sa vzťahujú na všeobecný rozpočet Únie, o zmene nariadení (EÚ) č. 1296/2013, (EÚ) č. 1301/2013, (EÚ) č. 1303/2013, (EÚ) č. 1304/2013, (EÚ) č. 1309/2013, (EÚ) č. 1316/2013, (EÚ) č. 223/2014, (EÚ) č. 283/2014 a rozhodnutia č. 541/2014/EÚ a o zrušení nariadenia (EÚ, </w:t>
      </w:r>
      <w:proofErr w:type="spellStart"/>
      <w:r w:rsidRPr="00EC73EC">
        <w:t>Euratom</w:t>
      </w:r>
      <w:proofErr w:type="spellEnd"/>
      <w:r w:rsidRPr="00EC73EC">
        <w:t>) č. 966/2012</w:t>
      </w:r>
      <w:r w:rsidRPr="00EC73EC">
        <w:rPr>
          <w:rStyle w:val="FootnoteReference"/>
        </w:rPr>
        <w:footnoteReference w:id="3"/>
      </w:r>
      <w:r w:rsidRPr="00EC73EC">
        <w:t>, a najmä na jeho článok 70,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 xml:space="preserve">so zreteľom na nariadenie Európskeho parlamentu a Rady (EÚ) 2018/1139 zo 4. júla 2018 o spoločných pravidlách v oblasti civilného letectva, ktorým sa zriaďuje Agentúra </w:t>
      </w:r>
      <w:r w:rsidRPr="00EC73EC">
        <w:lastRenderedPageBreak/>
        <w:t>Európskej únie pre bezpečnosť letectva a ktorým sa menia nariadenia Európskeho parlamentu a Rady (ES) č. 2111/2005, (ES) č. 1008/2008, (EÚ) č. 996/2010, (EÚ) č. 376/2014 a smernice Európskeho parlamentu a Rady 2014/30/EÚ a 2014/53/EÚ a zrušujú nariadenia Európskeho parlamentu a Rady (ES) č. 552/2004 a (ES) č. 216/2008 a nariadenie Rady (EHS) č. 3922/91</w:t>
      </w:r>
      <w:r w:rsidRPr="00EC73EC">
        <w:rPr>
          <w:rStyle w:val="FootnoteReference"/>
        </w:rPr>
        <w:footnoteReference w:id="4"/>
      </w:r>
      <w:r w:rsidRPr="00EC73EC">
        <w:t>, a najmä na jeho článok 121,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>so zreteľom na delegované nariadenie Komisie (EÚ) 2019/715 z 18. decembra 2018 o rámcovom nariadení o rozpočtových pravidlách pre subjekty zriadené podľa ZFEÚ a Zmluvy o </w:t>
      </w:r>
      <w:proofErr w:type="spellStart"/>
      <w:r w:rsidRPr="00EC73EC">
        <w:t>Euratome</w:t>
      </w:r>
      <w:proofErr w:type="spellEnd"/>
      <w:r w:rsidRPr="00EC73EC">
        <w:t xml:space="preserve"> a uvedené v článku 70 nariadenia Európskeho par</w:t>
      </w:r>
      <w:r w:rsidR="00BE271A">
        <w:t xml:space="preserve">lamentu a Rady (EÚ, </w:t>
      </w:r>
      <w:proofErr w:type="spellStart"/>
      <w:r w:rsidR="00BE271A">
        <w:t>Euratom</w:t>
      </w:r>
      <w:proofErr w:type="spellEnd"/>
      <w:r w:rsidR="00BE271A">
        <w:t xml:space="preserve">) </w:t>
      </w:r>
      <w:r w:rsidRPr="00EC73EC">
        <w:t>2018/1046</w:t>
      </w:r>
      <w:r w:rsidRPr="00EC73EC">
        <w:rPr>
          <w:rStyle w:val="FootnoteReference"/>
        </w:rPr>
        <w:footnoteReference w:id="5"/>
      </w:r>
      <w:r w:rsidRPr="00EC73EC">
        <w:t>, a najmä na jeho článok 105,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>so zreteľom na článok 100 a prílohu V k rokovaciemu poriadku,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>so zreteľom na stanovisko Výboru pre dopravu a cestovný ruch,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>so zreteľom na správu Výboru pre kontrolu rozpočtu (A9-0116/2024),</w:t>
      </w:r>
    </w:p>
    <w:p w:rsidR="005F361E" w:rsidRPr="00EC73EC" w:rsidRDefault="00475999">
      <w:pPr>
        <w:pStyle w:val="NormalHanging12a"/>
      </w:pPr>
      <w:r w:rsidRPr="00EC73EC">
        <w:t>1.</w:t>
      </w:r>
      <w:r w:rsidRPr="00EC73EC">
        <w:tab/>
        <w:t>udeľuje úradujúcemu výkonnému riaditeľovi Agentúry Európskej únie pre bezpečnosť letectva absolutórium za plnenie rozpočtu agentúry za rozpočtový rok 2022;</w:t>
      </w:r>
    </w:p>
    <w:p w:rsidR="005F361E" w:rsidRPr="00EC73EC" w:rsidRDefault="00475999">
      <w:pPr>
        <w:pStyle w:val="NormalHanging12a"/>
      </w:pPr>
      <w:r w:rsidRPr="00EC73EC">
        <w:t>2.</w:t>
      </w:r>
      <w:r w:rsidRPr="00EC73EC">
        <w:tab/>
        <w:t>uvádza svoje poznámky v priloženom uznesení;</w:t>
      </w:r>
    </w:p>
    <w:p w:rsidR="005F361E" w:rsidRPr="00EC73EC" w:rsidRDefault="00475999">
      <w:pPr>
        <w:pStyle w:val="NormalHanging12a"/>
      </w:pPr>
      <w:r w:rsidRPr="00EC73EC">
        <w:t>3.</w:t>
      </w:r>
      <w:r w:rsidRPr="00EC73EC">
        <w:tab/>
        <w:t>poveruje svoju predsedníčku, aby postúpila toto rozhodnutie a uznesenie, ktoré je jeho neoddeliteľnou súčasťou, úradujúcemu výkonnému riaditeľovi Agentúry Európskej únie pre bezpečnosť letectva, Rade, Komisii a Dvoru audítorov a aby zabezpečila ich uverejnenie v </w:t>
      </w:r>
      <w:r w:rsidRPr="00EC73EC">
        <w:rPr>
          <w:i/>
          <w:iCs/>
        </w:rPr>
        <w:t>Úradnom vestníku Európskej únie</w:t>
      </w:r>
      <w:r w:rsidRPr="00EC73EC">
        <w:t xml:space="preserve"> (v sérii L).</w:t>
      </w:r>
    </w:p>
    <w:p w:rsidR="005F361E" w:rsidRPr="00EC73EC" w:rsidRDefault="005F361E"/>
    <w:p w:rsidR="005F361E" w:rsidRPr="00EC73EC" w:rsidRDefault="005F361E">
      <w:pPr>
        <w:widowControl/>
        <w:rPr>
          <w:rFonts w:ascii="Arial" w:hAnsi="Arial" w:cs="Arial"/>
          <w:b/>
        </w:rPr>
        <w:sectPr w:rsidR="005F361E" w:rsidRPr="00EC73EC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5F361E" w:rsidRPr="00EC73EC" w:rsidRDefault="00475999">
      <w:pPr>
        <w:pStyle w:val="NormalBold"/>
      </w:pPr>
      <w:r w:rsidRPr="00EC73EC">
        <w:lastRenderedPageBreak/>
        <w:t>2. Rozhodnutie Európskeho parlamentu z 11. apríla 2024 o účtovnej závierke Agentúry Európskej únie pre bezpečnosť letectva za rozpočtový rok 2022 (2023/2145(DEC))</w:t>
      </w:r>
    </w:p>
    <w:p w:rsidR="005F361E" w:rsidRPr="00EC73EC" w:rsidRDefault="00475999">
      <w:pPr>
        <w:pStyle w:val="EPComma"/>
      </w:pPr>
      <w:r w:rsidRPr="00EC73EC">
        <w:rPr>
          <w:i/>
        </w:rPr>
        <w:t>Európsky parlament</w:t>
      </w:r>
      <w:r w:rsidRPr="00EC73EC">
        <w:t>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>so zreteľom na konečnú ročnú účtovnú závierku Agentúry Európskej únie pre bezpečnosť letectva za rozpočtový rok 2022,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>so zreteľom na výročnú správu Dvora audítorov o agentúrach EÚ za rozpočtový rok 2022 spolu s odpoveďami agentúr</w:t>
      </w:r>
      <w:r w:rsidRPr="00EC73EC">
        <w:rPr>
          <w:rStyle w:val="FootnoteReference"/>
        </w:rPr>
        <w:footnoteReference w:id="6"/>
      </w:r>
      <w:r w:rsidRPr="00EC73EC">
        <w:t>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>so zreteľom na vyhlásenie o vierohodnosti</w:t>
      </w:r>
      <w:r w:rsidRPr="00EC73EC">
        <w:rPr>
          <w:rStyle w:val="FootnoteReference"/>
        </w:rPr>
        <w:footnoteReference w:id="7"/>
      </w:r>
      <w:r w:rsidRPr="00EC73EC">
        <w:t xml:space="preserve"> vedenia účtov a zákonnosti a správnosti príslušných operácií, ktoré poskytol Dvor audítorov za rozpočtový rok 2022 v súlade s článkom 287 Zmluvy o fungovaní Európskej únie,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>so zreteľom na odporúčanie Rady z 22. februára 2024 o udelení absolutória agentúre za plnenie rozpočtu za rozpočtový rok 2022 (06180/2024 – C9</w:t>
      </w:r>
      <w:r w:rsidRPr="00EC73EC">
        <w:noBreakHyphen/>
        <w:t>0083/2024),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>so zreteľom na článok 319 Zmluvy o fungovaní Európskej únie,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 xml:space="preserve">so zreteľom na nariadenie Európskeho parlamentu a Rady (EÚ, </w:t>
      </w:r>
      <w:proofErr w:type="spellStart"/>
      <w:r w:rsidRPr="00EC73EC">
        <w:t>Euratom</w:t>
      </w:r>
      <w:proofErr w:type="spellEnd"/>
      <w:r w:rsidRPr="00EC73EC">
        <w:t xml:space="preserve">) 2018/1046 z 18. júla 2018 o rozpočtových pravidlách, ktoré sa vzťahujú na všeobecný rozpočet Únie, o zmene nariadení (EÚ) č. 1296/2013, (EÚ) č. 1301/2013, (EÚ) č. 1303/2013, (EÚ) č. 1304/2013, (EÚ) č. 1309/2013, (EÚ) č. 1316/2013, (EÚ) č. 223/2014, (EÚ) č. 283/2014 a rozhodnutia č. 541/2014/EÚ a o zrušení nariadenia (EÚ, </w:t>
      </w:r>
      <w:proofErr w:type="spellStart"/>
      <w:r w:rsidRPr="00EC73EC">
        <w:t>Euratom</w:t>
      </w:r>
      <w:proofErr w:type="spellEnd"/>
      <w:r w:rsidRPr="00EC73EC">
        <w:t>) č. 966/2012</w:t>
      </w:r>
      <w:r w:rsidRPr="00EC73EC">
        <w:rPr>
          <w:rStyle w:val="FootnoteReference"/>
        </w:rPr>
        <w:footnoteReference w:id="8"/>
      </w:r>
      <w:r w:rsidRPr="00EC73EC">
        <w:t>, a najmä na jeho článok 70,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>so zreteľom na nariadenie Európskeho parlamentu a Rady (EÚ) 2018/1139 zo 4. júla 2018 o spoločných pravidlách v oblasti civilného letectva, ktorým sa zriaďuje Agentúra Európskej únie pre bezpečnosť letectva a ktorým sa menia nariadenia Európskeho parlamentu a Rady (ES) č. 2111/2005, (ES) č. 1008/2008, (EÚ) č. 996/2010, (EÚ) č. 376/2014 a smernice Európskeho parlamentu a Rady 2014/30/EÚ a 2014/53/EÚ a zrušujú nariadenia Európskeho parlamentu a Rady (ES) č. 552/2004 a (ES) č. 216/2008 a nariadenie Rady (EHS) č. 3922/91</w:t>
      </w:r>
      <w:r w:rsidRPr="00EC73EC">
        <w:rPr>
          <w:rStyle w:val="FootnoteReference"/>
        </w:rPr>
        <w:footnoteReference w:id="9"/>
      </w:r>
      <w:r w:rsidRPr="00EC73EC">
        <w:t>, a najmä na jeho článok 121,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>so zreteľom na delegované nariadenie Komisie (EÚ) 2019/715 z 18. decembra 2018 o rámcovom nariadení o rozpočtových pravidlách pre subjekty zriadené podľa ZFEÚ a Zmluvy o </w:t>
      </w:r>
      <w:proofErr w:type="spellStart"/>
      <w:r w:rsidRPr="00EC73EC">
        <w:t>Euratome</w:t>
      </w:r>
      <w:proofErr w:type="spellEnd"/>
      <w:r w:rsidRPr="00EC73EC">
        <w:t xml:space="preserve"> a uvedené v článku 70 nariadenia Európskeho par</w:t>
      </w:r>
      <w:r w:rsidR="00BE271A">
        <w:t xml:space="preserve">lamentu a Rady (EÚ, </w:t>
      </w:r>
      <w:proofErr w:type="spellStart"/>
      <w:r w:rsidR="00BE271A">
        <w:t>Euratom</w:t>
      </w:r>
      <w:proofErr w:type="spellEnd"/>
      <w:r w:rsidR="00BE271A">
        <w:t xml:space="preserve">) </w:t>
      </w:r>
      <w:bookmarkStart w:id="8" w:name="_GoBack"/>
      <w:bookmarkEnd w:id="8"/>
      <w:r w:rsidRPr="00EC73EC">
        <w:t>2018/1046</w:t>
      </w:r>
      <w:r w:rsidRPr="00EC73EC">
        <w:rPr>
          <w:rStyle w:val="FootnoteReference"/>
        </w:rPr>
        <w:footnoteReference w:id="10"/>
      </w:r>
      <w:r w:rsidRPr="00EC73EC">
        <w:t>, a najmä na jeho článok 105,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>so zreteľom na článok 100 a prílohu V k rokovaciemu poriadku,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>so zreteľom na stanovisko Výboru pre dopravu a cestovný ruch,</w:t>
      </w:r>
    </w:p>
    <w:p w:rsidR="005F361E" w:rsidRPr="00EC73EC" w:rsidRDefault="00475999">
      <w:pPr>
        <w:pStyle w:val="NormalHanging12a"/>
      </w:pPr>
      <w:r w:rsidRPr="00EC73EC">
        <w:t>–</w:t>
      </w:r>
      <w:r w:rsidRPr="00EC73EC">
        <w:tab/>
        <w:t>so zreteľom na správu Výboru pre kontrolu rozpočtu (A9-0116/2024),</w:t>
      </w:r>
    </w:p>
    <w:p w:rsidR="005F361E" w:rsidRPr="00EC73EC" w:rsidRDefault="00475999">
      <w:pPr>
        <w:pStyle w:val="NormalHanging12a"/>
      </w:pPr>
      <w:r w:rsidRPr="00EC73EC">
        <w:lastRenderedPageBreak/>
        <w:t>1.</w:t>
      </w:r>
      <w:r w:rsidRPr="00EC73EC">
        <w:tab/>
        <w:t>schvaľuje účtovnú závierku Agentúry Európskej únie pre bezpečnosť letectva za rozpočtový rok 2022;</w:t>
      </w:r>
    </w:p>
    <w:p w:rsidR="005F361E" w:rsidRPr="00EC73EC" w:rsidRDefault="00475999">
      <w:pPr>
        <w:pStyle w:val="NormalHanging12a"/>
      </w:pPr>
      <w:r w:rsidRPr="00EC73EC">
        <w:t>2.</w:t>
      </w:r>
      <w:r w:rsidRPr="00EC73EC">
        <w:tab/>
        <w:t>poveruje svoju predsedníčku, aby postúpila toto rozhodnutie úradujúcemu výkonnému riaditeľovi Agentúry Európskej únie pre bezpečnosť letectva, Rade, Komisii a Dvoru audítorov a aby zabezpečila jeho uverejnenie v </w:t>
      </w:r>
      <w:r w:rsidRPr="00EC73EC">
        <w:rPr>
          <w:i/>
          <w:iCs/>
        </w:rPr>
        <w:t>Úradnom vestníku Európskej únie</w:t>
      </w:r>
      <w:r w:rsidRPr="00EC73EC">
        <w:t xml:space="preserve"> (v sérii L).</w:t>
      </w:r>
    </w:p>
    <w:p w:rsidR="005F361E" w:rsidRPr="00EC73EC" w:rsidRDefault="005F361E"/>
    <w:p w:rsidR="005F361E" w:rsidRPr="00EC73EC" w:rsidRDefault="005F361E">
      <w:pPr>
        <w:widowControl/>
        <w:rPr>
          <w:rFonts w:ascii="Arial" w:hAnsi="Arial" w:cs="Arial"/>
          <w:b/>
        </w:rPr>
        <w:sectPr w:rsidR="005F361E" w:rsidRPr="00EC73EC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5F361E" w:rsidRPr="00EC73EC" w:rsidRDefault="00475999">
      <w:pPr>
        <w:pStyle w:val="NormalBold"/>
      </w:pPr>
      <w:r w:rsidRPr="00EC73EC">
        <w:lastRenderedPageBreak/>
        <w:t>3. Uznesenie Európskeho parlamentu z 11. apríla 2024 s poznámkami, ktoré je neoddeliteľnou súčasťou rozhodnutia o absolutóriu za plnenie rozpočtu Agentúry Európskej únie pre bezpečnosť letectva za rozpočtový rok 2022 (2023/2145(DEC))</w:t>
      </w:r>
    </w:p>
    <w:p w:rsidR="005F361E" w:rsidRPr="00EC73EC" w:rsidRDefault="00475999">
      <w:pPr>
        <w:pStyle w:val="EPComma"/>
        <w:rPr>
          <w:szCs w:val="24"/>
        </w:rPr>
      </w:pPr>
      <w:r w:rsidRPr="00EC73EC">
        <w:rPr>
          <w:i/>
        </w:rPr>
        <w:t>Európsky parlament</w:t>
      </w:r>
      <w:r w:rsidRPr="00EC73EC">
        <w:t>,</w:t>
      </w:r>
    </w:p>
    <w:p w:rsidR="005F361E" w:rsidRPr="00EC73EC" w:rsidRDefault="00475999">
      <w:pPr>
        <w:pStyle w:val="NormalHanging12a"/>
        <w:rPr>
          <w:szCs w:val="24"/>
        </w:rPr>
      </w:pPr>
      <w:r w:rsidRPr="00EC73EC">
        <w:t>–</w:t>
      </w:r>
      <w:r w:rsidRPr="00EC73EC">
        <w:tab/>
        <w:t>so zreteľom na svoje rozhodnutie o absolutóriu za plnenie rozpočtu Agentúry Európskej únie pre bezpečnosť letectva za rozpočtový rok 2022,</w:t>
      </w:r>
    </w:p>
    <w:p w:rsidR="005F361E" w:rsidRPr="00EC73EC" w:rsidRDefault="00475999">
      <w:pPr>
        <w:pStyle w:val="NormalHanging12a"/>
        <w:rPr>
          <w:szCs w:val="24"/>
        </w:rPr>
      </w:pPr>
      <w:r w:rsidRPr="00EC73EC">
        <w:t>–</w:t>
      </w:r>
      <w:r w:rsidRPr="00EC73EC">
        <w:tab/>
        <w:t>so zreteľom na článok 100 a prílohu V k rokovaciemu poriadku,</w:t>
      </w:r>
    </w:p>
    <w:p w:rsidR="005F361E" w:rsidRPr="00EC73EC" w:rsidRDefault="00475999">
      <w:pPr>
        <w:pStyle w:val="NormalHanging12a"/>
        <w:rPr>
          <w:szCs w:val="24"/>
        </w:rPr>
      </w:pPr>
      <w:r w:rsidRPr="00EC73EC">
        <w:t>–</w:t>
      </w:r>
      <w:r w:rsidRPr="00EC73EC">
        <w:tab/>
        <w:t>so zreteľom na stanovisko Výboru pre dopravu a cestovný ruch,</w:t>
      </w:r>
    </w:p>
    <w:p w:rsidR="005F361E" w:rsidRPr="00EC73EC" w:rsidRDefault="00475999">
      <w:pPr>
        <w:pStyle w:val="NormalHanging12a"/>
        <w:rPr>
          <w:szCs w:val="24"/>
        </w:rPr>
      </w:pPr>
      <w:r w:rsidRPr="00EC73EC">
        <w:t>–</w:t>
      </w:r>
      <w:r w:rsidRPr="00EC73EC">
        <w:tab/>
        <w:t>so zreteľom na správu Výboru pre kontrolu rozpočtu (A9-0116/2024),</w:t>
      </w:r>
    </w:p>
    <w:p w:rsidR="005F361E" w:rsidRPr="00EC73EC" w:rsidRDefault="00475999">
      <w:pPr>
        <w:spacing w:after="240"/>
        <w:ind w:left="567" w:hanging="567"/>
        <w:rPr>
          <w:szCs w:val="24"/>
        </w:rPr>
      </w:pPr>
      <w:r w:rsidRPr="00EC73EC">
        <w:t>A.</w:t>
      </w:r>
      <w:r w:rsidRPr="00EC73EC">
        <w:tab/>
        <w:t>keďže podľa výkazu príjmov a výdavkov</w:t>
      </w:r>
      <w:r w:rsidRPr="00EC73EC">
        <w:rPr>
          <w:szCs w:val="24"/>
          <w:vertAlign w:val="superscript"/>
        </w:rPr>
        <w:footnoteReference w:id="11"/>
      </w:r>
      <w:r w:rsidRPr="00EC73EC">
        <w:t xml:space="preserve"> bol konečný rozpočet Agentúry Európskej únie pre bezpečnosť letectva (ďalej len „agentúra“) na rozpočtový rok 2022 na úrovni 224 265 965 EUR, čo v porovnaní s rokom 2021 predstavuje zvýšenie o 10,04 %; keďže 39 678 000 EUR z rozpočtu agentúry pochádza z rozpočtu Únie a 120 435 031 EUR z príjmov z poplatkov a úhrad;</w:t>
      </w:r>
    </w:p>
    <w:p w:rsidR="005F361E" w:rsidRPr="00EC73EC" w:rsidRDefault="00475999">
      <w:pPr>
        <w:spacing w:after="240"/>
        <w:ind w:left="567" w:hanging="567"/>
        <w:rPr>
          <w:szCs w:val="24"/>
        </w:rPr>
      </w:pPr>
      <w:r w:rsidRPr="00EC73EC">
        <w:t>B.</w:t>
      </w:r>
      <w:r w:rsidRPr="00EC73EC">
        <w:tab/>
        <w:t>keďže Dvor audítorov vo svojej správe o overení ročnej účtovnej závierky Agentúry Európskej únie pre bezpečnosť letectva za rozpočtový rok 2022 (ďalej len „správa Dvora audítorov“) vyhlásil, že získal primeranú istotu o tom, že ročná účtovná závierka agentúry je spoľahlivá a že príslušné operácie sú zákonné a správne;</w:t>
      </w:r>
    </w:p>
    <w:p w:rsidR="005F361E" w:rsidRPr="00EC73EC" w:rsidRDefault="00475999">
      <w:pPr>
        <w:spacing w:after="240"/>
        <w:ind w:left="567" w:hanging="567"/>
        <w:rPr>
          <w:b/>
          <w:i/>
          <w:szCs w:val="24"/>
        </w:rPr>
      </w:pPr>
      <w:r w:rsidRPr="00EC73EC">
        <w:rPr>
          <w:b/>
          <w:i/>
        </w:rPr>
        <w:t>Rozpočtové a finančné riadenie</w:t>
      </w:r>
    </w:p>
    <w:p w:rsidR="005F361E" w:rsidRPr="00EC73EC" w:rsidRDefault="00475999">
      <w:pPr>
        <w:spacing w:after="240"/>
        <w:ind w:left="567" w:hanging="567"/>
        <w:rPr>
          <w:szCs w:val="24"/>
        </w:rPr>
      </w:pPr>
      <w:r w:rsidRPr="00EC73EC">
        <w:t>1.</w:t>
      </w:r>
      <w:r w:rsidRPr="00EC73EC">
        <w:tab/>
        <w:t>konštatuje, že úsilie o monitorovanie rozpočtu v priebehu rozpočtového roka 2022 prinieslo mieru plnenia viazaných rozpočtových prostriedkov v bežnom roku na úrovni 97,08 %, čo v porovnaní s rokom 2021 predstavuje nárast o 0,77 %; poznamenáva tiež, že miera plnenia platobných rozpočtových prostriedkov v bežnom roku bola 87,18 %, čo v porovnaní s rokom 2021 znamená zníženie o 0,16 %;</w:t>
      </w:r>
    </w:p>
    <w:p w:rsidR="005F361E" w:rsidRPr="00EC73EC" w:rsidRDefault="00475999">
      <w:pPr>
        <w:spacing w:after="240"/>
        <w:ind w:left="567" w:hanging="567"/>
        <w:rPr>
          <w:szCs w:val="24"/>
        </w:rPr>
      </w:pPr>
      <w:r w:rsidRPr="00EC73EC">
        <w:t>2.</w:t>
      </w:r>
      <w:r w:rsidRPr="00EC73EC">
        <w:tab/>
      </w:r>
      <w:r w:rsidRPr="00EC73EC">
        <w:rPr>
          <w:shd w:val="clear" w:color="auto" w:fill="FFFFFF"/>
        </w:rPr>
        <w:t>konštatuje, že agentúra ukončila tento rok so záporným rozpočtovým výsledkom v poplatkoch a platbách vo výške 8,2 milióna EUR (v porovnaní s 11,2 mil. EUR v roku 2021); v dôsledku toho konštatuje, že akumulovaný prebytok poplatkov a platieb agentúry sa znížil zo 72,1 mil. EUR na 63,9 mil. EUR;</w:t>
      </w:r>
      <w:r w:rsidRPr="00EC73EC">
        <w:t xml:space="preserve"> konštatuje, že miera zrušených rozpočtových prostriedkov týkajúcich sa záväzkov prenesených do roku 2022 bola 2,82 %, čo je pod 5</w:t>
      </w:r>
      <w:r w:rsidRPr="00EC73EC">
        <w:rPr>
          <w:shd w:val="clear" w:color="auto" w:fill="FFFFFF"/>
        </w:rPr>
        <w:t> </w:t>
      </w:r>
      <w:r w:rsidRPr="00EC73EC">
        <w:t>% stropom stanoveným Komisiou;</w:t>
      </w:r>
    </w:p>
    <w:p w:rsidR="005F361E" w:rsidRPr="00EC73EC" w:rsidRDefault="00475999" w:rsidP="00B241FC">
      <w:pPr>
        <w:pStyle w:val="NormalHanging12a"/>
      </w:pPr>
      <w:r w:rsidRPr="00EC73EC">
        <w:t>3.</w:t>
      </w:r>
      <w:r w:rsidRPr="00EC73EC">
        <w:tab/>
        <w:t>pozn</w:t>
      </w:r>
      <w:r w:rsidR="00936576">
        <w:t>amenáva, že podľa správy Dvora audítorov</w:t>
      </w:r>
      <w:r w:rsidRPr="00EC73EC">
        <w:t xml:space="preserve"> agentúra vyberá poplatky a platby za poskytovanie certifikačných služieb, ale nedokumentuje kontroly, ktoré vykonáva na zabezpečenie správneho výberu týchto príjmov, a preto nedodržiava článok 74 ods. 5 a článok 75 nariadenia o rozpočtových pravidlách; berie na vedomie odpoveď agentúry, v ktorej sa agentúra zaväzuje prijať potrebné opatrenia na zabezpečenie riadneho zdokumentovania kontrol;</w:t>
      </w:r>
    </w:p>
    <w:p w:rsidR="005F361E" w:rsidRPr="00EC73EC" w:rsidRDefault="00475999">
      <w:pPr>
        <w:spacing w:after="240"/>
        <w:ind w:left="567" w:hanging="567"/>
        <w:rPr>
          <w:b/>
          <w:i/>
          <w:szCs w:val="24"/>
        </w:rPr>
      </w:pPr>
      <w:r w:rsidRPr="00EC73EC">
        <w:rPr>
          <w:b/>
          <w:i/>
        </w:rPr>
        <w:lastRenderedPageBreak/>
        <w:t>Výkonnosť</w:t>
      </w:r>
    </w:p>
    <w:p w:rsidR="005F361E" w:rsidRPr="00EC73EC" w:rsidRDefault="00475999">
      <w:pPr>
        <w:spacing w:after="240"/>
        <w:ind w:left="567" w:hanging="567"/>
        <w:rPr>
          <w:szCs w:val="24"/>
        </w:rPr>
      </w:pPr>
      <w:r w:rsidRPr="00EC73EC">
        <w:t>4.</w:t>
      </w:r>
      <w:r w:rsidRPr="00EC73EC">
        <w:tab/>
        <w:t xml:space="preserve">konštatuje, že v roku 2022 agentúra použila určité opatrenia na posúdenie pridanej hodnoty poskytovanej jej činnosťami </w:t>
      </w:r>
      <w:r w:rsidRPr="00EC73EC">
        <w:rPr>
          <w:shd w:val="clear" w:color="auto" w:fill="FFFFFF"/>
        </w:rPr>
        <w:t>a ďalšie opatrenia na zlepšenie svojho rozpočtového hospodárenia</w:t>
      </w:r>
      <w:r w:rsidRPr="00EC73EC">
        <w:t xml:space="preserve"> prostredníctvom kombinácie 128 cieľov a 66 kľúčových ukazovateľov výkonnosti v 11 kľúčových oblastiach činnosti; konštatuje, že v roku 2022 dosiahla agentúra veľmi dobré výsledky s 97 % mierou plnenia svojho ročného pracovného programu na rok 2022 a 77 % plnenia kľúčových ukazovateľov výkonnosti agentúry;</w:t>
      </w:r>
    </w:p>
    <w:p w:rsidR="005F361E" w:rsidRPr="00EC73EC" w:rsidRDefault="00475999">
      <w:pPr>
        <w:pStyle w:val="Default"/>
        <w:spacing w:after="240"/>
        <w:ind w:left="567" w:hanging="567"/>
        <w:rPr>
          <w:rFonts w:ascii="Times New Roman" w:hAnsi="Times New Roman" w:cs="Times New Roman"/>
        </w:rPr>
      </w:pPr>
      <w:r w:rsidRPr="00EC73EC">
        <w:rPr>
          <w:rFonts w:ascii="Times New Roman" w:hAnsi="Times New Roman"/>
        </w:rPr>
        <w:t>5.</w:t>
      </w:r>
      <w:r w:rsidRPr="00EC73EC">
        <w:rPr>
          <w:rFonts w:ascii="Times New Roman" w:hAnsi="Times New Roman"/>
        </w:rPr>
        <w:tab/>
        <w:t>uznáva kľúčové úspechy a pokrok agentúry v roku 2022 v nových oblastiach spojených so zelenými riešeniami a digitalizáciou; v tejto súvislosti konštatuje, že agentúra zintenzívnila svoje úsilie o ekologické letectvo prostredníctvom programu EASA pre udržateľné letectvo do roku 2022, a to rôznymi opatreniami, ako je uverejnenie tretieho vydania správy o životnom prostredí v európskom letectve a úspešný príspevok k záverom 41. zhromaždenia Medzinárodnej organizácie civilného letectva (ICAO) o životnom prostredí; berie na vedomie, že agentúra v roku 2022 vykonala komplexné preskúmanie strategických priorít pri riešení rizík pre systém v súvislosti s európskym plánom pre bezpečnosť letectva (EPAS); v tejto súvislosti poznamenáva, že preskúmanie viedlo k väčšiemu zameraniu na riadenie vzájomných závislostí rizík, ako aj na kompetencie zamestnancov a zahŕňalo ďalšie priority pre bezpečnú integráciu nových technológií a nových obchodných koncepcií; konštatuje, že tieto nové strategické priority sú zahrnuté vo vydaní plánu EPAS na roky 2023 – 2025, ktoré bolo prijaté v roku 2022;</w:t>
      </w:r>
    </w:p>
    <w:p w:rsidR="005F361E" w:rsidRPr="00EC73EC" w:rsidRDefault="00475999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EC73EC">
        <w:t>6.</w:t>
      </w:r>
      <w:r w:rsidRPr="00EC73EC">
        <w:tab/>
        <w:t xml:space="preserve">berie na vedomie opatrenia agentúry v roku 2022 na vykonávanie plánu mestskej leteckej mobility prostredníctvom uverejnenia usmernenia pre navrhovanie </w:t>
      </w:r>
      <w:proofErr w:type="spellStart"/>
      <w:r w:rsidRPr="00EC73EC">
        <w:t>vertiportov</w:t>
      </w:r>
      <w:proofErr w:type="spellEnd"/>
      <w:r w:rsidRPr="00EC73EC">
        <w:t xml:space="preserve">, navrhovaného nového regulačného rámca pre prevádzku leteckých taxíkov v mestách, usmernení na stanovenie hladín hluku </w:t>
      </w:r>
      <w:proofErr w:type="spellStart"/>
      <w:r w:rsidRPr="00EC73EC">
        <w:t>dronov</w:t>
      </w:r>
      <w:proofErr w:type="spellEnd"/>
      <w:r w:rsidRPr="00EC73EC">
        <w:t xml:space="preserve"> s hmotnosťou pod 600 kg a prijateľných spôsobov dosiahnutia súladu a poradenského materiálu na podporu harmonizovaného, bezpečného a účinného vykonávania služby U-</w:t>
      </w:r>
      <w:proofErr w:type="spellStart"/>
      <w:r w:rsidRPr="00EC73EC">
        <w:t>space</w:t>
      </w:r>
      <w:proofErr w:type="spellEnd"/>
      <w:r w:rsidRPr="00EC73EC">
        <w:t xml:space="preserve"> v celej Únii;</w:t>
      </w:r>
    </w:p>
    <w:p w:rsidR="005F361E" w:rsidRPr="00EC73EC" w:rsidRDefault="00475999">
      <w:pPr>
        <w:pStyle w:val="NormalHanging12a"/>
      </w:pPr>
      <w:r w:rsidRPr="00EC73EC">
        <w:t>7.</w:t>
      </w:r>
      <w:r w:rsidRPr="00EC73EC">
        <w:tab/>
        <w:t>víta digitálnu transformáciu európskeho vzdušného priestoru vrátane zlepšených možností mobility a optimalizovaných kvalifikácií na udeľovanie licencií a výcvik riadiacich letovej prevádzky a pozemných systémov manažmentu letovej prevádzky (ATM); požaduje zmenu viet RT SERA na komunikáciu medzi pilotmi a riadiacimi letovej prevádzky; zdôrazňuje, že digitálna transformácia európskeho neba zahŕňa niekoľko jednotlivých komponentov a stavebných prvkov, ktoré sú kľúčovými riešeniami pre budúcu architektúru vzdušného priestoru a zameriavajú sa na podporu bezpečnosti, efektívnosti a environmentálnych vlastností;</w:t>
      </w:r>
    </w:p>
    <w:p w:rsidR="005F361E" w:rsidRPr="00EC73EC" w:rsidRDefault="00475999">
      <w:pPr>
        <w:pStyle w:val="NormalHanging12a"/>
      </w:pPr>
      <w:r w:rsidRPr="00EC73EC">
        <w:t>8.</w:t>
      </w:r>
      <w:r w:rsidRPr="00EC73EC">
        <w:tab/>
        <w:t>zdôrazňuje význam jednotného európskeho neba, ktoré rieši fragmentáciu európskeho vzdušného priestoru a zameriava sa na zlepšenie výkonnosti ATM z hľadiska bezpečnosti, kapacity, nákladovej efektívnosti a životného prostredia; víta prácu agentúry na reforme Jednotného európskeho neba 2+ v roku 2022, najmä pokiaľ ide o harmonizáciu ATCO prostredníctvom udeľovania licencií a osvedčovania pozemných systémov ATM/ANS agentúrou; oceňuje, že obe reformy znižujú náklady a zvyšujú kapacitu ATM a poskytujú významnú pridanú hodnotu pre iniciatívny balík jednotné európske nebo 2+;</w:t>
      </w:r>
    </w:p>
    <w:p w:rsidR="005F361E" w:rsidRPr="00EC73EC" w:rsidRDefault="00475999">
      <w:pPr>
        <w:pStyle w:val="NormalHanging12a"/>
      </w:pPr>
      <w:r w:rsidRPr="00EC73EC">
        <w:t>9.</w:t>
      </w:r>
      <w:r w:rsidRPr="00EC73EC">
        <w:tab/>
        <w:t xml:space="preserve">chápe obavy týkajúce sa ruskej flotily osobnej leteckej dopravy; víta najmä zapojenie </w:t>
      </w:r>
      <w:r w:rsidRPr="00EC73EC">
        <w:lastRenderedPageBreak/>
        <w:t xml:space="preserve">agentúry do civilno-vojenského bezpečnostného tímu pre vzdušný priestor na Ukrajine, najmä v súvislosti s rastúcimi požiadavkami na vzdušný priestor s cieľom uľahčiť štátne vojenské cvičenia a vojenské cvičenia NATO; uznáva úspešné vykonávanie pracovného programu s Európskou obrannou agentúrou (EDA), ktorá výrazne posilnila spoluprácu v oblasti nových inovácií; víta skutočnosť, že EASA podporila iniciatívy Komisie v rámci programu </w:t>
      </w:r>
      <w:proofErr w:type="spellStart"/>
      <w:r w:rsidRPr="00EC73EC">
        <w:t>RescEU</w:t>
      </w:r>
      <w:proofErr w:type="spellEnd"/>
      <w:r w:rsidRPr="00EC73EC">
        <w:t xml:space="preserve"> (zmluva pre hasičov a kapacita leteckej zdravotníckej evakuácie MEDEVAC/prepravná kapacita);</w:t>
      </w:r>
    </w:p>
    <w:p w:rsidR="005F361E" w:rsidRPr="00EC73EC" w:rsidRDefault="00475999">
      <w:pPr>
        <w:spacing w:after="240"/>
        <w:ind w:left="567" w:hanging="567"/>
      </w:pPr>
      <w:r w:rsidRPr="00EC73EC">
        <w:t>10.</w:t>
      </w:r>
      <w:r w:rsidRPr="00EC73EC">
        <w:tab/>
        <w:t>berie na vedomie opatrenia agentúry v reakcii na agresívnu vojnu Ruska proti Ukrajine, napríklad uverejnenie informačného bulletinu o konfliktných zónach, v ktorom sa prevádzkovateľom odporúča, aby neprelietavali nad oblasťami s intenzívnou alebo zvýšenou vojenskou aktivitou, a uverejnenie bezpečnostného informačného bulletinu o prerušovaných výpadkoch GNSS v blízkosti oblastí konfliktu na Ukrajine; v tejto súvislosti oceňuje, že po skúšobnej fáze iniciatívy začala fungovať Európska platforma na výmenu informácií a spoluprácu v konfliktných zónach, ktorej cieľom je výmena informácií o hrozbách pre civilné letectvo, ktoré vyplývajú z oblastí konfliktov alebo ozbrojených povstaní; ďalej zdôrazňuje, že nezákonná invázia na Ukrajinu viedla k novým bezpečnostným problémom a posilnila už existujúce problémy; opakuje svoju výzvu na úzke vzťahy s európskymi štátnymi a vojenskými leteckými úradmi, EDA, Organizáciou pre spoluprácu v oblasti vyzbrojovania (OCCAR) a NATO, ak je to vhodné na plnenie úloh agentúry v súlade s nariadením (EÚ) 2018/1139 s cieľom zlepšiť bezpečnosť a bezpečnostnú ochranu letov v Európe;</w:t>
      </w:r>
    </w:p>
    <w:p w:rsidR="005F361E" w:rsidRPr="00EC73EC" w:rsidRDefault="00475999">
      <w:pPr>
        <w:spacing w:after="240"/>
        <w:ind w:left="567" w:hanging="567"/>
      </w:pPr>
      <w:r w:rsidRPr="00EC73EC">
        <w:t>11.</w:t>
      </w:r>
      <w:r w:rsidRPr="00EC73EC">
        <w:tab/>
        <w:t>berie na vedomie, že agentúra dodržiavala sankcie a politiky stanovené Komisiou po nezákonnej ruskej invázii na Ukrajinu v roku 2022 a všetky činnosti spolupráce s Ruskom boli pozastavené, pričom agentúra zamerala svoju pozornosť na činnosti na podporu Ukrajiny; v tejto súvislosti víta skutočnosť, že koordinačný tím agentúry pre rampy podporil Komisiu pri zostavovaní zoznamu registrácií lietadiel, ktoré používajú alebo kontrolujú ruskí štátni príslušníci, pričom tento zoznam bol v roku 2022 aktualizovaný 38-krát a zahŕňal viac ako tisíc lietadiel;</w:t>
      </w:r>
    </w:p>
    <w:p w:rsidR="005F361E" w:rsidRPr="00EC73EC" w:rsidRDefault="00475999">
      <w:pPr>
        <w:spacing w:after="240"/>
        <w:ind w:left="567" w:hanging="567"/>
        <w:rPr>
          <w:b/>
          <w:i/>
          <w:szCs w:val="24"/>
        </w:rPr>
      </w:pPr>
      <w:r w:rsidRPr="00EC73EC">
        <w:rPr>
          <w:b/>
          <w:i/>
        </w:rPr>
        <w:t>Efektívnosť a prínosy</w:t>
      </w:r>
    </w:p>
    <w:p w:rsidR="005F361E" w:rsidRPr="00EC73EC" w:rsidRDefault="00475999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EC73EC">
        <w:t>12.</w:t>
      </w:r>
      <w:r w:rsidRPr="00EC73EC">
        <w:tab/>
        <w:t xml:space="preserve">chváli agentúru za výmenu zdrojov v oblasti prekrývajúcich sa úloh a kompetencií s inými agentúrami, a to aj v oblasti poradenských služieb v oblasti ľudských zdrojov, digitalizácie a nástrojov, elektronického vzdelávania a prieskumov, ako aj za účasť na </w:t>
      </w:r>
      <w:proofErr w:type="spellStart"/>
      <w:r w:rsidRPr="00EC73EC">
        <w:t>medziinštitucionálnych</w:t>
      </w:r>
      <w:proofErr w:type="spellEnd"/>
      <w:r w:rsidRPr="00EC73EC">
        <w:t xml:space="preserve"> a </w:t>
      </w:r>
      <w:proofErr w:type="spellStart"/>
      <w:r w:rsidRPr="00EC73EC">
        <w:t>medziagentúrnych</w:t>
      </w:r>
      <w:proofErr w:type="spellEnd"/>
      <w:r w:rsidRPr="00EC73EC">
        <w:t xml:space="preserve"> verejných súťažiach; konštatuje, že agentúra úzko spolupracuje s Európskou environmentálnou agentúrou pri vypracúvaní správ, ako je napríklad Európska správa o životnom prostredí v letectve, s organizáciou EUROCONTROL pri hľadaní vzájomných možností v oblasti vzdelávacích riešení súvisiacich s letectvom a s Agentúrou Európskej únie pre železnice prostredníctvom memoranda o spolupráci podpísaného v roku 2022, ktorým sa zavádza pravidelný štruktúrovaný dialóg a posilňuje výmena informácií, poznatkov a skúseností v rôznych oblastiach spolupráce; víta skutočnosť, že agentúra má strategické partnerstvá v oblasti spoločného využívania zdrojov a informácií s takmer všetkými príslušnými vnútroštátnymi leteckými úradmi vo svojich členských štátoch;</w:t>
      </w:r>
    </w:p>
    <w:p w:rsidR="005F361E" w:rsidRPr="00EC73EC" w:rsidRDefault="00475999">
      <w:pPr>
        <w:pStyle w:val="NormalHanging12a"/>
      </w:pPr>
      <w:r w:rsidRPr="00EC73EC">
        <w:t>13.</w:t>
      </w:r>
      <w:r w:rsidRPr="00EC73EC">
        <w:tab/>
        <w:t xml:space="preserve">víta skutočnosť, že agentúra vytvorila niekoľko partnerstiev s inými orgánmi Únie s cieľom zlepšiť efektívnosť a súdržnosť vrátane Európskej environmentálnej agentúry, Európskeho centra pre prevenciu a kontrolu chorôb, spoločného podniku pre čisté letectvo a spoločného podniku SESAR3; víta spoluprácu na vzdelávacích riešeniach s </w:t>
      </w:r>
      <w:r w:rsidRPr="00EC73EC">
        <w:lastRenderedPageBreak/>
        <w:t>viacerými agentúrami v otázkach spoločného záujmu v oblasti poradenských služieb v oblasti ľudských zdrojov, digitalizácie a nástrojov, elektronického vzdelávania a prieskumov vrátane Európskej agentúry pre lieky, Európskeho orgánu pre trh cenných papierov, Európskeho úradu pre bezpečnosť potravín a Európskej prokuratúry;</w:t>
      </w:r>
    </w:p>
    <w:p w:rsidR="005F361E" w:rsidRPr="00EC73EC" w:rsidRDefault="00475999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EC73EC">
        <w:t>14.</w:t>
      </w:r>
      <w:r w:rsidRPr="00EC73EC">
        <w:tab/>
        <w:t>pripomína, že v roku 2020 bol zavedený program podnikovej transformácie „</w:t>
      </w:r>
      <w:proofErr w:type="spellStart"/>
      <w:r w:rsidRPr="00EC73EC">
        <w:t>Destination</w:t>
      </w:r>
      <w:proofErr w:type="spellEnd"/>
      <w:r w:rsidRPr="00EC73EC">
        <w:t xml:space="preserve">: </w:t>
      </w:r>
      <w:proofErr w:type="spellStart"/>
      <w:r w:rsidRPr="00EC73EC">
        <w:t>Future-proof</w:t>
      </w:r>
      <w:proofErr w:type="spellEnd"/>
      <w:r w:rsidRPr="00EC73EC">
        <w:t>“ (Cieľ: odolnosť voči budúcim zmenám) s cieľom znížiť náklady, zvýšiť efektívnosť a riešiť kľúčové „hnacie sily“ agentúry; konštatuje, že tento program, ktorý bol formálne ukončený v roku 2022, priniesol kľúčové zmeny, ktoré okrem iného zahŕňajú zjednodušený postup tvorby predpisov, služby pred podaním žiadosti pre inovatívne technológie a zlepšený proces podnikového programovania, ako aj nárast produktivity o 12 % (pri porovnaní výstupov z roku 2022 a 2019), čo zodpovedá zníženiu režijných nákladov agentúry o 36 ekvivalentov plného pracovného času; víta skutočnosť, že bol vytvorený programový prístup na dosiahnutie efektívnosti, ako aj infraštruktúra na iniciovanie nových iniciatív, aby agentúra mohla pokračovať v zlepšovaní procesov a digitalizácii;</w:t>
      </w:r>
    </w:p>
    <w:p w:rsidR="005F361E" w:rsidRPr="00EC73EC" w:rsidRDefault="00475999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EC73EC">
        <w:t>15.</w:t>
      </w:r>
      <w:r w:rsidRPr="00EC73EC">
        <w:tab/>
        <w:t>víta opatrenia, ktoré agentúra prijala s cieľom monitorovať a riadiť svoju environmentálnu stopu, okrem iného v oblastiach týkajúcich sa jej budov, verejných služieb a zásobovania; v tejto súvislosti konštatuje, že agentúra optimalizovala spotrebu energie a vody vo svojej budove, nakupuje 100 % elektrickej energie z obnoviteľných zdrojov, má centralizované zberné miesta na odpad v priestoroch tímu agentúry a zaviedla opatrenia na zníženie množstva papiera a kancelárskych potrieb;</w:t>
      </w:r>
    </w:p>
    <w:p w:rsidR="005F361E" w:rsidRPr="00EC73EC" w:rsidRDefault="00475999">
      <w:pPr>
        <w:spacing w:after="240"/>
        <w:ind w:left="567" w:hanging="567"/>
        <w:rPr>
          <w:szCs w:val="24"/>
        </w:rPr>
      </w:pPr>
      <w:r w:rsidRPr="00EC73EC">
        <w:t>16.</w:t>
      </w:r>
      <w:r w:rsidRPr="00EC73EC">
        <w:tab/>
        <w:t>berie na vedomie, že agentúra vo svojich výzvach na predkladanie ponúk naďalej uplatňuje príslušné kritériá a požiadavky zeleného verejného obstarávania s využitím dostupných súborov nástrojov; ďalej konštatuje, že v roku 2022 bol prijatý jeden zamestnanec s cieľom zabezpečiť zdroje na opätovné spustenie analýzy nástrojov trvalého zlepšovania environmentálneho správania organizácií s primárnym zameraním na EMAS a ISO 14001; vyzýva agentúru, aby orgán udeľujúci absolutórium informovala o výsledkoch tejto analýzy;</w:t>
      </w:r>
    </w:p>
    <w:p w:rsidR="005F361E" w:rsidRPr="00EC73EC" w:rsidRDefault="00475999">
      <w:pPr>
        <w:spacing w:after="240"/>
        <w:ind w:left="567" w:hanging="567"/>
        <w:rPr>
          <w:b/>
          <w:i/>
          <w:szCs w:val="24"/>
        </w:rPr>
      </w:pPr>
      <w:r w:rsidRPr="00EC73EC">
        <w:rPr>
          <w:b/>
          <w:i/>
        </w:rPr>
        <w:t>Personálna politika</w:t>
      </w:r>
    </w:p>
    <w:p w:rsidR="005F361E" w:rsidRPr="00EC73EC" w:rsidRDefault="00475999">
      <w:pPr>
        <w:spacing w:after="240"/>
        <w:ind w:left="567" w:hanging="567"/>
        <w:rPr>
          <w:szCs w:val="24"/>
        </w:rPr>
      </w:pPr>
      <w:r w:rsidRPr="00EC73EC">
        <w:t>17.</w:t>
      </w:r>
      <w:r w:rsidRPr="00EC73EC">
        <w:tab/>
        <w:t>konštatuje, že k 31. decembru 2022 bol plán pracovných miest naplnený na 95,59 %, pričom zo 681 miest dočasných zamestnancov povolených v rámci rozpočtu Únie bolo obsadených 651 (v porovnaní s 680 povolenými pracovnými miestami v roku 2021); konštatuje, že okrem toho v roku 2022 pre agentúru pracovalo 95 zmluvných zamestnancov a 23 vyslaných národných expertov;</w:t>
      </w:r>
    </w:p>
    <w:p w:rsidR="005F361E" w:rsidRPr="00EC73EC" w:rsidRDefault="00475999">
      <w:pPr>
        <w:spacing w:after="240"/>
        <w:ind w:left="567" w:hanging="567"/>
        <w:rPr>
          <w:szCs w:val="24"/>
        </w:rPr>
      </w:pPr>
      <w:r w:rsidRPr="00EC73EC">
        <w:t>18.</w:t>
      </w:r>
      <w:r w:rsidRPr="00EC73EC">
        <w:tab/>
        <w:t>konštatuje, že agentúra v roku 2022 významne investovala do posilnenia technických kapacít a do ponuky možností kariérneho postupu vďaka obnovenej politike v oblasti kompetencií; v tejto súvislosti konštatuje, že v roku 2022 agentúra úspešne prijala viac ako 60 nových zamestnancov, zaviedla tretiu generáciu programu kvalifikácie mládeže, ponúkla interné príležitosti na kariérny rast viac ako 70 zamestnancom a uskutočnila 98 % plánovaných technických školení pre zamestnancov; oceňuje veľmi nízku mieru fluktuácie (0,1 %) v roku 2022;</w:t>
      </w:r>
    </w:p>
    <w:p w:rsidR="005F361E" w:rsidRPr="00EC73EC" w:rsidRDefault="00475999">
      <w:pPr>
        <w:pStyle w:val="NormalHanging12a"/>
      </w:pPr>
      <w:r w:rsidRPr="00EC73EC">
        <w:t>19.</w:t>
      </w:r>
      <w:r w:rsidRPr="00EC73EC">
        <w:tab/>
        <w:t xml:space="preserve">so znepokojením berie na vedomie nedostatočnú rodovú rovnováhu medzi členmi vrcholového a stredného manažmentu agentúry, pričom 17 z 22 členov (77 %) sú muži, a členmi správnej rady agentúry, pričom 59 zo 79 členov (75 %) sú muži; ďalej berie na </w:t>
      </w:r>
      <w:r w:rsidRPr="00EC73EC">
        <w:lastRenderedPageBreak/>
        <w:t>vedomie celkovú rodovú rovnováhu zamestnancov agentúry, keď 525 zo 757 zamestnancov (69%) tvoria muži; berie na vedomie, že agentúra systematicky monitoruje rozdelenie uchádzačov podľa pohlavia a aktívne oslovuje uchádzačky zverejňovaním pracovných miest na príslušných fórach, výslovnou podporou prihlášok od uchádzačiek a vypracovaním pracovných miest s presnými informáciami, keďže to môže ovplyvniť rovnováhu medzi pracovným a súkromným životom; vyzýva agentúru, aby pokračovala v úsilí o rodovú rovnováhu na úrovni manažérov a všeobecne zamestnancov prostredníctvom konkrétnych opatrení, ktoré pritiahnu žiadosti žien o pracovné miesta ponúkané agentúrou; žiada Komisiu a členské štáty, aby zohľadnili význam zabezpečenia rodovej rovnováhy pri predkladaní svojich nominácií na členov správnej rady agentúry;</w:t>
      </w:r>
    </w:p>
    <w:p w:rsidR="005F361E" w:rsidRPr="00EC73EC" w:rsidRDefault="00475999">
      <w:pPr>
        <w:pStyle w:val="NormalHanging12a"/>
      </w:pPr>
      <w:r w:rsidRPr="00EC73EC">
        <w:t>20.</w:t>
      </w:r>
      <w:r w:rsidRPr="00EC73EC">
        <w:tab/>
        <w:t>víta skutočnosť, že agentúra sa naďalej zameriavala na rodovú rovnováhu, geografickú rovnováhu a rozmanitosť; pripomína, že je dôležité vypracovať dlhodobú politiku ľudských zdrojov v oblasti rovnováhy pracovného a súkromného života a ponuky špecifických možností odbornej prípravy na kariérny rozvoj, práce z domu, práva na odpojenie, zlepšenia geografickej rovnováhy na zabezpečenie primeraného zastúpenia zo všetkých členských štátov a náboru a integrácie osôb so zdravotným postihnutím, ako aj podpory rovnakého zaobchádzania s nimi a ich príležitostí;</w:t>
      </w:r>
    </w:p>
    <w:p w:rsidR="005F361E" w:rsidRPr="00EC73EC" w:rsidRDefault="00475999">
      <w:pPr>
        <w:spacing w:after="240"/>
        <w:ind w:left="567" w:hanging="567"/>
        <w:rPr>
          <w:szCs w:val="24"/>
        </w:rPr>
      </w:pPr>
      <w:r w:rsidRPr="00EC73EC">
        <w:t>21.</w:t>
      </w:r>
      <w:r w:rsidRPr="00EC73EC">
        <w:tab/>
        <w:t>berie na vedomie správu agentúry týkajúcu sa následných opatrení prijatých v súvislosti s udelením absolutória za plnenie rozpočtu agentúry na rozpočtový rok 2021 (ďalej len „správa agentúry“), že agentúra na základe svojho programu riadenia kompetencií a strategického plánovania pracovnej sily určila stabilný scenár personálneho zabezpečenia na rok 2022+ s významnými investíciami do externých zdrojov v oblastiach technickej a podnikovej odbornosti pre tradičné úlohy, ako aj pre nové oblasti na základe strednodobých strategických priorít agentúry vrátane napr. nových technológií, kybernetickej bezpečnosti, hodnotenia bezpečnosti, letových skúšok a výskumu;</w:t>
      </w:r>
    </w:p>
    <w:p w:rsidR="005F361E" w:rsidRPr="00EC73EC" w:rsidRDefault="00475999">
      <w:pPr>
        <w:spacing w:after="240"/>
        <w:ind w:left="567" w:hanging="567"/>
      </w:pPr>
      <w:r w:rsidRPr="00EC73EC">
        <w:t>22.</w:t>
      </w:r>
      <w:r w:rsidRPr="00EC73EC">
        <w:tab/>
        <w:t>konštatuje, že v roku 2022 bol nahlásený jeden prípad obťažovania, pri ktorom agentúra využila služby externého vyšetrovateľa siete medzi agentúrami so záverom, že obťažovanie nebolo možné potvrdiť; ďalej uvádza, že v roku 2022 boli hlásené celkovo 4 prípady vyhorenia, čo je rovnaký počet ako v roku 2021;</w:t>
      </w:r>
    </w:p>
    <w:p w:rsidR="005F361E" w:rsidRPr="00EC73EC" w:rsidRDefault="00475999">
      <w:pPr>
        <w:spacing w:after="240"/>
        <w:ind w:left="567" w:hanging="567"/>
        <w:rPr>
          <w:rFonts w:cstheme="minorHAnsi"/>
        </w:rPr>
      </w:pPr>
      <w:r w:rsidRPr="00EC73EC">
        <w:t>23.</w:t>
      </w:r>
      <w:r w:rsidRPr="00EC73EC">
        <w:tab/>
        <w:t>pripomína z výročnej správy Dvora audítorov o agentúrach Únie za rok 2021 pripomienku týkajúcu sa nedodržiavania článku 16 služobného poriadku Únie zo strany agentúry; konštatuje, že podľa správy Dvora audítorov táto pripomienka zostala otvorená; na základe správy agentúry však konštatuje, že agentúra medzitým formálne zriadila spoločný výbor a okrem toho zrevidovala svoje postupy s cieľom odstrániť nedostatky zistené Dvorom audítorov;</w:t>
      </w:r>
    </w:p>
    <w:p w:rsidR="005F361E" w:rsidRPr="00EC73EC" w:rsidRDefault="00475999">
      <w:pPr>
        <w:spacing w:after="240"/>
        <w:ind w:left="567" w:hanging="567"/>
        <w:rPr>
          <w:b/>
          <w:i/>
          <w:szCs w:val="24"/>
        </w:rPr>
      </w:pPr>
      <w:r w:rsidRPr="00EC73EC">
        <w:rPr>
          <w:b/>
          <w:i/>
        </w:rPr>
        <w:t>Verejné obstarávanie</w:t>
      </w:r>
    </w:p>
    <w:p w:rsidR="005F361E" w:rsidRPr="00EC73EC" w:rsidRDefault="00475999">
      <w:pPr>
        <w:spacing w:after="240"/>
        <w:ind w:left="567" w:hanging="567"/>
        <w:rPr>
          <w:szCs w:val="24"/>
        </w:rPr>
      </w:pPr>
      <w:r w:rsidRPr="00EC73EC">
        <w:t>24.</w:t>
      </w:r>
      <w:r w:rsidRPr="00EC73EC">
        <w:tab/>
        <w:t xml:space="preserve">konštatuje, že podľa správy Dvora audítorov agentúra uzavrela zmluvu s jedným poskytovateľom služieb na pokračovanie vývoja systému hlásenia incidentov v hodnote 1,9 milióna EUR s využitím postupu pre mimoriadne naliehavé prípady; berie na vedomie konštatovanie Dvora audítorov, že keďže neboli splnené zákonné podmienky na použitie tohto postupu, bol tento postup neregulárny, rovnako ako všetky súvisiace platby (261 385 EUR) uskutočnené v roku 2022; napriek tomu berie na vedomie odpoveď agentúry, že vybraný dodávateľ bol jediný schopný pokračovať vo vývoji </w:t>
      </w:r>
      <w:r w:rsidRPr="00EC73EC">
        <w:lastRenderedPageBreak/>
        <w:t>tohto systému bez toho, aby došlo k narušeniu a bezprostrednému bezpečnostnému riziku s možnými katastrofickými následkami;</w:t>
      </w:r>
    </w:p>
    <w:p w:rsidR="005F361E" w:rsidRPr="00EC73EC" w:rsidRDefault="00475999">
      <w:pPr>
        <w:spacing w:after="240"/>
        <w:ind w:left="567" w:hanging="567"/>
        <w:rPr>
          <w:szCs w:val="24"/>
        </w:rPr>
      </w:pPr>
      <w:r w:rsidRPr="00EC73EC">
        <w:t>25.</w:t>
      </w:r>
      <w:r w:rsidRPr="00EC73EC">
        <w:tab/>
        <w:t>konštatuje, že podľa pripomienok Dvora audítorov agentúra po vyhlásení postupu obstarávania na služby riadenia podujatí zmenila cenu ponuky bez toho, aby dodržala ustanovenia článku 151 rozpočtových pravidiel; poznamenáva, že po sťažnosti uchádzača agentúra vykonala druhé vyhodnotenie, ktoré viedlo k vylúčeniu uchádzača z dôvodu, že „nesplnil požiadavky stanovené v špecifikáciách verejného obstarávania“, avšak bez uvedenia toho, ktoré požiadavky neboli splnené; berie na vedomie záver Dvora audítorov, že vylúčenie uchádzača nebolo riadne odôvodnené; vyzýva agentúru, aby prijala potrebné opatrenia, ktoré zaručia, že v budúcich postupoch verejného obstarávania budú akékoľvek úpravy ceny alebo vylúčenie uchádzačov odôvodnené v súlade s platným právnym základom;</w:t>
      </w:r>
    </w:p>
    <w:p w:rsidR="005F361E" w:rsidRPr="00EC73EC" w:rsidRDefault="00475999">
      <w:pPr>
        <w:spacing w:after="240"/>
        <w:ind w:left="567" w:hanging="567"/>
        <w:rPr>
          <w:b/>
          <w:i/>
          <w:szCs w:val="24"/>
        </w:rPr>
      </w:pPr>
      <w:r w:rsidRPr="00EC73EC">
        <w:rPr>
          <w:b/>
          <w:i/>
        </w:rPr>
        <w:t>Prevencia, riešenie konfliktov záujmov a transparentnosť</w:t>
      </w:r>
    </w:p>
    <w:p w:rsidR="005F361E" w:rsidRPr="00EC73EC" w:rsidRDefault="00475999">
      <w:pPr>
        <w:spacing w:after="240"/>
        <w:ind w:left="567" w:hanging="567"/>
      </w:pPr>
      <w:r w:rsidRPr="00EC73EC">
        <w:t>26.</w:t>
      </w:r>
      <w:r w:rsidRPr="00EC73EC">
        <w:tab/>
        <w:t>berie na vedomie existujúci systém agentúry na predchádzanie konfliktom záujmov a ich zmierňovanie, ktorý zahŕňa každoročné cvičenie, počas ktorého sú zamestnanci požiadaní, aby (v prípade potreby) preskúmali a aktualizovali akúkoľvek zmenu v ich situácii, ktorá by mohla viesť k skutočnému alebo potenciálnemu konfliktu záujmov; konštatuje, že v roku 2022 boli zo všetkých vyhlásení o záujmoch, ktoré predložili zamestnanci v rôznych súvislostiach (ročné vyhlásenie, novoprijatí zamestnanci, činnosti po skončení zamestnania alebo externé činnosti/pracovné voľno z osobných dôvodov) a ktoré agentúra posúdila v súlade s platným postupom, 4 prípady postúpené na zaujatie stanoviska etickému výboru agentúry; víta skutočnosť, že v roku 2022 neboli potvrdené žiadne prípady konfliktu záujmov a všetky prípady, v ktorých bolo identifikované riziko skutočného alebo potenciálneho konfliktu záujmov, bolo možné zmierniť prostredníctvom zavedených osobitných opatrení, napríklad lehota na zváženie, zákaz lobovania, nezúčastňovanie sa na určitých úlohách;</w:t>
      </w:r>
    </w:p>
    <w:p w:rsidR="005F361E" w:rsidRPr="00EC73EC" w:rsidRDefault="00475999">
      <w:pPr>
        <w:spacing w:after="240"/>
        <w:ind w:left="567" w:hanging="567"/>
      </w:pPr>
      <w:r w:rsidRPr="00EC73EC">
        <w:t>27.</w:t>
      </w:r>
      <w:r w:rsidRPr="00EC73EC">
        <w:tab/>
        <w:t>konštatuje, že životopisy a vyhlásenia o záujmoch členov správnej rady a vyšších a stredných manažérov sú uverejnené na webovom sídle agentúry; ďalej konštatuje, že agentúra na svojej webovej stránke neuvádza zoznam všetkých stretnutí s lobistami alebo zástupcami záujmových skupín, a vyzýva ju, aby tak bezodkladne urobila;</w:t>
      </w:r>
    </w:p>
    <w:p w:rsidR="005F361E" w:rsidRPr="00EC73EC" w:rsidRDefault="00475999">
      <w:pPr>
        <w:spacing w:after="240"/>
        <w:ind w:left="567" w:hanging="567"/>
      </w:pPr>
      <w:r w:rsidRPr="00EC73EC">
        <w:t>28.</w:t>
      </w:r>
      <w:r w:rsidRPr="00EC73EC">
        <w:tab/>
      </w:r>
      <w:r w:rsidR="00225025">
        <w:t>konštatuje</w:t>
      </w:r>
      <w:r w:rsidRPr="00EC73EC">
        <w:t>, že agentúra je otvorená možnosti internej protikorupčnej stratégie do budúcnosti, ale v súčasnosti sa domnieva, že podľa záznamov z minulých rokov v tomto smere nehrozí žiadne nebezpečenstvo; vyzýva však agentúru, aby prehodnotila svoje stanovisko a prijala opatrenia na vytvorenie internej protikorupčnej stratégie;</w:t>
      </w:r>
    </w:p>
    <w:p w:rsidR="005F361E" w:rsidRPr="00EC73EC" w:rsidRDefault="00475999">
      <w:pPr>
        <w:spacing w:after="240"/>
        <w:ind w:left="567" w:hanging="567"/>
        <w:rPr>
          <w:szCs w:val="24"/>
        </w:rPr>
      </w:pPr>
      <w:r w:rsidRPr="00EC73EC">
        <w:rPr>
          <w:b/>
          <w:i/>
        </w:rPr>
        <w:t>Vnútorná kontrola</w:t>
      </w:r>
    </w:p>
    <w:p w:rsidR="005F361E" w:rsidRPr="00EC73EC" w:rsidRDefault="00475999">
      <w:pPr>
        <w:spacing w:after="240"/>
        <w:ind w:left="567" w:hanging="567"/>
        <w:rPr>
          <w:szCs w:val="24"/>
        </w:rPr>
      </w:pPr>
      <w:r w:rsidRPr="00EC73EC">
        <w:t>29.</w:t>
      </w:r>
      <w:r w:rsidRPr="00EC73EC">
        <w:tab/>
        <w:t>berie na vedomie, že v roku 2022 vykonal Útvar Komisie pre vnútorný audit (IAS) audit normalizačných činností, v rámci ktorého sa posúdilo, či zavedené kontroly poskytujú primerané uistenie o dodržiavaní príslušných právnych predpisov a či sú normalizačné činnosti organizované účinným spôsobom, aby účinne podporovali dosahovanie obchodných cieľov agentúry; ďalej konštatuje, že výsledkom tohto auditu boli tri odporúčania, ku ktorým agentúra vypracovala akčný plán, ktorý sa má realizovať v priebehu roka 2023;</w:t>
      </w:r>
    </w:p>
    <w:p w:rsidR="005F361E" w:rsidRPr="00EC73EC" w:rsidRDefault="00475999">
      <w:pPr>
        <w:spacing w:after="240"/>
        <w:ind w:left="567" w:hanging="567"/>
      </w:pPr>
      <w:r w:rsidRPr="00EC73EC">
        <w:t>30.</w:t>
      </w:r>
      <w:r w:rsidRPr="00EC73EC">
        <w:tab/>
        <w:t xml:space="preserve">konštatuje, že program auditu Útvaru pre vnútorný audit agentúry (IAC) na rok 2022 </w:t>
      </w:r>
      <w:r w:rsidRPr="00EC73EC">
        <w:lastRenderedPageBreak/>
        <w:t>pozostával z 8 zákaziek, konkrétne zo 4 auditov na účely vierohodnosti vrátane 1 auditu vykonaného útvarom IAS, 2 konzultačných a</w:t>
      </w:r>
      <w:r w:rsidR="00225025">
        <w:t>uditov a 2 následných auditov; konštatuje</w:t>
      </w:r>
      <w:r w:rsidRPr="00EC73EC">
        <w:t>,</w:t>
      </w:r>
      <w:r w:rsidR="00225025">
        <w:t xml:space="preserve"> </w:t>
      </w:r>
      <w:r w:rsidRPr="00EC73EC">
        <w:t xml:space="preserve"> že počas následných auditov v roku 2022 bolo možné uzavrieť 2 z 13 činností identifikovaných v rámci pôvodných auditov z roku 2021, zatiaľ čo šesť činností bolo vyhodnotených ako čiastočne vykonaných a päť činností zostalo otvorených; vyzýva agentúru, aby prijala potrebné opatrenia na riešenie týchto činností;</w:t>
      </w:r>
    </w:p>
    <w:p w:rsidR="005F361E" w:rsidRPr="00EC73EC" w:rsidRDefault="00475999">
      <w:pPr>
        <w:spacing w:after="240"/>
        <w:ind w:left="567" w:hanging="567"/>
        <w:rPr>
          <w:rFonts w:eastAsiaTheme="minorHAnsi"/>
          <w:b/>
          <w:i/>
          <w:szCs w:val="24"/>
        </w:rPr>
      </w:pPr>
      <w:r w:rsidRPr="00EC73EC">
        <w:rPr>
          <w:b/>
          <w:i/>
        </w:rPr>
        <w:t>Ďalšie pripomienky</w:t>
      </w:r>
    </w:p>
    <w:p w:rsidR="005F361E" w:rsidRPr="00EC73EC" w:rsidRDefault="00475999" w:rsidP="00B241FC">
      <w:pPr>
        <w:pStyle w:val="NormalHanging12a"/>
      </w:pPr>
      <w:r w:rsidRPr="00EC73EC">
        <w:t>31.</w:t>
      </w:r>
      <w:r w:rsidRPr="00EC73EC">
        <w:tab/>
        <w:t>víta zameranie agentúry na integráciu Ukrajiny ako kandidátskej krajiny do systému Únie;</w:t>
      </w:r>
    </w:p>
    <w:p w:rsidR="005F361E" w:rsidRPr="00EC73EC" w:rsidRDefault="00475999">
      <w:pPr>
        <w:spacing w:after="240"/>
        <w:ind w:left="567" w:hanging="567"/>
        <w:rPr>
          <w:szCs w:val="24"/>
        </w:rPr>
      </w:pPr>
      <w:r w:rsidRPr="00EC73EC">
        <w:t>32.</w:t>
      </w:r>
      <w:r w:rsidRPr="00EC73EC">
        <w:tab/>
        <w:t xml:space="preserve">na základe správy agentúry konštatuje, že v roku 2022 agentúra vykonala komplexnú štúdiu použiteľnosti zahŕňajúcu testovanie stromov a individuálny rozhovor s používateľom; konštatuje, že štúdia poskytla kvalitatívne poznatky, ktoré by mali v kombinácii s kvantitatívnymi poznatkami zlepšiť služby EASA Pro, EASA </w:t>
      </w:r>
      <w:proofErr w:type="spellStart"/>
      <w:r w:rsidRPr="00EC73EC">
        <w:t>Light</w:t>
      </w:r>
      <w:proofErr w:type="spellEnd"/>
      <w:r w:rsidRPr="00EC73EC">
        <w:t xml:space="preserve"> a komunity na webovom sídle agentúry; oceňuje, že agentúra zaviedla projekt, ktorého cieľom je sprístupniť službu EASA </w:t>
      </w:r>
      <w:proofErr w:type="spellStart"/>
      <w:r w:rsidRPr="00EC73EC">
        <w:t>Light</w:t>
      </w:r>
      <w:proofErr w:type="spellEnd"/>
      <w:r w:rsidRPr="00EC73EC">
        <w:t xml:space="preserve"> (špecializovanú časť webového sídla agentúry, ktorá vysvetľuje jej činnosti jednoduchou netechnickou angličtinou) vo všetkých úradných jazykoch Únie;</w:t>
      </w:r>
    </w:p>
    <w:p w:rsidR="005F361E" w:rsidRPr="00EC73EC" w:rsidRDefault="00475999">
      <w:pPr>
        <w:pStyle w:val="NormalCenter12a"/>
        <w:rPr>
          <w:szCs w:val="24"/>
        </w:rPr>
      </w:pPr>
      <w:r w:rsidRPr="00EC73EC">
        <w:t>°</w:t>
      </w:r>
    </w:p>
    <w:p w:rsidR="005F361E" w:rsidRPr="00EC73EC" w:rsidRDefault="00475999">
      <w:pPr>
        <w:pStyle w:val="NormalCenter12a"/>
        <w:rPr>
          <w:szCs w:val="24"/>
        </w:rPr>
      </w:pPr>
      <w:r w:rsidRPr="00EC73EC">
        <w:t>°</w:t>
      </w:r>
      <w:r w:rsidRPr="00EC73EC">
        <w:tab/>
        <w:t>°</w:t>
      </w:r>
    </w:p>
    <w:p w:rsidR="005F361E" w:rsidRPr="00EC73EC" w:rsidRDefault="00475999">
      <w:pPr>
        <w:pStyle w:val="NormalHanging12a"/>
        <w:rPr>
          <w:szCs w:val="24"/>
        </w:rPr>
      </w:pPr>
      <w:r w:rsidRPr="00EC73EC">
        <w:t>33.</w:t>
      </w:r>
      <w:r w:rsidRPr="00EC73EC">
        <w:tab/>
        <w:t>pokiaľ ide o ďalšie poznámky horizontálnej povahy, ktoré sú súčasťou rozhodnutia o absolutóriu, odvoláva sa na svoje uznesenie z 11. apríla 2024</w:t>
      </w:r>
      <w:r w:rsidRPr="00EC73EC">
        <w:rPr>
          <w:rStyle w:val="FootnoteReference"/>
          <w:szCs w:val="24"/>
        </w:rPr>
        <w:footnoteReference w:id="12"/>
      </w:r>
      <w:r w:rsidRPr="00EC73EC">
        <w:t xml:space="preserve"> o výkonnosti, finančnom hospodárení a kontrole agentúr.</w:t>
      </w:r>
    </w:p>
    <w:p w:rsidR="005F361E" w:rsidRPr="00EC73EC" w:rsidRDefault="005F361E"/>
    <w:p w:rsidR="005F361E" w:rsidRPr="00EC73EC" w:rsidRDefault="005F361E">
      <w:bookmarkStart w:id="9" w:name="TextBodyEnd"/>
      <w:bookmarkEnd w:id="9"/>
    </w:p>
    <w:sectPr w:rsidR="005F361E" w:rsidRPr="00EC73E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61E" w:rsidRDefault="00475999">
      <w:r>
        <w:separator/>
      </w:r>
    </w:p>
  </w:endnote>
  <w:endnote w:type="continuationSeparator" w:id="0">
    <w:p w:rsidR="005F361E" w:rsidRDefault="00475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61E" w:rsidRDefault="00475999">
    <w:pPr>
      <w:pStyle w:val="EPFooter"/>
    </w:pPr>
    <w:r>
      <w:t>PE</w:t>
    </w:r>
    <w:r>
      <w:rPr>
        <w:rStyle w:val="HideTWBExt"/>
      </w:rPr>
      <w:t>&lt;NoPE&gt;</w:t>
    </w:r>
    <w:r>
      <w:t>753.511</w:t>
    </w:r>
    <w:r>
      <w:rPr>
        <w:rStyle w:val="HideTWBExt"/>
      </w:rPr>
      <w:t>&lt;/NoPE&gt;&lt;Version&gt;</w:t>
    </w:r>
    <w:r>
      <w:t>v02-00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  <w:r>
      <w:t>/</w:t>
    </w:r>
    <w:fldSimple w:instr=" NUMPAGES  \* MERGEFORMAT ">
      <w:r>
        <w:rPr>
          <w:noProof/>
        </w:rPr>
        <w:t>4</w:t>
      </w:r>
    </w:fldSimple>
    <w:r>
      <w:tab/>
    </w:r>
    <w:r>
      <w:rPr>
        <w:rStyle w:val="HideTWBExt"/>
      </w:rPr>
      <w:t>&lt;PathFdR&gt;</w:t>
    </w:r>
    <w:r>
      <w:t>RR\1298981SK.docx</w:t>
    </w:r>
    <w:r>
      <w:rPr>
        <w:rStyle w:val="HideTWBExt"/>
      </w:rPr>
      <w:t>&lt;/PathFdR&gt;</w:t>
    </w:r>
  </w:p>
  <w:p w:rsidR="005F361E" w:rsidRDefault="00475999">
    <w:pPr>
      <w:pStyle w:val="EPFooter2"/>
    </w:pPr>
    <w: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61E" w:rsidRDefault="00475999">
    <w:pPr>
      <w:pStyle w:val="EPFooter"/>
    </w:pPr>
    <w:r>
      <w:rPr>
        <w:rStyle w:val="HideTWBExt"/>
      </w:rPr>
      <w:t>&lt;PathFdR&gt;</w:t>
    </w:r>
    <w:r>
      <w:t>RR\1298981SK.docx</w:t>
    </w:r>
    <w:r>
      <w:rPr>
        <w:rStyle w:val="HideTWBExt"/>
      </w:rPr>
      <w:t>&lt;/PathFdR&gt;</w:t>
    </w:r>
    <w:r>
      <w:tab/>
    </w:r>
    <w:r>
      <w:tab/>
      <w:t>PE</w:t>
    </w:r>
    <w:r>
      <w:rPr>
        <w:rStyle w:val="HideTWBExt"/>
      </w:rPr>
      <w:t>&lt;NoPE&gt;</w:t>
    </w:r>
    <w:r>
      <w:t>753.511</w:t>
    </w:r>
    <w:r>
      <w:rPr>
        <w:rStyle w:val="HideTWBExt"/>
      </w:rPr>
      <w:t>&lt;/NoPE&gt;&lt;Version&gt;</w:t>
    </w:r>
    <w:r>
      <w:t>v02-00</w:t>
    </w:r>
    <w:r>
      <w:rPr>
        <w:rStyle w:val="HideTWBExt"/>
      </w:rPr>
      <w:t>&lt;/Version&gt;</w:t>
    </w:r>
  </w:p>
  <w:p w:rsidR="005F361E" w:rsidRDefault="00475999">
    <w:pPr>
      <w:pStyle w:val="EPFooter2"/>
    </w:pPr>
    <w:r>
      <w:t>SK</w:t>
    </w:r>
    <w:r>
      <w:tab/>
    </w:r>
    <w:r>
      <w:rPr>
        <w:b w:val="0"/>
        <w:i/>
        <w:color w:val="C0C0C0"/>
        <w:sz w:val="22"/>
      </w:rPr>
      <w:t>Zjednotení v rozmanitosti</w:t>
    </w:r>
    <w:r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61E" w:rsidRDefault="005F361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61E" w:rsidRDefault="005F361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61E" w:rsidRDefault="005F361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61E" w:rsidRDefault="00475999">
      <w:r>
        <w:separator/>
      </w:r>
    </w:p>
  </w:footnote>
  <w:footnote w:type="continuationSeparator" w:id="0">
    <w:p w:rsidR="005F361E" w:rsidRDefault="00475999">
      <w:r>
        <w:continuationSeparator/>
      </w:r>
    </w:p>
  </w:footnote>
  <w:footnote w:id="1">
    <w:p w:rsidR="005F361E" w:rsidRPr="00D3610C" w:rsidRDefault="00475999">
      <w:pPr>
        <w:pStyle w:val="FootnoteText"/>
        <w:ind w:left="567" w:hanging="567"/>
        <w:rPr>
          <w:sz w:val="24"/>
          <w:lang w:val="sk-SK"/>
        </w:rPr>
      </w:pPr>
      <w:r w:rsidRPr="00D3610C">
        <w:rPr>
          <w:rStyle w:val="FootnoteReference"/>
          <w:sz w:val="24"/>
          <w:lang w:val="sk-SK"/>
        </w:rPr>
        <w:footnoteRef/>
      </w:r>
      <w:r w:rsidRPr="00D3610C">
        <w:rPr>
          <w:sz w:val="24"/>
          <w:lang w:val="sk-SK"/>
        </w:rPr>
        <w:t xml:space="preserve"> </w:t>
      </w:r>
      <w:r w:rsidRPr="00D3610C">
        <w:rPr>
          <w:sz w:val="24"/>
          <w:lang w:val="sk-SK"/>
        </w:rPr>
        <w:tab/>
        <w:t>Ú. v. EÚ</w:t>
      </w:r>
      <w:r w:rsidR="00936576" w:rsidRPr="00D3610C">
        <w:rPr>
          <w:sz w:val="24"/>
          <w:lang w:val="sk-SK"/>
        </w:rPr>
        <w:t xml:space="preserve"> C,</w:t>
      </w:r>
      <w:r w:rsidRPr="00D3610C">
        <w:rPr>
          <w:sz w:val="24"/>
          <w:lang w:val="sk-SK"/>
        </w:rPr>
        <w:t xml:space="preserve"> C/2023/594, 27.10.2023.</w:t>
      </w:r>
    </w:p>
  </w:footnote>
  <w:footnote w:id="2">
    <w:p w:rsidR="005F361E" w:rsidRPr="00D3610C" w:rsidRDefault="00475999">
      <w:pPr>
        <w:pStyle w:val="FootnoteText"/>
        <w:ind w:left="567" w:hanging="567"/>
        <w:rPr>
          <w:sz w:val="24"/>
          <w:lang w:val="sk-SK"/>
        </w:rPr>
      </w:pPr>
      <w:r w:rsidRPr="00D3610C">
        <w:rPr>
          <w:rStyle w:val="FootnoteReference"/>
          <w:sz w:val="24"/>
          <w:lang w:val="sk-SK"/>
        </w:rPr>
        <w:footnoteRef/>
      </w:r>
      <w:r w:rsidRPr="00D3610C">
        <w:rPr>
          <w:sz w:val="24"/>
          <w:lang w:val="sk-SK"/>
        </w:rPr>
        <w:t xml:space="preserve"> </w:t>
      </w:r>
      <w:r w:rsidRPr="00D3610C">
        <w:rPr>
          <w:sz w:val="24"/>
          <w:lang w:val="sk-SK"/>
        </w:rPr>
        <w:tab/>
        <w:t xml:space="preserve">Ú. v. EÚ </w:t>
      </w:r>
      <w:r w:rsidR="00936576" w:rsidRPr="00D3610C">
        <w:rPr>
          <w:sz w:val="24"/>
          <w:lang w:val="sk-SK"/>
        </w:rPr>
        <w:t xml:space="preserve">C, </w:t>
      </w:r>
      <w:r w:rsidRPr="00D3610C">
        <w:rPr>
          <w:sz w:val="24"/>
          <w:lang w:val="sk-SK"/>
        </w:rPr>
        <w:t>C/2023/112, 12.10.2023.</w:t>
      </w:r>
    </w:p>
  </w:footnote>
  <w:footnote w:id="3">
    <w:p w:rsidR="005F361E" w:rsidRPr="00D3610C" w:rsidRDefault="00475999">
      <w:pPr>
        <w:pStyle w:val="FootnoteText"/>
        <w:ind w:left="567" w:hanging="567"/>
        <w:rPr>
          <w:sz w:val="24"/>
          <w:lang w:val="sk-SK"/>
        </w:rPr>
      </w:pPr>
      <w:r w:rsidRPr="00D3610C">
        <w:rPr>
          <w:rStyle w:val="FootnoteReference"/>
          <w:sz w:val="24"/>
          <w:lang w:val="sk-SK"/>
        </w:rPr>
        <w:footnoteRef/>
      </w:r>
      <w:r w:rsidRPr="00D3610C">
        <w:rPr>
          <w:sz w:val="24"/>
          <w:lang w:val="sk-SK"/>
        </w:rPr>
        <w:t xml:space="preserve"> </w:t>
      </w:r>
      <w:r w:rsidRPr="00D3610C">
        <w:rPr>
          <w:sz w:val="24"/>
          <w:lang w:val="sk-SK"/>
        </w:rPr>
        <w:tab/>
        <w:t>Ú. v. EÚ L 193, 30.7.2018, s. 1.</w:t>
      </w:r>
    </w:p>
  </w:footnote>
  <w:footnote w:id="4">
    <w:p w:rsidR="005F361E" w:rsidRPr="00D3610C" w:rsidRDefault="00475999">
      <w:pPr>
        <w:pStyle w:val="FootnoteText"/>
        <w:ind w:left="567" w:hanging="567"/>
        <w:rPr>
          <w:sz w:val="24"/>
          <w:szCs w:val="24"/>
          <w:lang w:val="sk-SK"/>
        </w:rPr>
      </w:pPr>
      <w:r w:rsidRPr="00D3610C">
        <w:rPr>
          <w:rStyle w:val="FootnoteReference"/>
          <w:sz w:val="24"/>
          <w:lang w:val="sk-SK"/>
        </w:rPr>
        <w:footnoteRef/>
      </w:r>
      <w:r w:rsidRPr="00D3610C">
        <w:rPr>
          <w:sz w:val="24"/>
          <w:lang w:val="sk-SK"/>
        </w:rPr>
        <w:t xml:space="preserve"> </w:t>
      </w:r>
      <w:r w:rsidRPr="00D3610C">
        <w:rPr>
          <w:sz w:val="24"/>
          <w:lang w:val="sk-SK"/>
        </w:rPr>
        <w:tab/>
        <w:t>Ú. v. EÚ L 212, 22.8.2018, s. 1.</w:t>
      </w:r>
    </w:p>
  </w:footnote>
  <w:footnote w:id="5">
    <w:p w:rsidR="005F361E" w:rsidRPr="00D3610C" w:rsidRDefault="00475999">
      <w:pPr>
        <w:pStyle w:val="FootnoteText"/>
        <w:ind w:left="567" w:hanging="567"/>
        <w:rPr>
          <w:sz w:val="24"/>
          <w:lang w:val="sk-SK"/>
        </w:rPr>
      </w:pPr>
      <w:r w:rsidRPr="00D3610C">
        <w:rPr>
          <w:rStyle w:val="FootnoteReference"/>
          <w:sz w:val="24"/>
          <w:lang w:val="sk-SK"/>
        </w:rPr>
        <w:footnoteRef/>
      </w:r>
      <w:r w:rsidRPr="00D3610C">
        <w:rPr>
          <w:sz w:val="24"/>
          <w:lang w:val="sk-SK"/>
        </w:rPr>
        <w:t xml:space="preserve"> </w:t>
      </w:r>
      <w:r w:rsidRPr="00D3610C">
        <w:rPr>
          <w:sz w:val="24"/>
          <w:lang w:val="sk-SK"/>
        </w:rPr>
        <w:tab/>
        <w:t>Ú. v. EÚ L 122, 10.5.2019, s. 1.</w:t>
      </w:r>
    </w:p>
  </w:footnote>
  <w:footnote w:id="6">
    <w:p w:rsidR="005F361E" w:rsidRPr="00D3610C" w:rsidRDefault="00475999">
      <w:pPr>
        <w:pStyle w:val="FootnoteText"/>
        <w:ind w:left="567" w:hanging="567"/>
        <w:rPr>
          <w:sz w:val="24"/>
          <w:lang w:val="sk-SK"/>
        </w:rPr>
      </w:pPr>
      <w:r w:rsidRPr="00D3610C">
        <w:rPr>
          <w:rStyle w:val="FootnoteReference"/>
          <w:sz w:val="24"/>
          <w:lang w:val="sk-SK"/>
        </w:rPr>
        <w:footnoteRef/>
      </w:r>
      <w:r w:rsidRPr="00D3610C">
        <w:rPr>
          <w:sz w:val="24"/>
          <w:lang w:val="sk-SK"/>
        </w:rPr>
        <w:t xml:space="preserve"> </w:t>
      </w:r>
      <w:r w:rsidRPr="00D3610C">
        <w:rPr>
          <w:sz w:val="24"/>
          <w:lang w:val="sk-SK"/>
        </w:rPr>
        <w:tab/>
        <w:t xml:space="preserve">Ú. v. EÚ </w:t>
      </w:r>
      <w:r w:rsidR="00936576" w:rsidRPr="00D3610C">
        <w:rPr>
          <w:sz w:val="24"/>
          <w:lang w:val="sk-SK"/>
        </w:rPr>
        <w:t xml:space="preserve">C, </w:t>
      </w:r>
      <w:r w:rsidRPr="00D3610C">
        <w:rPr>
          <w:sz w:val="24"/>
          <w:lang w:val="sk-SK"/>
        </w:rPr>
        <w:t>C/2023/594, 27.10.2023.</w:t>
      </w:r>
    </w:p>
  </w:footnote>
  <w:footnote w:id="7">
    <w:p w:rsidR="005F361E" w:rsidRPr="00D3610C" w:rsidRDefault="00475999">
      <w:pPr>
        <w:pStyle w:val="FootnoteText"/>
        <w:ind w:left="567" w:hanging="567"/>
        <w:rPr>
          <w:sz w:val="24"/>
          <w:lang w:val="sk-SK"/>
        </w:rPr>
      </w:pPr>
      <w:r w:rsidRPr="00D3610C">
        <w:rPr>
          <w:rStyle w:val="FootnoteReference"/>
          <w:sz w:val="24"/>
          <w:lang w:val="sk-SK"/>
        </w:rPr>
        <w:footnoteRef/>
      </w:r>
      <w:r w:rsidRPr="00D3610C">
        <w:rPr>
          <w:sz w:val="24"/>
          <w:lang w:val="sk-SK"/>
        </w:rPr>
        <w:t xml:space="preserve"> </w:t>
      </w:r>
      <w:r w:rsidRPr="00D3610C">
        <w:rPr>
          <w:sz w:val="24"/>
          <w:lang w:val="sk-SK"/>
        </w:rPr>
        <w:tab/>
        <w:t xml:space="preserve">Ú. v. EÚ </w:t>
      </w:r>
      <w:r w:rsidR="00936576" w:rsidRPr="00D3610C">
        <w:rPr>
          <w:sz w:val="24"/>
          <w:lang w:val="sk-SK"/>
        </w:rPr>
        <w:t xml:space="preserve">C, </w:t>
      </w:r>
      <w:r w:rsidRPr="00D3610C">
        <w:rPr>
          <w:sz w:val="24"/>
          <w:lang w:val="sk-SK"/>
        </w:rPr>
        <w:t>C/2023/112, 12.10.2023.</w:t>
      </w:r>
    </w:p>
  </w:footnote>
  <w:footnote w:id="8">
    <w:p w:rsidR="005F361E" w:rsidRPr="00D3610C" w:rsidRDefault="00475999">
      <w:pPr>
        <w:pStyle w:val="FootnoteText"/>
        <w:ind w:left="567" w:hanging="567"/>
        <w:rPr>
          <w:sz w:val="24"/>
          <w:lang w:val="sk-SK"/>
        </w:rPr>
      </w:pPr>
      <w:r w:rsidRPr="00D3610C">
        <w:rPr>
          <w:rStyle w:val="FootnoteReference"/>
          <w:sz w:val="24"/>
          <w:lang w:val="sk-SK"/>
        </w:rPr>
        <w:footnoteRef/>
      </w:r>
      <w:r w:rsidRPr="00D3610C">
        <w:rPr>
          <w:sz w:val="24"/>
          <w:lang w:val="sk-SK"/>
        </w:rPr>
        <w:t xml:space="preserve"> </w:t>
      </w:r>
      <w:r w:rsidRPr="00D3610C">
        <w:rPr>
          <w:sz w:val="24"/>
          <w:lang w:val="sk-SK"/>
        </w:rPr>
        <w:tab/>
        <w:t>Ú. v. EÚ L 193, 30.7.2018, s. 1.</w:t>
      </w:r>
    </w:p>
  </w:footnote>
  <w:footnote w:id="9">
    <w:p w:rsidR="005F361E" w:rsidRPr="00D3610C" w:rsidRDefault="00475999">
      <w:pPr>
        <w:pStyle w:val="FootnoteText"/>
        <w:ind w:left="567" w:hanging="567"/>
        <w:rPr>
          <w:sz w:val="24"/>
          <w:lang w:val="sk-SK"/>
        </w:rPr>
      </w:pPr>
      <w:r w:rsidRPr="00D3610C">
        <w:rPr>
          <w:rStyle w:val="FootnoteReference"/>
          <w:sz w:val="24"/>
          <w:lang w:val="sk-SK"/>
        </w:rPr>
        <w:footnoteRef/>
      </w:r>
      <w:r w:rsidRPr="00D3610C">
        <w:rPr>
          <w:sz w:val="24"/>
          <w:lang w:val="sk-SK"/>
        </w:rPr>
        <w:t xml:space="preserve"> </w:t>
      </w:r>
      <w:r w:rsidRPr="00D3610C">
        <w:rPr>
          <w:sz w:val="24"/>
          <w:lang w:val="sk-SK"/>
        </w:rPr>
        <w:tab/>
        <w:t>Ú. v. EÚ L 212, 22.8.2018, s. 1.</w:t>
      </w:r>
    </w:p>
  </w:footnote>
  <w:footnote w:id="10">
    <w:p w:rsidR="005F361E" w:rsidRPr="00D3610C" w:rsidRDefault="00475999">
      <w:pPr>
        <w:pStyle w:val="FootnoteText"/>
        <w:ind w:left="567" w:hanging="567"/>
        <w:rPr>
          <w:sz w:val="24"/>
          <w:lang w:val="sk-SK"/>
        </w:rPr>
      </w:pPr>
      <w:r w:rsidRPr="00D3610C">
        <w:rPr>
          <w:rStyle w:val="FootnoteReference"/>
          <w:sz w:val="24"/>
          <w:lang w:val="sk-SK"/>
        </w:rPr>
        <w:footnoteRef/>
      </w:r>
      <w:r w:rsidRPr="00D3610C">
        <w:rPr>
          <w:sz w:val="24"/>
          <w:lang w:val="sk-SK"/>
        </w:rPr>
        <w:t xml:space="preserve"> </w:t>
      </w:r>
      <w:r w:rsidRPr="00D3610C">
        <w:rPr>
          <w:sz w:val="24"/>
          <w:lang w:val="sk-SK"/>
        </w:rPr>
        <w:tab/>
        <w:t>Ú. v. EÚ L 122, 10.5.2019, s. 1.</w:t>
      </w:r>
    </w:p>
  </w:footnote>
  <w:footnote w:id="11">
    <w:p w:rsidR="005F361E" w:rsidRPr="00D3610C" w:rsidRDefault="00475999">
      <w:pPr>
        <w:pStyle w:val="FootnoteText"/>
        <w:ind w:left="567" w:hanging="567"/>
        <w:rPr>
          <w:sz w:val="24"/>
          <w:lang w:val="sk-SK"/>
        </w:rPr>
      </w:pPr>
      <w:r w:rsidRPr="00D3610C">
        <w:rPr>
          <w:rStyle w:val="FootnoteReference"/>
          <w:sz w:val="24"/>
          <w:lang w:val="sk-SK"/>
        </w:rPr>
        <w:footnoteRef/>
      </w:r>
      <w:r w:rsidRPr="00D3610C">
        <w:rPr>
          <w:sz w:val="24"/>
          <w:lang w:val="sk-SK"/>
        </w:rPr>
        <w:t xml:space="preserve"> </w:t>
      </w:r>
      <w:r w:rsidRPr="00D3610C">
        <w:rPr>
          <w:sz w:val="24"/>
          <w:lang w:val="sk-SK"/>
        </w:rPr>
        <w:tab/>
        <w:t>Ú. v. EÚ C 73, 28.2.2023, s. 25.</w:t>
      </w:r>
    </w:p>
  </w:footnote>
  <w:footnote w:id="12">
    <w:p w:rsidR="005F361E" w:rsidRDefault="00475999">
      <w:pPr>
        <w:pStyle w:val="FootnoteText"/>
        <w:ind w:left="567" w:hanging="567"/>
        <w:rPr>
          <w:sz w:val="24"/>
          <w:lang w:val="sk-SK"/>
        </w:rPr>
      </w:pPr>
      <w:r w:rsidRPr="00D3610C">
        <w:rPr>
          <w:rStyle w:val="FootnoteReference"/>
          <w:sz w:val="24"/>
          <w:lang w:val="sk-SK"/>
        </w:rPr>
        <w:footnoteRef/>
      </w:r>
      <w:r w:rsidRPr="00D3610C">
        <w:rPr>
          <w:sz w:val="24"/>
          <w:lang w:val="sk-SK"/>
        </w:rPr>
        <w:t xml:space="preserve"> </w:t>
      </w:r>
      <w:r w:rsidRPr="00D3610C">
        <w:rPr>
          <w:sz w:val="24"/>
          <w:lang w:val="sk-SK"/>
        </w:rPr>
        <w:tab/>
        <w:t>Prijaté texty, P9_TA(2024)</w:t>
      </w:r>
      <w:r w:rsidR="00A679D8" w:rsidRPr="00D3610C">
        <w:rPr>
          <w:sz w:val="24"/>
          <w:lang w:val="sk-SK"/>
        </w:rPr>
        <w:t>0280</w:t>
      </w:r>
      <w:r w:rsidRPr="00D3610C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61E" w:rsidRDefault="005F361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61E" w:rsidRDefault="005F361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61E" w:rsidRDefault="005F361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6/2024"/>
    <w:docVar w:name="dvlangue" w:val="SK"/>
    <w:docVar w:name="dvnumam" w:val="0"/>
    <w:docVar w:name="dvpe" w:val="753.511"/>
    <w:docVar w:name="dvrapporteur" w:val="Spravodajca: "/>
    <w:docVar w:name="dvtitre" w:val="1. Rozhodnutie Európskeho parlamentu z 11. apríla 2024 o absolutóriu za plnenie rozpočtu Agentúry Európskej únie pre bezpečnosť letectva za rozpočtový rok 2022(2023/2145(DEC))"/>
  </w:docVars>
  <w:rsids>
    <w:rsidRoot w:val="005F361E"/>
    <w:rsid w:val="00225025"/>
    <w:rsid w:val="00475999"/>
    <w:rsid w:val="005F361E"/>
    <w:rsid w:val="00746065"/>
    <w:rsid w:val="00936576"/>
    <w:rsid w:val="00A679D8"/>
    <w:rsid w:val="00B241FC"/>
    <w:rsid w:val="00B86EDF"/>
    <w:rsid w:val="00BE271A"/>
    <w:rsid w:val="00D3610C"/>
    <w:rsid w:val="00EC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2B464"/>
  <w15:chartTrackingRefBased/>
  <w15:docId w15:val="{63D8DB39-92BA-4A66-B345-0F58EA28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sk-SK"/>
    </w:rPr>
  </w:style>
  <w:style w:type="character" w:customStyle="1" w:styleId="NormalHanging12aChar">
    <w:name w:val="NormalHanging12a Char"/>
    <w:basedOn w:val="DefaultParagraphFont"/>
    <w:link w:val="NormalHanging12a"/>
    <w:rPr>
      <w:sz w:val="24"/>
      <w:lang w:val="sk-SK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50FBF-3F0D-45F7-8F00-05D4C38A5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3760</Words>
  <Characters>23129</Characters>
  <Application>Microsoft Office Word</Application>
  <DocSecurity>0</DocSecurity>
  <Lines>192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2024-05-15T11:44:00Z</dcterms:created>
  <dcterms:modified xsi:type="dcterms:W3CDTF">2024-05-15T11:44:00Z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P9_TA(2024)0249_</vt:lpwstr>
  </property>
  <property fmtid="{D5CDD505-2E9C-101B-9397-08002B2CF9AE}" pid="4" name="&lt;Type&gt;">
    <vt:lpwstr>RR</vt:lpwstr>
  </property>
</Properties>
</file>