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F4DDB" w:rsidTr="0010095E">
        <w:trPr>
          <w:trHeight w:hRule="exact" w:val="1418"/>
        </w:trPr>
        <w:tc>
          <w:tcPr>
            <w:tcW w:w="6804" w:type="dxa"/>
            <w:shd w:val="clear" w:color="auto" w:fill="auto"/>
            <w:vAlign w:val="center"/>
          </w:tcPr>
          <w:p w:rsidR="00751A4A" w:rsidRPr="00DF4DDB" w:rsidRDefault="009430FB" w:rsidP="0010095E">
            <w:pPr>
              <w:pStyle w:val="EPName"/>
            </w:pPr>
            <w:r w:rsidRPr="00DF4DDB">
              <w:t>Европейски</w:t>
            </w:r>
            <w:r w:rsidR="00272548" w:rsidRPr="00DF4DDB">
              <w:t xml:space="preserve"> парламент</w:t>
            </w:r>
          </w:p>
          <w:p w:rsidR="00751A4A" w:rsidRPr="00DF4DDB" w:rsidRDefault="009430FB" w:rsidP="00756632">
            <w:pPr>
              <w:pStyle w:val="EPTerm"/>
              <w:rPr>
                <w:rStyle w:val="HideTWBExt"/>
                <w:noProof w:val="0"/>
                <w:vanish w:val="0"/>
                <w:color w:val="auto"/>
              </w:rPr>
            </w:pPr>
            <w:r>
              <w:t>2019 – </w:t>
            </w:r>
            <w:r w:rsidR="00817416" w:rsidRPr="00DF4DDB">
              <w:t>2024</w:t>
            </w:r>
          </w:p>
        </w:tc>
        <w:tc>
          <w:tcPr>
            <w:tcW w:w="2268" w:type="dxa"/>
            <w:shd w:val="clear" w:color="auto" w:fill="auto"/>
          </w:tcPr>
          <w:p w:rsidR="00751A4A" w:rsidRPr="00DF4DDB" w:rsidRDefault="00187494" w:rsidP="0010095E">
            <w:pPr>
              <w:pStyle w:val="EPLogo"/>
            </w:pPr>
            <w:r w:rsidRPr="00DF4DD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F4DDB" w:rsidRDefault="00D058B8" w:rsidP="004C5D52">
      <w:pPr>
        <w:pStyle w:val="LineTop"/>
      </w:pPr>
    </w:p>
    <w:p w:rsidR="00680577" w:rsidRPr="00DF4DDB" w:rsidRDefault="00272548" w:rsidP="00680577">
      <w:pPr>
        <w:pStyle w:val="EPBodyTA1"/>
      </w:pPr>
      <w:r w:rsidRPr="00DF4DDB">
        <w:t>ПРИЕТИ ТЕКСТОВЕ</w:t>
      </w:r>
    </w:p>
    <w:p w:rsidR="00D058B8" w:rsidRPr="00DF4DDB" w:rsidRDefault="00D058B8" w:rsidP="00D058B8">
      <w:pPr>
        <w:pStyle w:val="LineBottom"/>
      </w:pPr>
    </w:p>
    <w:p w:rsidR="00272548" w:rsidRPr="00DF4DDB" w:rsidRDefault="00272548" w:rsidP="00272548">
      <w:pPr>
        <w:pStyle w:val="ATHeading1"/>
      </w:pPr>
      <w:bookmarkStart w:id="0" w:name="TANumber"/>
      <w:r w:rsidRPr="00DF4DDB">
        <w:t>P9_TA(2024)0</w:t>
      </w:r>
      <w:r w:rsidR="00BA1FBF">
        <w:rPr>
          <w:lang w:val="en-GB"/>
        </w:rPr>
        <w:t>25</w:t>
      </w:r>
      <w:r w:rsidRPr="00DF4DDB">
        <w:t>0</w:t>
      </w:r>
      <w:bookmarkEnd w:id="0"/>
    </w:p>
    <w:p w:rsidR="00272548" w:rsidRPr="00DF4DDB" w:rsidRDefault="00272548" w:rsidP="00272548">
      <w:pPr>
        <w:pStyle w:val="ATHeading2"/>
      </w:pPr>
      <w:bookmarkStart w:id="1" w:name="title"/>
      <w:r w:rsidRPr="00DF4DDB">
        <w:t>Освобождаване от отговорност във връзка с изпълнението на бюджета за 2022 г.: Европейски орган за безопасност на храните</w:t>
      </w:r>
      <w:bookmarkEnd w:id="1"/>
    </w:p>
    <w:p w:rsidR="00272548" w:rsidRPr="00DF4DDB" w:rsidRDefault="00272548" w:rsidP="00272548">
      <w:pPr>
        <w:rPr>
          <w:i/>
          <w:vanish/>
        </w:rPr>
      </w:pPr>
      <w:r w:rsidRPr="00DF4DDB">
        <w:rPr>
          <w:i/>
        </w:rPr>
        <w:fldChar w:fldCharType="begin"/>
      </w:r>
      <w:r w:rsidRPr="00DF4DDB">
        <w:rPr>
          <w:i/>
        </w:rPr>
        <w:instrText xml:space="preserve"> TC"(</w:instrText>
      </w:r>
      <w:bookmarkStart w:id="2" w:name="DocNumber"/>
      <w:r w:rsidRPr="00DF4DDB">
        <w:rPr>
          <w:i/>
        </w:rPr>
        <w:instrText>A9-0129/2024</w:instrText>
      </w:r>
      <w:bookmarkEnd w:id="2"/>
      <w:r w:rsidRPr="00DF4DDB">
        <w:rPr>
          <w:i/>
        </w:rPr>
        <w:instrText xml:space="preserve"> - Докладчик: Петри Сарвама)"\l3 \n&gt; \* MERGEFORMAT </w:instrText>
      </w:r>
      <w:r w:rsidRPr="00DF4DDB">
        <w:rPr>
          <w:i/>
        </w:rPr>
        <w:fldChar w:fldCharType="end"/>
      </w:r>
    </w:p>
    <w:p w:rsidR="00272548" w:rsidRPr="00DF4DDB" w:rsidRDefault="00272548" w:rsidP="00272548">
      <w:pPr>
        <w:rPr>
          <w:vanish/>
        </w:rPr>
      </w:pPr>
      <w:bookmarkStart w:id="3" w:name="Commission"/>
      <w:r w:rsidRPr="00DF4DDB">
        <w:rPr>
          <w:vanish/>
        </w:rPr>
        <w:t>Комисия по бюджетен контрол</w:t>
      </w:r>
      <w:bookmarkEnd w:id="3"/>
    </w:p>
    <w:p w:rsidR="00272548" w:rsidRPr="00DF4DDB" w:rsidRDefault="00272548" w:rsidP="00272548">
      <w:pPr>
        <w:rPr>
          <w:vanish/>
        </w:rPr>
      </w:pPr>
      <w:bookmarkStart w:id="4" w:name="PE"/>
      <w:r w:rsidRPr="00DF4DDB">
        <w:rPr>
          <w:vanish/>
        </w:rPr>
        <w:t>PE753.519</w:t>
      </w:r>
      <w:bookmarkEnd w:id="4"/>
    </w:p>
    <w:p w:rsidR="00272548" w:rsidRPr="00DF4DDB" w:rsidRDefault="009430FB" w:rsidP="009430FB">
      <w:pPr>
        <w:pStyle w:val="ATHeading3"/>
      </w:pPr>
      <w:bookmarkStart w:id="5" w:name="Sujet"/>
      <w:r>
        <w:rPr>
          <w:lang w:val="en-GB"/>
        </w:rPr>
        <w:t xml:space="preserve">1. </w:t>
      </w:r>
      <w:r w:rsidR="00272548" w:rsidRPr="00DF4DDB">
        <w:t xml:space="preserve">Решение на Европейския парламент от </w:t>
      </w:r>
      <w:r>
        <w:rPr>
          <w:lang w:val="en-GB"/>
        </w:rPr>
        <w:t xml:space="preserve">11 </w:t>
      </w:r>
      <w:r>
        <w:t>април</w:t>
      </w:r>
      <w:r w:rsidRPr="00DF4DDB">
        <w:t xml:space="preserve"> </w:t>
      </w:r>
      <w:r w:rsidR="00272548" w:rsidRPr="00DF4DDB">
        <w:t>20</w:t>
      </w:r>
      <w:bookmarkStart w:id="6" w:name="_GoBack"/>
      <w:bookmarkEnd w:id="6"/>
      <w:r w:rsidR="00272548" w:rsidRPr="00DF4DDB">
        <w:t>24 г. относно освобождаването от отговорност във връзка с изпълнението на бюджета на Европейския орган за безопасност на храните за финансовата 2022 година</w:t>
      </w:r>
      <w:bookmarkEnd w:id="5"/>
      <w:r w:rsidR="00272548" w:rsidRPr="00DF4DDB">
        <w:t xml:space="preserve"> </w:t>
      </w:r>
      <w:bookmarkStart w:id="7" w:name="References"/>
      <w:r w:rsidR="00272548" w:rsidRPr="00DF4DDB">
        <w:t>(2023/2151(DEC))</w:t>
      </w:r>
      <w:bookmarkEnd w:id="7"/>
    </w:p>
    <w:p w:rsidR="00584D6C" w:rsidRPr="00DF4DDB" w:rsidRDefault="00584D6C" w:rsidP="00584D6C">
      <w:pPr>
        <w:pStyle w:val="EPComma"/>
      </w:pPr>
      <w:bookmarkStart w:id="8" w:name="TextBodyBegin"/>
      <w:bookmarkEnd w:id="8"/>
      <w:r w:rsidRPr="00DF4DDB">
        <w:rPr>
          <w:i/>
          <w:iCs/>
        </w:rPr>
        <w:t>Европейският парламент,</w:t>
      </w:r>
    </w:p>
    <w:p w:rsidR="00584D6C" w:rsidRPr="00DF4DDB" w:rsidRDefault="00584D6C" w:rsidP="00584D6C">
      <w:pPr>
        <w:pStyle w:val="NormalHanging12a"/>
      </w:pPr>
      <w:r w:rsidRPr="00DF4DDB">
        <w:t>–</w:t>
      </w:r>
      <w:r w:rsidRPr="00DF4DDB">
        <w:tab/>
        <w:t>като взе предвид окончателните годишни отчети на Европейския орган за безопасност на храните (ЕОБХ) за финансовата 2022 година,</w:t>
      </w:r>
    </w:p>
    <w:p w:rsidR="00584D6C" w:rsidRPr="00DF4DDB" w:rsidRDefault="00584D6C" w:rsidP="00584D6C">
      <w:pPr>
        <w:pStyle w:val="NormalHanging12a"/>
      </w:pPr>
      <w:r w:rsidRPr="00DF4DDB">
        <w:t>–</w:t>
      </w:r>
      <w:r w:rsidRPr="00DF4DDB">
        <w:tab/>
        <w:t>като взе предвид годишния доклад на Сметната палата относно агенциите на ЕС за финансовата 2022 година, придружен от отговорите на агенциите</w:t>
      </w:r>
      <w:r w:rsidRPr="00DF4DDB">
        <w:rPr>
          <w:rStyle w:val="FootnoteReference"/>
        </w:rPr>
        <w:footnoteReference w:id="1"/>
      </w:r>
      <w:r w:rsidRPr="00DF4DDB">
        <w:t>,</w:t>
      </w:r>
    </w:p>
    <w:p w:rsidR="00584D6C" w:rsidRPr="00DF4DDB" w:rsidRDefault="00584D6C" w:rsidP="00584D6C">
      <w:pPr>
        <w:pStyle w:val="NormalHanging12a"/>
      </w:pPr>
      <w:r w:rsidRPr="00DF4DDB">
        <w:t>–</w:t>
      </w:r>
      <w:r w:rsidRPr="00DF4DDB">
        <w:tab/>
        <w:t>като взе предвид декларацията за достоверност</w:t>
      </w:r>
      <w:r w:rsidRPr="00DF4DDB">
        <w:rPr>
          <w:rStyle w:val="FootnoteReference"/>
        </w:rPr>
        <w:footnoteReference w:id="2"/>
      </w:r>
      <w:r w:rsidRPr="00DF4DDB">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2022 година в съответствие с член 287 от Договора за функционирането на Европейския съюз,</w:t>
      </w:r>
    </w:p>
    <w:p w:rsidR="00584D6C" w:rsidRPr="00DF4DDB" w:rsidRDefault="00584D6C" w:rsidP="00584D6C">
      <w:pPr>
        <w:pStyle w:val="NormalHanging12a"/>
      </w:pPr>
      <w:r w:rsidRPr="00DF4DDB">
        <w:t>–</w:t>
      </w:r>
      <w:r w:rsidRPr="00DF4DDB">
        <w:tab/>
        <w:t>като взе предвид препоръката на Съвета от 22 февруари 2024 г. относно освобождаването от отговорност на Органа във връзка с изпълнението на бюджета за финансовата 2022 година (</w:t>
      </w:r>
      <w:r w:rsidR="00247418" w:rsidRPr="00247418">
        <w:t>06180</w:t>
      </w:r>
      <w:r w:rsidRPr="00DF4DDB">
        <w:t>/2024 – C9</w:t>
      </w:r>
      <w:r w:rsidRPr="00DF4DDB">
        <w:noBreakHyphen/>
      </w:r>
      <w:r w:rsidR="00247418" w:rsidRPr="00247418">
        <w:t>0089</w:t>
      </w:r>
      <w:r w:rsidRPr="00DF4DDB">
        <w:t>/2024),</w:t>
      </w:r>
    </w:p>
    <w:p w:rsidR="00584D6C" w:rsidRPr="00DF4DDB" w:rsidRDefault="00584D6C" w:rsidP="00584D6C">
      <w:pPr>
        <w:pStyle w:val="NormalHanging12a"/>
      </w:pPr>
      <w:r w:rsidRPr="00DF4DDB">
        <w:t>–</w:t>
      </w:r>
      <w:r w:rsidRPr="00DF4DDB">
        <w:tab/>
        <w:t>като взе предвид член 319 от Договора за функционирането на Европейския съюз,</w:t>
      </w:r>
    </w:p>
    <w:p w:rsidR="00584D6C" w:rsidRPr="00DF4DDB" w:rsidRDefault="00584D6C" w:rsidP="00584D6C">
      <w:pPr>
        <w:pStyle w:val="NormalHanging12a"/>
      </w:pPr>
      <w:r w:rsidRPr="00DF4DDB">
        <w:t>–</w:t>
      </w:r>
      <w:r w:rsidRPr="00DF4DDB">
        <w:tab/>
        <w:t xml:space="preserve">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w:t>
      </w:r>
      <w:r w:rsidRPr="00DF4DDB">
        <w:lastRenderedPageBreak/>
        <w:t>отмяна на Регламент (ЕС, Евратом) № 966/2012</w:t>
      </w:r>
      <w:r w:rsidRPr="00DF4DDB">
        <w:rPr>
          <w:rStyle w:val="FootnoteReference"/>
        </w:rPr>
        <w:footnoteReference w:id="3"/>
      </w:r>
      <w:r w:rsidRPr="00DF4DDB">
        <w:t>, и по-специално член 70 от него,</w:t>
      </w:r>
    </w:p>
    <w:p w:rsidR="00584D6C" w:rsidRPr="00DF4DDB" w:rsidRDefault="00584D6C" w:rsidP="00584D6C">
      <w:pPr>
        <w:pStyle w:val="NormalHanging12a"/>
      </w:pPr>
      <w:r w:rsidRPr="00DF4DDB">
        <w:t>–</w:t>
      </w:r>
      <w:r w:rsidRPr="00DF4DDB">
        <w:tab/>
        <w:t>като взе предвид Регламент (ЕО) № 178/2002 на Европейския парламент и на Съвета от 28 януари 2002 г. за установяване на общите принципи и изисквания на законодателството в областта на храните, за създаване на Европейски орган за безопасност на храните и за определяне на процедури относно безопасността на храните</w:t>
      </w:r>
      <w:r w:rsidRPr="00DF4DDB">
        <w:rPr>
          <w:rStyle w:val="FootnoteReference"/>
        </w:rPr>
        <w:footnoteReference w:id="4"/>
      </w:r>
      <w:r w:rsidRPr="00DF4DDB">
        <w:t>, и по-специално член 44 от него,</w:t>
      </w:r>
    </w:p>
    <w:p w:rsidR="00584D6C" w:rsidRPr="00DF4DDB" w:rsidRDefault="00584D6C" w:rsidP="00584D6C">
      <w:pPr>
        <w:pStyle w:val="NormalHanging12a"/>
      </w:pPr>
      <w:r w:rsidRPr="00DF4DDB">
        <w:t>–</w:t>
      </w:r>
      <w:r w:rsidRPr="00DF4DDB">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DF4DDB">
        <w:rPr>
          <w:rStyle w:val="FootnoteReference"/>
        </w:rPr>
        <w:footnoteReference w:id="5"/>
      </w:r>
      <w:r w:rsidRPr="00DF4DDB">
        <w:t>, и по-специално член 105 от него,</w:t>
      </w:r>
    </w:p>
    <w:p w:rsidR="00584D6C" w:rsidRPr="00DF4DDB" w:rsidRDefault="00584D6C" w:rsidP="00584D6C">
      <w:pPr>
        <w:pStyle w:val="NormalHanging12a"/>
      </w:pPr>
      <w:r w:rsidRPr="00DF4DDB">
        <w:t>–</w:t>
      </w:r>
      <w:r w:rsidRPr="00DF4DDB">
        <w:tab/>
        <w:t>като взе предвид член 100 и приложение V към своя Правилник за дейността,</w:t>
      </w:r>
    </w:p>
    <w:p w:rsidR="00584D6C" w:rsidRPr="00DF4DDB" w:rsidRDefault="00584D6C" w:rsidP="00584D6C">
      <w:pPr>
        <w:pStyle w:val="NormalHanging12a"/>
      </w:pPr>
      <w:r w:rsidRPr="00DF4DDB">
        <w:t>–</w:t>
      </w:r>
      <w:r w:rsidRPr="00DF4DDB">
        <w:tab/>
        <w:t>като взе предвид становището на комисията по околна среда, обществено здраве и безопасност на храните,</w:t>
      </w:r>
    </w:p>
    <w:p w:rsidR="00584D6C" w:rsidRPr="00DF4DDB" w:rsidRDefault="00584D6C" w:rsidP="00584D6C">
      <w:pPr>
        <w:pStyle w:val="NormalHanging12a"/>
      </w:pPr>
      <w:r w:rsidRPr="00DF4DDB">
        <w:t>–</w:t>
      </w:r>
      <w:r w:rsidRPr="00DF4DDB">
        <w:tab/>
        <w:t>като взе предвид доклада на комисията по бюджетен контрол (A9-0129/2024),</w:t>
      </w:r>
    </w:p>
    <w:p w:rsidR="00584D6C" w:rsidRPr="00DF4DDB" w:rsidRDefault="00584D6C" w:rsidP="00584D6C">
      <w:pPr>
        <w:pStyle w:val="NormalHanging12a"/>
      </w:pPr>
      <w:r w:rsidRPr="00DF4DDB">
        <w:t>1.</w:t>
      </w:r>
      <w:r w:rsidRPr="00DF4DDB">
        <w:tab/>
        <w:t>освобождава от отговорност изпълнителния директор на Европейския орган за безопасност на храните във връзка с изпълнението на бюджета на Органа за финансовата 2022 година;</w:t>
      </w:r>
    </w:p>
    <w:p w:rsidR="00584D6C" w:rsidRPr="00DF4DDB" w:rsidRDefault="00584D6C" w:rsidP="00584D6C">
      <w:pPr>
        <w:pStyle w:val="NormalHanging12a"/>
      </w:pPr>
      <w:r w:rsidRPr="00DF4DDB">
        <w:t>2.</w:t>
      </w:r>
      <w:r w:rsidRPr="00DF4DDB">
        <w:tab/>
        <w:t>представя своите забележки в резолюцията по-долу;</w:t>
      </w:r>
    </w:p>
    <w:p w:rsidR="00584D6C" w:rsidRPr="00DF4DDB" w:rsidRDefault="00584D6C" w:rsidP="00584D6C">
      <w:pPr>
        <w:pStyle w:val="NormalHanging12a"/>
      </w:pPr>
      <w:r w:rsidRPr="00DF4DDB">
        <w:t>3.</w:t>
      </w:r>
      <w:r w:rsidRPr="00DF4DDB">
        <w:tab/>
        <w:t xml:space="preserve">възлага на своя председател да предаде настоящото решение, както и резолюцията, която е неразделна част от него, на изпълнителния директор на Европейския орган за безопасност на храните, на Съвета, Комисията и Сметната палата и да осигури публикуването им в </w:t>
      </w:r>
      <w:r w:rsidRPr="00DF4DDB">
        <w:rPr>
          <w:i/>
          <w:iCs/>
        </w:rPr>
        <w:t>Официален вестник на Европейския съюз</w:t>
      </w:r>
      <w:r w:rsidRPr="00DF4DDB">
        <w:t xml:space="preserve"> (серия L).</w:t>
      </w:r>
    </w:p>
    <w:p w:rsidR="00584D6C" w:rsidRPr="00DF4DDB" w:rsidRDefault="00584D6C" w:rsidP="00584D6C"/>
    <w:p w:rsidR="00584D6C" w:rsidRPr="00DF4DDB" w:rsidRDefault="00584D6C" w:rsidP="00584D6C">
      <w:pPr>
        <w:widowControl/>
        <w:rPr>
          <w:rFonts w:ascii="Arial" w:hAnsi="Arial" w:cs="Arial"/>
          <w:b/>
        </w:rPr>
        <w:sectPr w:rsidR="00584D6C" w:rsidRPr="00DF4DDB" w:rsidSect="00DF4DDB">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584D6C" w:rsidRPr="00DF4DDB" w:rsidRDefault="00584D6C" w:rsidP="009430FB">
      <w:pPr>
        <w:pStyle w:val="ATHeading3"/>
      </w:pPr>
      <w:bookmarkStart w:id="9" w:name="_Toc146807918"/>
      <w:bookmarkStart w:id="10" w:name="_Toc161993805"/>
      <w:r w:rsidRPr="00DF4DDB">
        <w:lastRenderedPageBreak/>
        <w:t xml:space="preserve">2. </w:t>
      </w:r>
      <w:bookmarkEnd w:id="9"/>
      <w:bookmarkEnd w:id="10"/>
      <w:r w:rsidR="009430FB">
        <w:t xml:space="preserve">Решение на Европейския парламент от 11 април 2024 г. </w:t>
      </w:r>
      <w:r w:rsidRPr="00DF4DDB">
        <w:t>относно приключването на сметките на Европейския орган за безопасност на храните за финансовата 2022 година</w:t>
      </w:r>
      <w:r w:rsidR="009430FB">
        <w:t xml:space="preserve"> (2023</w:t>
      </w:r>
      <w:r w:rsidRPr="00DF4DDB">
        <w:t>/2151(DEC))</w:t>
      </w:r>
    </w:p>
    <w:p w:rsidR="00584D6C" w:rsidRPr="00DF4DDB" w:rsidRDefault="00584D6C" w:rsidP="00584D6C">
      <w:pPr>
        <w:pStyle w:val="EPComma"/>
      </w:pPr>
      <w:r w:rsidRPr="00DF4DDB">
        <w:rPr>
          <w:i/>
          <w:iCs/>
        </w:rPr>
        <w:t>Европейският парламент,</w:t>
      </w:r>
    </w:p>
    <w:p w:rsidR="00584D6C" w:rsidRPr="00DF4DDB" w:rsidRDefault="00584D6C" w:rsidP="00584D6C">
      <w:pPr>
        <w:pStyle w:val="NormalHanging12a"/>
      </w:pPr>
      <w:r w:rsidRPr="00DF4DDB">
        <w:t>–</w:t>
      </w:r>
      <w:r w:rsidRPr="00DF4DDB">
        <w:tab/>
        <w:t>като взе предвид окончателните годишни отчети на Европейския орган за безопасност на храните (ЕОБХ) за финансовата 2022 година,</w:t>
      </w:r>
    </w:p>
    <w:p w:rsidR="00584D6C" w:rsidRPr="00DF4DDB" w:rsidRDefault="00584D6C" w:rsidP="00584D6C">
      <w:pPr>
        <w:pStyle w:val="NormalHanging12a"/>
      </w:pPr>
      <w:r w:rsidRPr="00DF4DDB">
        <w:t>–</w:t>
      </w:r>
      <w:r w:rsidRPr="00DF4DDB">
        <w:tab/>
        <w:t>като взе предвид годишния доклад на Сметната палата относно агенциите на ЕС за финансовата 2022 година, придружен от отговорите на агенциите</w:t>
      </w:r>
      <w:r w:rsidRPr="00DF4DDB">
        <w:rPr>
          <w:rStyle w:val="FootnoteReference"/>
        </w:rPr>
        <w:footnoteReference w:id="6"/>
      </w:r>
      <w:r w:rsidRPr="00DF4DDB">
        <w:t>,</w:t>
      </w:r>
    </w:p>
    <w:p w:rsidR="00584D6C" w:rsidRPr="00DF4DDB" w:rsidRDefault="00584D6C" w:rsidP="00584D6C">
      <w:pPr>
        <w:pStyle w:val="NormalHanging12a"/>
      </w:pPr>
      <w:r w:rsidRPr="00DF4DDB">
        <w:t>–</w:t>
      </w:r>
      <w:r w:rsidRPr="00DF4DDB">
        <w:tab/>
        <w:t>като взе предвид декларацията за достоверност</w:t>
      </w:r>
      <w:r w:rsidRPr="00DF4DDB">
        <w:rPr>
          <w:rStyle w:val="FootnoteReference"/>
        </w:rPr>
        <w:footnoteReference w:id="7"/>
      </w:r>
      <w:r w:rsidRPr="00DF4DDB">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2022 година в съответствие с член 287 от Договора за функционирането на Европейския съюз,</w:t>
      </w:r>
    </w:p>
    <w:p w:rsidR="00584D6C" w:rsidRPr="00DF4DDB" w:rsidRDefault="00584D6C" w:rsidP="00584D6C">
      <w:pPr>
        <w:pStyle w:val="NormalHanging12a"/>
      </w:pPr>
      <w:r w:rsidRPr="00DF4DDB">
        <w:t>–</w:t>
      </w:r>
      <w:r w:rsidRPr="00DF4DDB">
        <w:tab/>
        <w:t>като взе предвид препоръката на Съвета от 22 февруари 2024 г. относно освобождаването от отговорност на Органа във връзка с изпълнението на бюджета за финансовата 2022 година (</w:t>
      </w:r>
      <w:r w:rsidR="00247418" w:rsidRPr="00247418">
        <w:t>06180</w:t>
      </w:r>
      <w:r w:rsidRPr="00DF4DDB">
        <w:t>/2024 – C9</w:t>
      </w:r>
      <w:r w:rsidRPr="00DF4DDB">
        <w:noBreakHyphen/>
      </w:r>
      <w:r w:rsidR="00247418" w:rsidRPr="00247418">
        <w:t>0089</w:t>
      </w:r>
      <w:r w:rsidRPr="00DF4DDB">
        <w:t>/2024),</w:t>
      </w:r>
    </w:p>
    <w:p w:rsidR="00584D6C" w:rsidRPr="00DF4DDB" w:rsidRDefault="00584D6C" w:rsidP="00584D6C">
      <w:pPr>
        <w:pStyle w:val="NormalHanging12a"/>
      </w:pPr>
      <w:r w:rsidRPr="00DF4DDB">
        <w:t>–</w:t>
      </w:r>
      <w:r w:rsidRPr="00DF4DDB">
        <w:tab/>
        <w:t>като взе предвид член 319 от Договора за функционирането на Европейския съюз,</w:t>
      </w:r>
    </w:p>
    <w:p w:rsidR="00584D6C" w:rsidRPr="00DF4DDB" w:rsidRDefault="00584D6C" w:rsidP="00584D6C">
      <w:pPr>
        <w:pStyle w:val="NormalHanging12a"/>
      </w:pPr>
      <w:r w:rsidRPr="00DF4DDB">
        <w:t>–</w:t>
      </w:r>
      <w:r w:rsidRPr="00DF4DDB">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DF4DDB">
        <w:rPr>
          <w:rStyle w:val="FootnoteReference"/>
        </w:rPr>
        <w:footnoteReference w:id="8"/>
      </w:r>
      <w:r w:rsidRPr="00DF4DDB">
        <w:t>, и по-специално член 70 от него,</w:t>
      </w:r>
    </w:p>
    <w:p w:rsidR="00584D6C" w:rsidRPr="00DF4DDB" w:rsidRDefault="00584D6C" w:rsidP="00584D6C">
      <w:pPr>
        <w:pStyle w:val="NormalHanging12a"/>
      </w:pPr>
      <w:r w:rsidRPr="00DF4DDB">
        <w:t>–</w:t>
      </w:r>
      <w:r w:rsidRPr="00DF4DDB">
        <w:tab/>
        <w:t>като взе предвид Регламент (ЕО) № 178/2002 на Европейския парламент и на Съвета от 28 януари 2002 г. за установяване на общите принципи и изисквания на законодателството в областта на храните, за създаване на Европейски орган за безопасност на храните и за определяне на процедури относно безопасността на храните</w:t>
      </w:r>
      <w:r w:rsidRPr="00DF4DDB">
        <w:rPr>
          <w:rStyle w:val="FootnoteReference"/>
        </w:rPr>
        <w:footnoteReference w:id="9"/>
      </w:r>
      <w:r w:rsidRPr="00DF4DDB">
        <w:t>, и по-специално член 44 от него,</w:t>
      </w:r>
    </w:p>
    <w:p w:rsidR="00584D6C" w:rsidRPr="00DF4DDB" w:rsidRDefault="00584D6C" w:rsidP="00584D6C">
      <w:pPr>
        <w:pStyle w:val="NormalHanging12a"/>
      </w:pPr>
      <w:r w:rsidRPr="00DF4DDB">
        <w:t>–</w:t>
      </w:r>
      <w:r w:rsidRPr="00DF4DDB">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DF4DDB">
        <w:rPr>
          <w:rStyle w:val="FootnoteReference"/>
        </w:rPr>
        <w:footnoteReference w:id="10"/>
      </w:r>
      <w:r w:rsidRPr="00DF4DDB">
        <w:t>, и по-специално член 105 от него,</w:t>
      </w:r>
    </w:p>
    <w:p w:rsidR="00584D6C" w:rsidRPr="00DF4DDB" w:rsidRDefault="00584D6C" w:rsidP="00584D6C">
      <w:pPr>
        <w:pStyle w:val="NormalHanging12a"/>
      </w:pPr>
      <w:r w:rsidRPr="00DF4DDB">
        <w:t>–</w:t>
      </w:r>
      <w:r w:rsidRPr="00DF4DDB">
        <w:tab/>
        <w:t>като взе предвид член 100 и приложение V към своя Правилник за дейността,</w:t>
      </w:r>
    </w:p>
    <w:p w:rsidR="00584D6C" w:rsidRPr="00DF4DDB" w:rsidRDefault="00584D6C" w:rsidP="00584D6C">
      <w:pPr>
        <w:pStyle w:val="NormalHanging12a"/>
      </w:pPr>
      <w:r w:rsidRPr="00DF4DDB">
        <w:t>–</w:t>
      </w:r>
      <w:r w:rsidRPr="00DF4DDB">
        <w:tab/>
        <w:t xml:space="preserve">като взе предвид становището на комисията по околна среда, обществено здраве и </w:t>
      </w:r>
      <w:r w:rsidRPr="00DF4DDB">
        <w:lastRenderedPageBreak/>
        <w:t>безопасност на храните,</w:t>
      </w:r>
    </w:p>
    <w:p w:rsidR="00584D6C" w:rsidRPr="00DF4DDB" w:rsidRDefault="00584D6C" w:rsidP="00584D6C">
      <w:pPr>
        <w:pStyle w:val="NormalHanging12a"/>
      </w:pPr>
      <w:r w:rsidRPr="00DF4DDB">
        <w:t>–</w:t>
      </w:r>
      <w:r w:rsidRPr="00DF4DDB">
        <w:tab/>
        <w:t>като взе предвид доклада на комисията по бюджетен контрол (A9-0129/2024),</w:t>
      </w:r>
    </w:p>
    <w:p w:rsidR="00584D6C" w:rsidRPr="00DF4DDB" w:rsidRDefault="00584D6C" w:rsidP="00584D6C">
      <w:pPr>
        <w:pStyle w:val="NormalHanging12a"/>
      </w:pPr>
      <w:r w:rsidRPr="00DF4DDB">
        <w:t>1.</w:t>
      </w:r>
      <w:r w:rsidRPr="00DF4DDB">
        <w:tab/>
        <w:t>одобрява приключването на сметките на Европейския орган за безопасност на храните за финансовата 2022 година;</w:t>
      </w:r>
    </w:p>
    <w:p w:rsidR="00584D6C" w:rsidRPr="00DF4DDB" w:rsidRDefault="00584D6C" w:rsidP="00584D6C">
      <w:pPr>
        <w:pStyle w:val="NormalHanging12a"/>
      </w:pPr>
      <w:r w:rsidRPr="00DF4DDB">
        <w:t>2.</w:t>
      </w:r>
      <w:r w:rsidRPr="00DF4DDB">
        <w:tab/>
        <w:t xml:space="preserve">възлага на своя председател да предаде настоящото решение на изпълнителния директор на Европейския орган за безопасност на храните, на Съвета, Комисията и Сметната палата и да осигури публикуването му в </w:t>
      </w:r>
      <w:r w:rsidRPr="00DF4DDB">
        <w:rPr>
          <w:i/>
          <w:iCs/>
        </w:rPr>
        <w:t>Официален вестник на Европейския съюз</w:t>
      </w:r>
      <w:r w:rsidRPr="00DF4DDB">
        <w:t xml:space="preserve"> (серия L).</w:t>
      </w:r>
    </w:p>
    <w:p w:rsidR="00584D6C" w:rsidRPr="00DF4DDB" w:rsidRDefault="00584D6C" w:rsidP="00584D6C"/>
    <w:p w:rsidR="00584D6C" w:rsidRPr="00DF4DDB" w:rsidRDefault="00584D6C" w:rsidP="00584D6C">
      <w:pPr>
        <w:widowControl/>
        <w:rPr>
          <w:rFonts w:ascii="Arial" w:hAnsi="Arial" w:cs="Arial"/>
          <w:b/>
        </w:rPr>
        <w:sectPr w:rsidR="00584D6C" w:rsidRPr="00DF4DDB" w:rsidSect="00DF4DDB">
          <w:footnotePr>
            <w:numRestart w:val="eachPage"/>
          </w:footnotePr>
          <w:endnotePr>
            <w:numFmt w:val="decimal"/>
          </w:endnotePr>
          <w:pgSz w:w="11906" w:h="16838"/>
          <w:pgMar w:top="1134" w:right="1418" w:bottom="1418" w:left="1418" w:header="567" w:footer="567" w:gutter="0"/>
          <w:cols w:space="720"/>
          <w:docGrid w:linePitch="326"/>
        </w:sectPr>
      </w:pPr>
    </w:p>
    <w:p w:rsidR="00584D6C" w:rsidRPr="00DF4DDB" w:rsidRDefault="00584D6C" w:rsidP="009430FB">
      <w:pPr>
        <w:pStyle w:val="ATHeading3"/>
      </w:pPr>
      <w:bookmarkStart w:id="11" w:name="_Toc146807919"/>
      <w:bookmarkStart w:id="12" w:name="_Toc161993806"/>
      <w:r w:rsidRPr="00DF4DDB">
        <w:lastRenderedPageBreak/>
        <w:t xml:space="preserve">3. </w:t>
      </w:r>
      <w:bookmarkEnd w:id="11"/>
      <w:bookmarkEnd w:id="12"/>
      <w:r w:rsidR="009430FB">
        <w:t>Резолюция на Европейския парламент от 11 април 2024 г., съдържаща</w:t>
      </w:r>
      <w:r w:rsidRPr="00DF4DDB">
        <w:t xml:space="preserve"> забележките, които са неразделна част от решението за освобождаване от отговорност във връзка с изпълнението на бюджета на Европейския орган за безопасност на храните за финансовата 2022 година</w:t>
      </w:r>
      <w:r w:rsidR="009430FB">
        <w:t xml:space="preserve"> (2023</w:t>
      </w:r>
      <w:r w:rsidRPr="00DF4DDB">
        <w:t>/2151(DEC))</w:t>
      </w:r>
    </w:p>
    <w:p w:rsidR="00584D6C" w:rsidRPr="00DF4DDB" w:rsidRDefault="00584D6C" w:rsidP="00584D6C">
      <w:pPr>
        <w:pStyle w:val="EPComma"/>
      </w:pPr>
      <w:r w:rsidRPr="00DF4DDB">
        <w:rPr>
          <w:i/>
          <w:iCs/>
        </w:rPr>
        <w:t>Европейският парламент,</w:t>
      </w:r>
    </w:p>
    <w:p w:rsidR="00584D6C" w:rsidRPr="00DF4DDB" w:rsidRDefault="00584D6C" w:rsidP="00584D6C">
      <w:pPr>
        <w:pStyle w:val="NormalHanging12a"/>
      </w:pPr>
      <w:r w:rsidRPr="00DF4DDB">
        <w:t>–</w:t>
      </w:r>
      <w:r w:rsidRPr="00DF4DDB">
        <w:tab/>
        <w:t>като взе предвид своето решение за освобождаване от отговорност във връзка с изпълнението на бюджета на Европейския орган за безопасност на храните за финансовата 2022 година,</w:t>
      </w:r>
    </w:p>
    <w:p w:rsidR="00584D6C" w:rsidRPr="00DF4DDB" w:rsidRDefault="00584D6C" w:rsidP="00584D6C">
      <w:pPr>
        <w:pStyle w:val="NormalHanging12a"/>
      </w:pPr>
      <w:r w:rsidRPr="00DF4DDB">
        <w:t>–</w:t>
      </w:r>
      <w:r w:rsidRPr="00DF4DDB">
        <w:tab/>
        <w:t>като взе предвид член 100 и приложение V към своя Правилник за дейността,</w:t>
      </w:r>
    </w:p>
    <w:p w:rsidR="00584D6C" w:rsidRPr="00DF4DDB" w:rsidRDefault="00584D6C" w:rsidP="00584D6C">
      <w:pPr>
        <w:pStyle w:val="NormalHanging12a"/>
      </w:pPr>
      <w:r w:rsidRPr="00DF4DDB">
        <w:t>–</w:t>
      </w:r>
      <w:r w:rsidRPr="00DF4DDB">
        <w:tab/>
        <w:t>като взе предвид становището на комисията по околна среда, обществено здраве и безопасност на храните,</w:t>
      </w:r>
    </w:p>
    <w:p w:rsidR="00584D6C" w:rsidRPr="00DF4DDB" w:rsidRDefault="00584D6C" w:rsidP="00584D6C">
      <w:pPr>
        <w:pStyle w:val="NormalHanging12a"/>
      </w:pPr>
      <w:r w:rsidRPr="00DF4DDB">
        <w:t>–</w:t>
      </w:r>
      <w:r w:rsidRPr="00DF4DDB">
        <w:tab/>
        <w:t>като взе предвид доклада на комисията по бюджетен контрол (A9-0129/2024),</w:t>
      </w:r>
    </w:p>
    <w:p w:rsidR="00584D6C" w:rsidRPr="00DF4DDB" w:rsidRDefault="00584D6C" w:rsidP="00584D6C">
      <w:pPr>
        <w:autoSpaceDE w:val="0"/>
        <w:autoSpaceDN w:val="0"/>
        <w:adjustRightInd w:val="0"/>
        <w:spacing w:after="240"/>
        <w:ind w:left="567" w:hanging="567"/>
        <w:rPr>
          <w:rFonts w:eastAsia="Calibri"/>
          <w:szCs w:val="24"/>
        </w:rPr>
      </w:pPr>
      <w:r w:rsidRPr="00DF4DDB">
        <w:t>А.</w:t>
      </w:r>
      <w:r w:rsidRPr="00DF4DDB">
        <w:tab/>
        <w:t>като има предвид, че според отчета за приходите и разходите</w:t>
      </w:r>
      <w:r w:rsidRPr="00DF4DDB">
        <w:rPr>
          <w:rFonts w:eastAsia="Calibri"/>
          <w:szCs w:val="24"/>
          <w:vertAlign w:val="superscript"/>
        </w:rPr>
        <w:footnoteReference w:id="11"/>
      </w:r>
      <w:r w:rsidRPr="00DF4DDB">
        <w:t xml:space="preserve"> на Европейския орган за безопасност на храните („Органа“) неговият окончателен бюджет за финансовата 2022 година възлиза на 149 841 816,93 EUR, което представлява увеличение от 15,99% спрямо 2021 г.; като има предвид, че бюджетът на Органа се осигурява основно от бюджета на Съюза;</w:t>
      </w:r>
    </w:p>
    <w:p w:rsidR="00584D6C" w:rsidRPr="00DF4DDB" w:rsidRDefault="00584D6C" w:rsidP="00584D6C">
      <w:pPr>
        <w:spacing w:after="240"/>
        <w:ind w:left="567" w:hanging="567"/>
        <w:rPr>
          <w:szCs w:val="24"/>
        </w:rPr>
      </w:pPr>
      <w:r w:rsidRPr="00DF4DDB">
        <w:t>Б.</w:t>
      </w:r>
      <w:r w:rsidRPr="00DF4DDB">
        <w:tab/>
        <w:t>като има предвид, че в своя доклад относно годишните отчети на Органа за финансовата 2022 година („доклада на Палатата“) Сметната палата („Палатата“) заявява, че е получила достатъчна увереност, че годишните отчети на Органа са надеждни и че свързаните с тях операции са законосъобразни и редовни;</w:t>
      </w:r>
    </w:p>
    <w:p w:rsidR="00584D6C" w:rsidRPr="00DF4DDB" w:rsidRDefault="00584D6C" w:rsidP="00584D6C">
      <w:pPr>
        <w:widowControl/>
        <w:spacing w:after="240"/>
        <w:ind w:left="567" w:hanging="567"/>
        <w:rPr>
          <w:szCs w:val="24"/>
        </w:rPr>
      </w:pPr>
      <w:r w:rsidRPr="00DF4DDB">
        <w:t>В.</w:t>
      </w:r>
      <w:r w:rsidRPr="00DF4DDB">
        <w:tab/>
        <w:t>като има предвид, че за 2022 г. в сектора на обществените поръчки на Органа не са докладвани проблеми, изискващи предприемането на корективни действия, нито има текущи или неизпълнени корективни действия от одити и оценки от предходни години;</w:t>
      </w:r>
    </w:p>
    <w:p w:rsidR="00584D6C" w:rsidRPr="00DF4DDB" w:rsidRDefault="00584D6C" w:rsidP="00584D6C">
      <w:pPr>
        <w:widowControl/>
        <w:spacing w:after="240"/>
        <w:ind w:left="567" w:hanging="567"/>
        <w:rPr>
          <w:szCs w:val="24"/>
        </w:rPr>
      </w:pPr>
      <w:r w:rsidRPr="00DF4DDB">
        <w:t>Г.</w:t>
      </w:r>
      <w:r w:rsidRPr="00DF4DDB">
        <w:tab/>
        <w:t>като има предвид, че за 2022 г. по отношение на системите за вътрешен контрол на Органа не са докладвани проблеми, изискващи предприемането на корективни действия, нито има текущи или неизпълнени корективни действия от одити и оценки от предходни години;</w:t>
      </w:r>
    </w:p>
    <w:p w:rsidR="00584D6C" w:rsidRPr="00DF4DDB" w:rsidRDefault="00584D6C" w:rsidP="00584D6C">
      <w:pPr>
        <w:spacing w:after="240"/>
        <w:ind w:left="567" w:hanging="567"/>
        <w:rPr>
          <w:b/>
          <w:i/>
          <w:szCs w:val="24"/>
        </w:rPr>
      </w:pPr>
      <w:r w:rsidRPr="00DF4DDB">
        <w:rPr>
          <w:b/>
          <w:i/>
        </w:rPr>
        <w:t>Бюджетно и финансово управление</w:t>
      </w:r>
    </w:p>
    <w:p w:rsidR="00584D6C" w:rsidRPr="00DF4DDB" w:rsidRDefault="00584D6C" w:rsidP="00584D6C">
      <w:pPr>
        <w:spacing w:after="240"/>
        <w:ind w:left="567" w:hanging="567"/>
        <w:rPr>
          <w:szCs w:val="24"/>
        </w:rPr>
      </w:pPr>
      <w:r w:rsidRPr="00DF4DDB">
        <w:t>1.</w:t>
      </w:r>
      <w:r w:rsidRPr="00DF4DDB">
        <w:tab/>
        <w:t>отбелязва със задоволство, че усилията за контрол на бюджета през финансовата 2022 година са довели до степен на изпълнение на бюджетните кредити за поети задължения за текущата година от 99,95%, което представлява леко намаление с 0,04% спрямо 2021 г.; отбелязва освен това, че степента на изпълнение на бюджетните кредити за плащания за текущата година е 89,77%, което представлява увеличение с 0,92% спрямо 2021 г.;</w:t>
      </w:r>
    </w:p>
    <w:p w:rsidR="00584D6C" w:rsidRPr="00DF4DDB" w:rsidRDefault="00584D6C" w:rsidP="00584D6C">
      <w:pPr>
        <w:pStyle w:val="NormalHanging12a"/>
      </w:pPr>
      <w:r w:rsidRPr="00DF4DDB">
        <w:t>2.</w:t>
      </w:r>
      <w:r w:rsidRPr="00DF4DDB">
        <w:tab/>
        <w:t xml:space="preserve">отбелязва, че липсата на ресурси и длъжности за служители, отговарящи за </w:t>
      </w:r>
      <w:r w:rsidRPr="00DF4DDB">
        <w:lastRenderedPageBreak/>
        <w:t xml:space="preserve">продуктите за растителна защита в регулаторните органи, води до забавяния при одобряването на </w:t>
      </w:r>
      <w:proofErr w:type="spellStart"/>
      <w:r w:rsidRPr="00DF4DDB">
        <w:t>нискорискови</w:t>
      </w:r>
      <w:proofErr w:type="spellEnd"/>
      <w:r w:rsidRPr="00DF4DDB">
        <w:t xml:space="preserve"> активни вещества и актуализирането на методологиите за оценка в съответствие с научното развитие, което би намалило въздействието на продуктите за растителна защита върху околната среда в дългосрочен план; призовава Комисията да предприеме подходящи мерки, за да гарантира, че Органът разполага с достатъчно ресурси и длъжности, за да може да помага на държавите членки да спазват сроковете, определени в Регламент (ЕО) № 1107/2009, както и да удвои броя на ежегодните оценки на активните вещества за продуктите за растителна защита и да утрои темпа за разработване на методологиите, с цел да се гарантира, че оценките на риска съответстват на най-новите научни достижения и на обществените очаквания;</w:t>
      </w:r>
    </w:p>
    <w:p w:rsidR="00584D6C" w:rsidRPr="00DF4DDB" w:rsidRDefault="00584D6C" w:rsidP="00584D6C">
      <w:pPr>
        <w:spacing w:after="240"/>
        <w:ind w:left="567" w:hanging="567"/>
        <w:rPr>
          <w:b/>
          <w:i/>
          <w:szCs w:val="24"/>
        </w:rPr>
      </w:pPr>
      <w:r w:rsidRPr="00DF4DDB">
        <w:rPr>
          <w:b/>
          <w:i/>
        </w:rPr>
        <w:t>Изпълнение</w:t>
      </w:r>
    </w:p>
    <w:p w:rsidR="00584D6C" w:rsidRPr="00DF4DDB" w:rsidRDefault="00584D6C" w:rsidP="00584D6C">
      <w:pPr>
        <w:pStyle w:val="NormalHanging12a"/>
      </w:pPr>
      <w:r w:rsidRPr="00DF4DDB">
        <w:t>3.</w:t>
      </w:r>
      <w:r w:rsidRPr="00DF4DDB">
        <w:tab/>
        <w:t>приветства приноса на Органа за безопасността на хранителната верига за хората и животните в Съюза, както и значителните усилия, които той полага, за да предостави на лицата, отговарящи за управлението на риска, подробни, независими и актуални научни съвети по въпроси, свързани с хранителната верига, да информира ясно обществеността за постигнатите резултати и за информацията, на която се основават тези резултати, както и да си сътрудничи със заинтересованите страни и институционалните партньори с цел насърчаване на сближаването и доверието в системата за безопасност на храните;</w:t>
      </w:r>
    </w:p>
    <w:p w:rsidR="00584D6C" w:rsidRPr="00DF4DDB" w:rsidRDefault="00584D6C" w:rsidP="00584D6C">
      <w:pPr>
        <w:pStyle w:val="NormalHanging12a"/>
        <w:rPr>
          <w:szCs w:val="24"/>
        </w:rPr>
      </w:pPr>
      <w:r w:rsidRPr="00DF4DDB">
        <w:t>4.</w:t>
      </w:r>
      <w:r w:rsidRPr="00DF4DDB">
        <w:tab/>
        <w:t>отбелязва със задоволство, че Органът е въвел интегрирана рамка за изпълнение, свързваща ресурсите и дейностите с крайните продукти и очакваните резултати, като рамката е допълнена от набор от ключови показатели за ефективност (КПЕ) с цел мониторинг и стимулиране на изпълнението; отбелязва освен това, че изпълнението спрямо целите, заложени в рамката на изпълнението, е достигнало общ дял от 96%; отбелязва, че за областите по стратегическа цел 2 (Обезпечаване на готовност за бъдещите потребности от анализ на риска) и стратегическа цел 3 (Осигуряване на възможности за хората и гарантиране на организационна гъвкавост) като цяло са постигнати добри резултати, а за областта по стратегическа цел 1 (Предоставяне на надеждни научни консултации и уведомяване за рисковете във връзка със стратегията „От фермата до трапезата“), която е силно повлияна от прилагането на новите правила и процедури по Регламент (ЕС) 2019/1381</w:t>
      </w:r>
      <w:r w:rsidRPr="00DF4DDB">
        <w:rPr>
          <w:rStyle w:val="FootnoteReference"/>
          <w:szCs w:val="24"/>
        </w:rPr>
        <w:footnoteReference w:id="12"/>
      </w:r>
      <w:r w:rsidRPr="00DF4DDB">
        <w:t>, се наблюдава отклонение от целта;</w:t>
      </w:r>
    </w:p>
    <w:p w:rsidR="00584D6C" w:rsidRPr="00DF4DDB" w:rsidRDefault="00584D6C" w:rsidP="00584D6C">
      <w:pPr>
        <w:pStyle w:val="NormalHanging12a"/>
        <w:rPr>
          <w:szCs w:val="24"/>
        </w:rPr>
      </w:pPr>
      <w:r w:rsidRPr="00DF4DDB">
        <w:t>5.</w:t>
      </w:r>
      <w:r w:rsidRPr="00DF4DDB">
        <w:tab/>
        <w:t xml:space="preserve">подчертава, че Органът е приключил 586 научни въпроса от целевите 701 въпроса по цел 1: „Предоставяне на надеждни научни консултации и уведомяване за рисковете във връзка със стратегията „От фермата до трапезата“; отбелязва, че макар броят на приключените научни въпроси да е по-малък от прогнозираните стойности, той като цяло съвпада с този на </w:t>
      </w:r>
      <w:proofErr w:type="spellStart"/>
      <w:r w:rsidRPr="00DF4DDB">
        <w:t>новопостъпилите</w:t>
      </w:r>
      <w:proofErr w:type="spellEnd"/>
      <w:r w:rsidRPr="00DF4DDB">
        <w:t xml:space="preserve"> въпроси, получени през годината, като по този начин се гарантира, че броят на неприключените </w:t>
      </w:r>
      <w:r w:rsidRPr="00DF4DDB">
        <w:lastRenderedPageBreak/>
        <w:t>въпроси не се е увеличил;</w:t>
      </w:r>
    </w:p>
    <w:p w:rsidR="00584D6C" w:rsidRPr="00DF4DDB" w:rsidRDefault="00584D6C" w:rsidP="00584D6C">
      <w:pPr>
        <w:pStyle w:val="NormalHanging12a"/>
        <w:rPr>
          <w:szCs w:val="24"/>
        </w:rPr>
      </w:pPr>
      <w:r w:rsidRPr="00DF4DDB">
        <w:t>6.</w:t>
      </w:r>
      <w:r w:rsidRPr="00DF4DDB">
        <w:tab/>
        <w:t>приветства факта, че при информирането за констатациите са отчетени много добри резултати, като се запазват положителните резултати, постигнати през последните две години във връзка с навременното публикуване на информация в списанието на Органа;</w:t>
      </w:r>
    </w:p>
    <w:p w:rsidR="00584D6C" w:rsidRPr="00DF4DDB" w:rsidRDefault="00584D6C" w:rsidP="00584D6C">
      <w:pPr>
        <w:pStyle w:val="NormalHanging12a"/>
        <w:rPr>
          <w:szCs w:val="24"/>
        </w:rPr>
      </w:pPr>
      <w:r w:rsidRPr="00DF4DDB">
        <w:t>7.</w:t>
      </w:r>
      <w:r w:rsidRPr="00DF4DDB">
        <w:tab/>
        <w:t>отбелязва, че 2022 г. беше първата година от изпълнението на стратегията до 2027 г., целяща да доразвие стратегията до 2020 г., която е насочена към прилагането на Регламент  (ЕС) 2019/1381 (в краткосрочен план) и подготвя Органа за адаптиране към новите развиващи се политики на Съюза (в дългосрочен план);</w:t>
      </w:r>
    </w:p>
    <w:p w:rsidR="00584D6C" w:rsidRPr="00DF4DDB" w:rsidRDefault="00584D6C" w:rsidP="00584D6C">
      <w:pPr>
        <w:pStyle w:val="NormalHanging12a"/>
        <w:rPr>
          <w:szCs w:val="24"/>
        </w:rPr>
      </w:pPr>
      <w:r w:rsidRPr="00DF4DDB">
        <w:t>8.</w:t>
      </w:r>
      <w:r w:rsidRPr="00DF4DDB">
        <w:tab/>
        <w:t>приветства организирането от Органа на конференция относно здравето, околната среда и обществото през юни 2022 г., която подчертава връзката между здравето на хората и това на животните и на околната среда, и ни приближава към подхода „едно здраве – една околна среда“;</w:t>
      </w:r>
    </w:p>
    <w:p w:rsidR="00584D6C" w:rsidRPr="00DF4DDB" w:rsidRDefault="00584D6C" w:rsidP="00584D6C">
      <w:pPr>
        <w:pStyle w:val="NormalHanging12a"/>
        <w:rPr>
          <w:szCs w:val="24"/>
        </w:rPr>
      </w:pPr>
      <w:r w:rsidRPr="00DF4DDB">
        <w:t>9.</w:t>
      </w:r>
      <w:r w:rsidRPr="00DF4DDB">
        <w:tab/>
        <w:t>отбелязва, че Органът е стартирал кампания във връзка с африканската чума по свинете, в партньорство с 18 държави членки; отбелязва освен това, че Органът е допринесъл за разработването и изпълнението на стратегията на ЕС за химикалите;</w:t>
      </w:r>
    </w:p>
    <w:p w:rsidR="00584D6C" w:rsidRPr="00DF4DDB" w:rsidRDefault="00584D6C" w:rsidP="00584D6C">
      <w:pPr>
        <w:pStyle w:val="NormalHanging12a"/>
      </w:pPr>
      <w:r w:rsidRPr="00DF4DDB">
        <w:t>10.</w:t>
      </w:r>
      <w:r w:rsidRPr="00DF4DDB">
        <w:tab/>
        <w:t>отбелязва, че според годишното проучване на стратегията, стартирано от Органа с искане за обратна информация от неговите клиенти, партньори и заинтересовани страни, които участват пряко или непряко в предоставянето на научни становища за Органа, капацитетът на Органа за своевременно предоставяне на съвети продължава да бъде обект на внимание;</w:t>
      </w:r>
    </w:p>
    <w:p w:rsidR="00584D6C" w:rsidRPr="00DF4DDB" w:rsidRDefault="00584D6C" w:rsidP="00584D6C">
      <w:pPr>
        <w:pStyle w:val="NormalHanging12a"/>
        <w:rPr>
          <w:b/>
          <w:i/>
          <w:szCs w:val="24"/>
        </w:rPr>
      </w:pPr>
      <w:r w:rsidRPr="00DF4DDB">
        <w:rPr>
          <w:b/>
          <w:i/>
        </w:rPr>
        <w:t>Ефикасност и успехи</w:t>
      </w:r>
    </w:p>
    <w:p w:rsidR="00584D6C" w:rsidRPr="00DF4DDB" w:rsidRDefault="00584D6C" w:rsidP="00584D6C">
      <w:pPr>
        <w:pStyle w:val="NormalHanging12a"/>
        <w:rPr>
          <w:szCs w:val="24"/>
        </w:rPr>
      </w:pPr>
      <w:r w:rsidRPr="00DF4DDB">
        <w:t>11.</w:t>
      </w:r>
      <w:r w:rsidRPr="00DF4DDB">
        <w:tab/>
        <w:t xml:space="preserve">отбелязва, че Органът си сътрудничи с Европейската агенция по химикали в контекста на новата стратегия на Съюза за химикалите, както и с Европейския център за профилактика и контрол върху заболяванията с цел разработване на системи за събиране и анализ на данни за </w:t>
      </w:r>
      <w:proofErr w:type="spellStart"/>
      <w:r w:rsidRPr="00DF4DDB">
        <w:t>геномното</w:t>
      </w:r>
      <w:proofErr w:type="spellEnd"/>
      <w:r w:rsidRPr="00DF4DDB">
        <w:t xml:space="preserve"> </w:t>
      </w:r>
      <w:proofErr w:type="spellStart"/>
      <w:r w:rsidRPr="00DF4DDB">
        <w:t>секвениране</w:t>
      </w:r>
      <w:proofErr w:type="spellEnd"/>
      <w:r w:rsidRPr="00DF4DDB">
        <w:t>; отбелязва освен това, че Органът е споделял човешки и научноизследователски ресурси със сродни агенции и със Съвместния изследователски център; също така подчертава хоризонталните ползи от съвместната работа и от адаптирането на най-добрите практики;</w:t>
      </w:r>
    </w:p>
    <w:p w:rsidR="00584D6C" w:rsidRPr="00DF4DDB" w:rsidRDefault="00584D6C" w:rsidP="00584D6C">
      <w:pPr>
        <w:pStyle w:val="NormalHanging12a"/>
        <w:rPr>
          <w:szCs w:val="24"/>
        </w:rPr>
      </w:pPr>
      <w:r w:rsidRPr="00DF4DDB">
        <w:t>12.</w:t>
      </w:r>
      <w:r w:rsidRPr="00DF4DDB">
        <w:tab/>
        <w:t>отбелязва, че през 2022 г. Органът е положил повече усилия за консолидиране на прилагането на новите процеси и информационни инструменти, като се е опитал да постигне високо равнище на ефективност и да максимизира полезните взаимодействия с други агенции; отбелязва освен това, че част от резултатите на Органа във връзка с ефективността и подобряването на информационните инструментите, предприети през периода 2020—2022 г., не са били приключени до края на 2023 г.;</w:t>
      </w:r>
    </w:p>
    <w:p w:rsidR="00584D6C" w:rsidRPr="00DF4DDB" w:rsidRDefault="00584D6C" w:rsidP="00584D6C">
      <w:pPr>
        <w:pStyle w:val="NormalHanging12a"/>
      </w:pPr>
      <w:r w:rsidRPr="00DF4DDB">
        <w:t>13.</w:t>
      </w:r>
      <w:r w:rsidRPr="00DF4DDB">
        <w:tab/>
        <w:t>приветства намерението на Органа да засили съвместното управление на данните с държавите членки и с други агенции с цел подобряване на качеството на данните и на оперативната съвместимост (в съответствие с подхода „Едно здраве“);</w:t>
      </w:r>
    </w:p>
    <w:p w:rsidR="00584D6C" w:rsidRPr="00DF4DDB" w:rsidRDefault="00584D6C" w:rsidP="00584D6C">
      <w:pPr>
        <w:spacing w:after="240"/>
        <w:ind w:left="567" w:hanging="567"/>
        <w:rPr>
          <w:b/>
          <w:i/>
          <w:szCs w:val="24"/>
        </w:rPr>
      </w:pPr>
      <w:r w:rsidRPr="00DF4DDB">
        <w:rPr>
          <w:b/>
          <w:i/>
        </w:rPr>
        <w:lastRenderedPageBreak/>
        <w:t>Политика относно персонала</w:t>
      </w:r>
    </w:p>
    <w:p w:rsidR="00584D6C" w:rsidRPr="00DF4DDB" w:rsidRDefault="00584D6C" w:rsidP="00584D6C">
      <w:pPr>
        <w:spacing w:after="240"/>
        <w:ind w:left="567" w:hanging="567"/>
        <w:rPr>
          <w:rFonts w:eastAsia="Calibri"/>
          <w:szCs w:val="24"/>
        </w:rPr>
      </w:pPr>
      <w:r w:rsidRPr="00DF4DDB">
        <w:t>14.</w:t>
      </w:r>
      <w:r w:rsidRPr="00DF4DDB">
        <w:tab/>
        <w:t>отбелязва, че към 31 декември 2022 г. процентът на изпълнение на щатното разписание е бил 95,55%, като са били назначени 5 длъжностни лица и 382 срочно наети служители на общо 405-те длъжности, разрешени съгласно бюджета на Съюза (спрямо 380 разрешени длъжности през 2021 г.); отбелязва, че освен това през 2022 г. за Органа са работили 170 договорно наети служители и 14 командировани национални експерти; отбелязва също така, че с цел прилагане на Регламент (ЕС) 2019/1381, през 2022 г. Органът е получил 31 нови щатни бройки и 15 допълнителни бройки за договорно наети служители за периода 2022—2024 г.;</w:t>
      </w:r>
    </w:p>
    <w:p w:rsidR="00584D6C" w:rsidRPr="00DF4DDB" w:rsidRDefault="00584D6C" w:rsidP="00584D6C">
      <w:pPr>
        <w:widowControl/>
        <w:spacing w:after="240"/>
        <w:ind w:left="567" w:hanging="567"/>
        <w:rPr>
          <w:szCs w:val="24"/>
        </w:rPr>
      </w:pPr>
      <w:r w:rsidRPr="00DF4DDB">
        <w:t>15.</w:t>
      </w:r>
      <w:r w:rsidRPr="00DF4DDB">
        <w:tab/>
        <w:t>отбелязва, че през 2022 г. при служителите на Органа е постигнат баланс между половете, като 335 от общо 557 служители са били жени (60,1%), а в управителния съвет на Органа 37 от общо 70 членове са били жени (52,9%); отбелязва, че при висшите и ръководните длъжности делът на мъжете (63%) е по-голям от този на жените (37%); призовава Органа да положи повече усилия за преодоляване на неравнопоставеността между половете при висшите и ръководните длъжности;</w:t>
      </w:r>
    </w:p>
    <w:p w:rsidR="00584D6C" w:rsidRPr="00DF4DDB" w:rsidRDefault="00584D6C" w:rsidP="00584D6C">
      <w:pPr>
        <w:spacing w:after="240"/>
        <w:ind w:left="567" w:hanging="567"/>
        <w:rPr>
          <w:rFonts w:eastAsia="Calibri"/>
          <w:szCs w:val="24"/>
        </w:rPr>
      </w:pPr>
      <w:r w:rsidRPr="00DF4DDB">
        <w:t>16.</w:t>
      </w:r>
      <w:r w:rsidRPr="00DF4DDB">
        <w:tab/>
        <w:t>отбелязва, че през 2022 г. медицинската служба е докладвала за три случая на професионално изчерпване (</w:t>
      </w:r>
      <w:proofErr w:type="spellStart"/>
      <w:r w:rsidRPr="00DF4DDB">
        <w:t>бърнаут</w:t>
      </w:r>
      <w:proofErr w:type="spellEnd"/>
      <w:r w:rsidRPr="00DF4DDB">
        <w:t>);</w:t>
      </w:r>
      <w:r w:rsidRPr="00DF4DDB">
        <w:rPr>
          <w:rFonts w:ascii="Segoe UI" w:hAnsi="Segoe UI"/>
          <w:color w:val="374151"/>
        </w:rPr>
        <w:t xml:space="preserve"> </w:t>
      </w:r>
      <w:r w:rsidRPr="00DF4DDB">
        <w:t>подчертава голямото значение на поддържането на баланс между професионалните отговорности и личния живот на служителите; призовава Органа да продължи да насърчава поддържането на здравословен баланс между професионалния и личния живот на служителите;</w:t>
      </w:r>
    </w:p>
    <w:p w:rsidR="00584D6C" w:rsidRPr="00DF4DDB" w:rsidRDefault="00584D6C" w:rsidP="00584D6C">
      <w:pPr>
        <w:spacing w:after="240"/>
        <w:ind w:left="567" w:hanging="567"/>
        <w:rPr>
          <w:rFonts w:eastAsia="Calibri"/>
          <w:szCs w:val="24"/>
        </w:rPr>
      </w:pPr>
      <w:r w:rsidRPr="00DF4DDB">
        <w:t>17.</w:t>
      </w:r>
      <w:r w:rsidRPr="00DF4DDB">
        <w:tab/>
        <w:t>отбелязва, че Органът се придържа към ценностите на мрежата на агенциите на ЕС и Хартата за многообразие и приобщаване, и че работи за нейното възможно най-бързо приемане; отбелязва освен това участието на Органа в работната група на мрежата на агенциите на ЕС по въпросите на многообразието и приобщаването чрез споделяне на полезни взаимодействия, информация и ресурси във връзка с многообразието и приобщаването; отбелязва освен това реализацията на някои вътрешни инициативи, като например създаването на нов уебсайт за кариерното развитие и видеоклип за работата на Органа, със специална насоченост към областта на многообразието и приобщаването;</w:t>
      </w:r>
    </w:p>
    <w:p w:rsidR="00584D6C" w:rsidRPr="00DF4DDB" w:rsidRDefault="00584D6C" w:rsidP="00584D6C">
      <w:pPr>
        <w:spacing w:after="240"/>
        <w:ind w:left="567" w:hanging="567"/>
        <w:rPr>
          <w:rFonts w:eastAsia="Calibri"/>
          <w:szCs w:val="24"/>
        </w:rPr>
      </w:pPr>
      <w:r w:rsidRPr="00DF4DDB">
        <w:t>18.</w:t>
      </w:r>
      <w:r w:rsidRPr="00DF4DDB">
        <w:tab/>
        <w:t>отбелязва, че Органът е приел „Насоки за прилагане във връзка с помощта за хората с увреждания“, с които се насърчава социалната политика и равното третиране на служителите на работното място; отбелязва освен това, че сградата на Органа е проектирана в съответствие с италианските разпоредби за достъпност за хората с увреждания;</w:t>
      </w:r>
    </w:p>
    <w:p w:rsidR="00584D6C" w:rsidRPr="00DF4DDB" w:rsidRDefault="00584D6C" w:rsidP="00584D6C">
      <w:pPr>
        <w:spacing w:after="240"/>
        <w:ind w:left="567" w:hanging="567"/>
        <w:rPr>
          <w:rFonts w:eastAsia="Calibri"/>
          <w:szCs w:val="24"/>
        </w:rPr>
      </w:pPr>
      <w:r w:rsidRPr="00DF4DDB">
        <w:t>19.</w:t>
      </w:r>
      <w:r w:rsidRPr="00DF4DDB">
        <w:tab/>
        <w:t>отбелязва, че от 1 януари 2022 г. е въведена нова организационна структура с цел подкрепа за прилагането на Регламент (ЕС) 2019/1381 и амбициите на стратегията на Органа за 2027 г.;</w:t>
      </w:r>
    </w:p>
    <w:p w:rsidR="00584D6C" w:rsidRPr="00DF4DDB" w:rsidRDefault="00584D6C" w:rsidP="00584D6C">
      <w:pPr>
        <w:spacing w:after="240"/>
        <w:ind w:left="567" w:hanging="567"/>
        <w:rPr>
          <w:b/>
          <w:i/>
          <w:szCs w:val="24"/>
        </w:rPr>
      </w:pPr>
      <w:r w:rsidRPr="00DF4DDB">
        <w:rPr>
          <w:b/>
          <w:i/>
        </w:rPr>
        <w:t>Предотвратяване и управление на конфликти на интереси и прозрачност</w:t>
      </w:r>
    </w:p>
    <w:p w:rsidR="00584D6C" w:rsidRPr="00DF4DDB" w:rsidRDefault="00584D6C" w:rsidP="00584D6C">
      <w:pPr>
        <w:spacing w:after="240"/>
        <w:ind w:left="567" w:hanging="567"/>
        <w:rPr>
          <w:rFonts w:eastAsia="Calibri"/>
          <w:szCs w:val="24"/>
        </w:rPr>
      </w:pPr>
      <w:r w:rsidRPr="00DF4DDB">
        <w:t>20.</w:t>
      </w:r>
      <w:r w:rsidRPr="00DF4DDB">
        <w:tab/>
        <w:t xml:space="preserve">отбелязва, че управителният съвет и оперативното ръководство на Органа са подписали декларация за конфликт на интереси, която е публикувана и е достъпна на уебсайта на Органа; отбелязва освен това, че автобиографиите на членовете и </w:t>
      </w:r>
      <w:r w:rsidRPr="00DF4DDB">
        <w:lastRenderedPageBreak/>
        <w:t>заместник-членовете на управителния съвет бяха публикувани до края на 2023 г.;</w:t>
      </w:r>
    </w:p>
    <w:p w:rsidR="00584D6C" w:rsidRPr="00DF4DDB" w:rsidRDefault="00584D6C" w:rsidP="00584D6C">
      <w:pPr>
        <w:spacing w:after="240"/>
        <w:ind w:left="567" w:hanging="567"/>
        <w:rPr>
          <w:rFonts w:eastAsia="Calibri"/>
          <w:szCs w:val="24"/>
        </w:rPr>
      </w:pPr>
      <w:r w:rsidRPr="00DF4DDB">
        <w:t>21.</w:t>
      </w:r>
      <w:r w:rsidRPr="00DF4DDB">
        <w:tab/>
        <w:t>отбелязва, че през 2022 г. Органът е идентифицирал и е управлявал 7 конфликта на интереси във връзка с годишните декларации за интереси на външни експерти; отбелязва, че Органът не им е позволил да участват в научни дейности;</w:t>
      </w:r>
    </w:p>
    <w:p w:rsidR="00584D6C" w:rsidRPr="00DF4DDB" w:rsidRDefault="00584D6C" w:rsidP="00584D6C">
      <w:pPr>
        <w:spacing w:after="240"/>
        <w:ind w:left="567" w:hanging="567"/>
        <w:rPr>
          <w:rFonts w:eastAsia="Calibri"/>
          <w:szCs w:val="24"/>
        </w:rPr>
      </w:pPr>
      <w:r w:rsidRPr="00DF4DDB">
        <w:t>22.</w:t>
      </w:r>
      <w:r w:rsidRPr="00DF4DDB">
        <w:tab/>
        <w:t>потвърждава, че Органът е въвел доброволен кодекс за поведение, съгласно който членовете на управителния съвет се задължават да съобщават на Органа за професионалните дейности, упражнявани от тях за период от 2 години след края на техния мандат;</w:t>
      </w:r>
    </w:p>
    <w:p w:rsidR="00584D6C" w:rsidRPr="00DF4DDB" w:rsidRDefault="00584D6C" w:rsidP="00584D6C">
      <w:pPr>
        <w:spacing w:after="240"/>
        <w:ind w:left="567" w:hanging="567"/>
        <w:rPr>
          <w:rFonts w:eastAsia="Calibri"/>
          <w:szCs w:val="24"/>
        </w:rPr>
      </w:pPr>
      <w:r w:rsidRPr="00DF4DDB">
        <w:t>23.</w:t>
      </w:r>
      <w:r w:rsidRPr="00DF4DDB">
        <w:tab/>
        <w:t>отбелязва, че Органът планира до първото тримесечие на 2024 г. да приеме нова стандартна процедура за периода след прекратяване на трудовите правоотношения, която да включва критериите и процедурата за преустановяване на достъпа до поверителна информация за служителите, напускащи работа, изискванията за мониторинг и изпълнение, както и стандартите за прозрачност;</w:t>
      </w:r>
    </w:p>
    <w:p w:rsidR="00584D6C" w:rsidRPr="00DF4DDB" w:rsidRDefault="00584D6C" w:rsidP="00584D6C">
      <w:pPr>
        <w:spacing w:after="240"/>
        <w:ind w:left="567" w:hanging="567"/>
        <w:rPr>
          <w:rFonts w:eastAsia="Calibri"/>
          <w:szCs w:val="24"/>
        </w:rPr>
      </w:pPr>
      <w:r w:rsidRPr="00DF4DDB">
        <w:t>24.</w:t>
      </w:r>
      <w:r w:rsidRPr="00DF4DDB">
        <w:tab/>
        <w:t>отбелязва, че Органът е въвел стратегия за борба с измамите, разработена в тясно сътрудничество с Европейската служба за борба с измамите и придружена от съответни правила за прилагане и план за действие за предотвратяване на измами и корупция;</w:t>
      </w:r>
    </w:p>
    <w:p w:rsidR="00584D6C" w:rsidRPr="00DF4DDB" w:rsidRDefault="00584D6C" w:rsidP="00584D6C">
      <w:pPr>
        <w:spacing w:after="240"/>
        <w:ind w:left="567" w:hanging="567"/>
        <w:rPr>
          <w:b/>
          <w:i/>
          <w:szCs w:val="24"/>
        </w:rPr>
      </w:pPr>
      <w:r w:rsidRPr="00DF4DDB">
        <w:rPr>
          <w:b/>
          <w:i/>
        </w:rPr>
        <w:t>Други коментари</w:t>
      </w:r>
    </w:p>
    <w:p w:rsidR="00584D6C" w:rsidRPr="00DF4DDB" w:rsidRDefault="00584D6C" w:rsidP="00584D6C">
      <w:pPr>
        <w:spacing w:after="240"/>
        <w:ind w:left="567" w:hanging="567"/>
        <w:rPr>
          <w:szCs w:val="24"/>
        </w:rPr>
      </w:pPr>
      <w:r w:rsidRPr="00DF4DDB">
        <w:t>25.</w:t>
      </w:r>
      <w:r w:rsidRPr="00DF4DDB">
        <w:tab/>
        <w:t>отбелязва, че през юни 2022 г. Службата за вътрешен одит (IAS) е изготвила одитен доклад за информационната сигурност и възстановяването след бедствия, с цел оценяване на целесъобразността при планирането и прилагането на управлението, и е идентифицирала две забележки и три важни забележки относно управлението на информационната сигурност; отбелязва, че Органът е приел препоръките на IAS и понастоящем изпълнява план за действие;</w:t>
      </w:r>
    </w:p>
    <w:p w:rsidR="00584D6C" w:rsidRPr="00DF4DDB" w:rsidRDefault="00584D6C" w:rsidP="00584D6C">
      <w:pPr>
        <w:pStyle w:val="NormalHanging12a"/>
      </w:pPr>
      <w:r w:rsidRPr="00DF4DDB">
        <w:t>26.</w:t>
      </w:r>
      <w:r w:rsidRPr="00DF4DDB">
        <w:tab/>
        <w:t>приветства усилията на Органа за увеличаване на неговата публична видимост и присъствието му онлайн чрез стартирането на кампанията „#</w:t>
      </w:r>
      <w:proofErr w:type="spellStart"/>
      <w:r w:rsidRPr="00DF4DDB">
        <w:t>EUChooseSafeFood</w:t>
      </w:r>
      <w:proofErr w:type="spellEnd"/>
      <w:r w:rsidRPr="00DF4DDB">
        <w:t xml:space="preserve">“ за втора поредна година, която бе осъществена в партньорство с компетентните органи на държавите членки с цел обясняване по достъпен начин на научните данни, които стоят зад безопасността на храните в Съюза, както и организирането на конференцията относно здравето, околната среда и обществото, в партньорство с другите четири агенции в ЕС по околна среда, обществено здраве и безопасност на храните, което доведе до стартирането на съвместен </w:t>
      </w:r>
      <w:proofErr w:type="spellStart"/>
      <w:r w:rsidRPr="00DF4DDB">
        <w:t>Инстаграм</w:t>
      </w:r>
      <w:proofErr w:type="spellEnd"/>
      <w:r w:rsidRPr="00DF4DDB">
        <w:t xml:space="preserve"> канал, наречен „Едно здраве — една околна среда“; отбелязва освен това, че Органът е инвестирал за подобряване на многоезичието на своя уебсайт, като е използвал изкуствен интелект чрез модула „</w:t>
      </w:r>
      <w:proofErr w:type="spellStart"/>
      <w:r w:rsidRPr="00DF4DDB">
        <w:t>eTranslation</w:t>
      </w:r>
      <w:proofErr w:type="spellEnd"/>
      <w:r w:rsidRPr="00DF4DDB">
        <w:t>“ на Комисията; отбелязва освен това, че през 2022 г. Органът е продължил да инвестира за разработването на своя портал „</w:t>
      </w:r>
      <w:proofErr w:type="spellStart"/>
      <w:r w:rsidRPr="00DF4DDB">
        <w:t>OpenEFSA</w:t>
      </w:r>
      <w:proofErr w:type="spellEnd"/>
      <w:r w:rsidRPr="00DF4DDB">
        <w:t>“, в съответствие с изискванията на Регламент (ЕС) 2019/1381;</w:t>
      </w:r>
    </w:p>
    <w:p w:rsidR="00584D6C" w:rsidRPr="00DF4DDB" w:rsidRDefault="00584D6C" w:rsidP="00584D6C">
      <w:pPr>
        <w:spacing w:after="240"/>
        <w:ind w:left="567" w:hanging="567"/>
        <w:rPr>
          <w:rFonts w:eastAsia="Calibri"/>
          <w:szCs w:val="24"/>
        </w:rPr>
      </w:pPr>
      <w:r w:rsidRPr="00DF4DDB">
        <w:t>27.</w:t>
      </w:r>
      <w:r w:rsidRPr="00DF4DDB">
        <w:tab/>
        <w:t>приветства факта, че през последните няколко години Органът е една от агенциите, които са сертифицирани по EMAS; отбелязва, че в зависимост от вида на съответната поръчка, Органът прилага стандартите за екологосъобразни обществени поръчки, като минимални технически изисквания към офертите при критериите за подбор и/или възлагане на договори;</w:t>
      </w:r>
    </w:p>
    <w:p w:rsidR="00584D6C" w:rsidRPr="00DF4DDB" w:rsidRDefault="00584D6C" w:rsidP="00584D6C">
      <w:pPr>
        <w:spacing w:after="240"/>
        <w:jc w:val="center"/>
      </w:pPr>
      <w:r w:rsidRPr="00DF4DDB">
        <w:lastRenderedPageBreak/>
        <w:t>°</w:t>
      </w:r>
    </w:p>
    <w:p w:rsidR="00584D6C" w:rsidRPr="00DF4DDB" w:rsidRDefault="00584D6C" w:rsidP="00584D6C">
      <w:pPr>
        <w:pStyle w:val="NormalCenter12a"/>
      </w:pPr>
      <w:r w:rsidRPr="00DF4DDB">
        <w:t>°</w:t>
      </w:r>
      <w:r w:rsidRPr="00DF4DDB">
        <w:tab/>
        <w:t>°</w:t>
      </w:r>
    </w:p>
    <w:p w:rsidR="00584D6C" w:rsidRPr="009430FB" w:rsidRDefault="00584D6C" w:rsidP="009430FB">
      <w:pPr>
        <w:widowControl/>
        <w:spacing w:after="240"/>
        <w:ind w:left="567" w:hanging="567"/>
        <w:rPr>
          <w:szCs w:val="24"/>
        </w:rPr>
      </w:pPr>
      <w:r w:rsidRPr="00DF4DDB">
        <w:t>28.</w:t>
      </w:r>
      <w:r w:rsidRPr="00DF4DDB">
        <w:tab/>
        <w:t xml:space="preserve">по отношение на други забележки, придружаващи решението за освобождаване от отговорност, които имат хоризонтален характер, препраща към своята резолюция от </w:t>
      </w:r>
      <w:r w:rsidR="009430FB">
        <w:t>11 април 2024 г.</w:t>
      </w:r>
      <w:r w:rsidRPr="00DF4DDB">
        <w:rPr>
          <w:rStyle w:val="FootnoteReference"/>
        </w:rPr>
        <w:footnoteReference w:id="13"/>
      </w:r>
      <w:r w:rsidRPr="00DF4DDB">
        <w:t xml:space="preserve"> относно резултатите от дейността, финансовото управление и контрола на агенциите.</w:t>
      </w:r>
    </w:p>
    <w:sectPr w:rsidR="00584D6C" w:rsidRPr="009430FB" w:rsidSect="00DF4DDB">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2548" w:rsidRPr="00DF4DDB" w:rsidRDefault="00272548">
      <w:r w:rsidRPr="00DF4DDB">
        <w:separator/>
      </w:r>
    </w:p>
  </w:endnote>
  <w:endnote w:type="continuationSeparator" w:id="0">
    <w:p w:rsidR="00272548" w:rsidRPr="00DF4DDB" w:rsidRDefault="00272548">
      <w:r w:rsidRPr="00DF4DD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4D6C" w:rsidRPr="00DF4DDB" w:rsidRDefault="00584D6C" w:rsidP="005570E6">
    <w:pPr>
      <w:pStyle w:val="EPFooter"/>
    </w:pPr>
    <w:r w:rsidRPr="00DF4DDB">
      <w:t>PE</w:t>
    </w:r>
    <w:r w:rsidRPr="00DF4DDB">
      <w:rPr>
        <w:rStyle w:val="HideTWBExt"/>
      </w:rPr>
      <w:t>&lt;NoPE&gt;</w:t>
    </w:r>
    <w:r w:rsidRPr="00DF4DDB">
      <w:t>753.519</w:t>
    </w:r>
    <w:r w:rsidRPr="00DF4DDB">
      <w:rPr>
        <w:rStyle w:val="HideTWBExt"/>
      </w:rPr>
      <w:t>&lt;/NoPE&gt;&lt;Version&gt;</w:t>
    </w:r>
    <w:r w:rsidRPr="00DF4DDB">
      <w:t>v03-00</w:t>
    </w:r>
    <w:r w:rsidRPr="00DF4DDB">
      <w:rPr>
        <w:rStyle w:val="HideTWBExt"/>
      </w:rPr>
      <w:t>&lt;/Version&gt;</w:t>
    </w:r>
    <w:r w:rsidRPr="00DF4DDB">
      <w:tab/>
    </w:r>
    <w:r w:rsidRPr="00DF4DDB">
      <w:fldChar w:fldCharType="begin"/>
    </w:r>
    <w:r w:rsidRPr="00DF4DDB">
      <w:instrText xml:space="preserve"> PAGE  \* MERGEFORMAT </w:instrText>
    </w:r>
    <w:r w:rsidRPr="00DF4DDB">
      <w:fldChar w:fldCharType="separate"/>
    </w:r>
    <w:r w:rsidR="00DF4DDB" w:rsidRPr="00DF4DDB">
      <w:rPr>
        <w:noProof/>
      </w:rPr>
      <w:t>2</w:t>
    </w:r>
    <w:r w:rsidRPr="00DF4DDB">
      <w:fldChar w:fldCharType="end"/>
    </w:r>
    <w:r w:rsidRPr="00DF4DDB">
      <w:t>/</w:t>
    </w:r>
    <w:fldSimple w:instr=" NUMPAGES  \* MERGEFORMAT ">
      <w:r w:rsidR="00DF4DDB" w:rsidRPr="00DF4DDB">
        <w:rPr>
          <w:noProof/>
        </w:rPr>
        <w:t>4</w:t>
      </w:r>
    </w:fldSimple>
    <w:r w:rsidRPr="00DF4DDB">
      <w:tab/>
    </w:r>
    <w:r w:rsidRPr="00DF4DDB">
      <w:rPr>
        <w:rStyle w:val="HideTWBExt"/>
      </w:rPr>
      <w:t>&lt;PathFdR&gt;</w:t>
    </w:r>
    <w:r w:rsidRPr="00DF4DDB">
      <w:t>RR\1299220BG.docx</w:t>
    </w:r>
    <w:r w:rsidRPr="00DF4DDB">
      <w:rPr>
        <w:rStyle w:val="HideTWBExt"/>
      </w:rPr>
      <w:t>&lt;/PathFdR&gt;</w:t>
    </w:r>
  </w:p>
  <w:p w:rsidR="00584D6C" w:rsidRPr="00DF4DDB" w:rsidRDefault="00584D6C" w:rsidP="005570E6">
    <w:pPr>
      <w:pStyle w:val="EPFooter2"/>
    </w:pPr>
    <w:r w:rsidRPr="00DF4DDB">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4D6C" w:rsidRPr="00DF4DDB" w:rsidRDefault="00584D6C" w:rsidP="005570E6">
    <w:pPr>
      <w:pStyle w:val="EPFooter"/>
    </w:pPr>
    <w:r w:rsidRPr="00DF4DDB">
      <w:rPr>
        <w:rStyle w:val="HideTWBExt"/>
      </w:rPr>
      <w:t>&lt;PathFdR&gt;</w:t>
    </w:r>
    <w:r w:rsidRPr="00DF4DDB">
      <w:t>RR\1299220BG.docx</w:t>
    </w:r>
    <w:r w:rsidRPr="00DF4DDB">
      <w:rPr>
        <w:rStyle w:val="HideTWBExt"/>
      </w:rPr>
      <w:t>&lt;/PathFdR&gt;</w:t>
    </w:r>
    <w:r w:rsidRPr="00DF4DDB">
      <w:tab/>
    </w:r>
    <w:r w:rsidRPr="00DF4DDB">
      <w:tab/>
      <w:t>PE</w:t>
    </w:r>
    <w:r w:rsidRPr="00DF4DDB">
      <w:rPr>
        <w:rStyle w:val="HideTWBExt"/>
      </w:rPr>
      <w:t>&lt;NoPE&gt;</w:t>
    </w:r>
    <w:r w:rsidRPr="00DF4DDB">
      <w:t>753.519</w:t>
    </w:r>
    <w:r w:rsidRPr="00DF4DDB">
      <w:rPr>
        <w:rStyle w:val="HideTWBExt"/>
      </w:rPr>
      <w:t>&lt;/NoPE&gt;&lt;Version&gt;</w:t>
    </w:r>
    <w:r w:rsidRPr="00DF4DDB">
      <w:t>v03-00</w:t>
    </w:r>
    <w:r w:rsidRPr="00DF4DDB">
      <w:rPr>
        <w:rStyle w:val="HideTWBExt"/>
      </w:rPr>
      <w:t>&lt;/Version&gt;</w:t>
    </w:r>
  </w:p>
  <w:p w:rsidR="00584D6C" w:rsidRPr="00DF4DDB" w:rsidRDefault="00584D6C" w:rsidP="005570E6">
    <w:pPr>
      <w:pStyle w:val="EPFooter2"/>
    </w:pPr>
    <w:r w:rsidRPr="00DF4DDB">
      <w:t>BG</w:t>
    </w:r>
    <w:r w:rsidRPr="00DF4DDB">
      <w:tab/>
    </w:r>
    <w:r w:rsidRPr="00DF4DDB">
      <w:rPr>
        <w:b w:val="0"/>
        <w:i/>
        <w:color w:val="C0C0C0"/>
        <w:sz w:val="22"/>
      </w:rPr>
      <w:t>Единство в многообразието</w:t>
    </w:r>
    <w:r w:rsidRPr="00DF4DDB">
      <w:tab/>
      <w:t>BG</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4DDB"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4DDB"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4DD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2548" w:rsidRPr="00DF4DDB" w:rsidRDefault="00272548">
      <w:r w:rsidRPr="00DF4DDB">
        <w:separator/>
      </w:r>
    </w:p>
  </w:footnote>
  <w:footnote w:type="continuationSeparator" w:id="0">
    <w:p w:rsidR="00272548" w:rsidRPr="00DF4DDB" w:rsidRDefault="00272548">
      <w:r w:rsidRPr="00DF4DDB">
        <w:continuationSeparator/>
      </w:r>
    </w:p>
  </w:footnote>
  <w:footnote w:id="1">
    <w:p w:rsidR="00584D6C" w:rsidRPr="00DF4DDB" w:rsidRDefault="00584D6C" w:rsidP="00DF4DDB">
      <w:pPr>
        <w:pStyle w:val="FootnoteText"/>
        <w:ind w:left="567" w:hanging="567"/>
        <w:rPr>
          <w:sz w:val="24"/>
          <w:lang w:val="bg-BG"/>
        </w:rPr>
      </w:pPr>
      <w:r w:rsidRPr="00DF4DDB">
        <w:rPr>
          <w:rStyle w:val="FootnoteReference"/>
          <w:sz w:val="24"/>
          <w:lang w:val="bg-BG"/>
        </w:rPr>
        <w:footnoteRef/>
      </w:r>
      <w:r w:rsidR="00DF4DDB" w:rsidRPr="00DF4DDB">
        <w:rPr>
          <w:sz w:val="24"/>
          <w:lang w:val="bg-BG"/>
        </w:rPr>
        <w:t xml:space="preserve"> </w:t>
      </w:r>
      <w:r w:rsidR="00DF4DDB" w:rsidRPr="00DF4DDB">
        <w:rPr>
          <w:sz w:val="24"/>
          <w:lang w:val="bg-BG"/>
        </w:rPr>
        <w:tab/>
      </w:r>
      <w:r w:rsidRPr="00DF4DDB">
        <w:rPr>
          <w:sz w:val="24"/>
          <w:lang w:val="bg-BG"/>
        </w:rPr>
        <w:t>ОВ C, C/2023/594, 27.10.2023 г.</w:t>
      </w:r>
    </w:p>
  </w:footnote>
  <w:footnote w:id="2">
    <w:p w:rsidR="00584D6C" w:rsidRPr="00DF4DDB" w:rsidRDefault="00584D6C" w:rsidP="00DF4DDB">
      <w:pPr>
        <w:pStyle w:val="FootnoteText"/>
        <w:ind w:left="567" w:hanging="567"/>
        <w:rPr>
          <w:sz w:val="24"/>
          <w:lang w:val="bg-BG"/>
        </w:rPr>
      </w:pPr>
      <w:r w:rsidRPr="00DF4DDB">
        <w:rPr>
          <w:rStyle w:val="FootnoteReference"/>
          <w:sz w:val="24"/>
          <w:lang w:val="bg-BG"/>
        </w:rPr>
        <w:footnoteRef/>
      </w:r>
      <w:r w:rsidR="00DF4DDB" w:rsidRPr="00DF4DDB">
        <w:rPr>
          <w:sz w:val="24"/>
          <w:lang w:val="bg-BG"/>
        </w:rPr>
        <w:t xml:space="preserve"> </w:t>
      </w:r>
      <w:r w:rsidR="00DF4DDB" w:rsidRPr="00DF4DDB">
        <w:rPr>
          <w:sz w:val="24"/>
          <w:lang w:val="bg-BG"/>
        </w:rPr>
        <w:tab/>
      </w:r>
      <w:r w:rsidRPr="00DF4DDB">
        <w:rPr>
          <w:sz w:val="24"/>
          <w:lang w:val="bg-BG"/>
        </w:rPr>
        <w:t>ОВ C, C/2023/112, 12.10.2023 г.</w:t>
      </w:r>
    </w:p>
  </w:footnote>
  <w:footnote w:id="3">
    <w:p w:rsidR="00584D6C" w:rsidRPr="00DF4DDB" w:rsidRDefault="00584D6C" w:rsidP="00DF4DDB">
      <w:pPr>
        <w:pStyle w:val="FootnoteText"/>
        <w:ind w:left="567" w:hanging="567"/>
        <w:rPr>
          <w:sz w:val="24"/>
          <w:lang w:val="bg-BG"/>
        </w:rPr>
      </w:pPr>
      <w:r w:rsidRPr="00DF4DDB">
        <w:rPr>
          <w:rStyle w:val="FootnoteReference"/>
          <w:sz w:val="24"/>
          <w:lang w:val="bg-BG"/>
        </w:rPr>
        <w:footnoteRef/>
      </w:r>
      <w:r w:rsidR="00DF4DDB" w:rsidRPr="00DF4DDB">
        <w:rPr>
          <w:sz w:val="24"/>
          <w:lang w:val="bg-BG"/>
        </w:rPr>
        <w:t xml:space="preserve"> </w:t>
      </w:r>
      <w:r w:rsidR="00DF4DDB" w:rsidRPr="00DF4DDB">
        <w:rPr>
          <w:sz w:val="24"/>
          <w:lang w:val="bg-BG"/>
        </w:rPr>
        <w:tab/>
      </w:r>
      <w:r w:rsidRPr="00DF4DDB">
        <w:rPr>
          <w:sz w:val="24"/>
          <w:lang w:val="bg-BG"/>
        </w:rPr>
        <w:t>OВ L 193, 30.7.2018 г., стр. 1.</w:t>
      </w:r>
    </w:p>
  </w:footnote>
  <w:footnote w:id="4">
    <w:p w:rsidR="00584D6C" w:rsidRPr="00DF4DDB" w:rsidRDefault="00584D6C" w:rsidP="00DF4DDB">
      <w:pPr>
        <w:pStyle w:val="FootnoteText"/>
        <w:ind w:left="567" w:hanging="567"/>
        <w:rPr>
          <w:sz w:val="24"/>
          <w:lang w:val="bg-BG"/>
        </w:rPr>
      </w:pPr>
      <w:r w:rsidRPr="00DF4DDB">
        <w:rPr>
          <w:rStyle w:val="FootnoteReference"/>
          <w:sz w:val="24"/>
          <w:lang w:val="bg-BG"/>
        </w:rPr>
        <w:footnoteRef/>
      </w:r>
      <w:r w:rsidR="00DF4DDB" w:rsidRPr="00DF4DDB">
        <w:rPr>
          <w:sz w:val="24"/>
          <w:lang w:val="bg-BG"/>
        </w:rPr>
        <w:t xml:space="preserve"> </w:t>
      </w:r>
      <w:r w:rsidR="00DF4DDB" w:rsidRPr="00DF4DDB">
        <w:rPr>
          <w:sz w:val="24"/>
          <w:lang w:val="bg-BG"/>
        </w:rPr>
        <w:tab/>
      </w:r>
      <w:r w:rsidRPr="00DF4DDB">
        <w:rPr>
          <w:sz w:val="24"/>
          <w:lang w:val="bg-BG"/>
        </w:rPr>
        <w:t>ОВ L 31, 1.2.2002 г., стр. 1.</w:t>
      </w:r>
    </w:p>
  </w:footnote>
  <w:footnote w:id="5">
    <w:p w:rsidR="00584D6C" w:rsidRPr="00DF4DDB" w:rsidRDefault="00584D6C" w:rsidP="00DF4DDB">
      <w:pPr>
        <w:pStyle w:val="FootnoteText"/>
        <w:ind w:left="567" w:hanging="567"/>
        <w:rPr>
          <w:sz w:val="24"/>
          <w:szCs w:val="24"/>
          <w:lang w:val="bg-BG"/>
        </w:rPr>
      </w:pPr>
      <w:r w:rsidRPr="00DF4DDB">
        <w:rPr>
          <w:rStyle w:val="FootnoteReference"/>
          <w:sz w:val="24"/>
          <w:lang w:val="bg-BG"/>
        </w:rPr>
        <w:footnoteRef/>
      </w:r>
      <w:r w:rsidR="00DF4DDB" w:rsidRPr="00DF4DDB">
        <w:rPr>
          <w:sz w:val="24"/>
          <w:lang w:val="bg-BG"/>
        </w:rPr>
        <w:t xml:space="preserve"> </w:t>
      </w:r>
      <w:r w:rsidR="00DF4DDB" w:rsidRPr="00DF4DDB">
        <w:rPr>
          <w:sz w:val="24"/>
          <w:lang w:val="bg-BG"/>
        </w:rPr>
        <w:tab/>
      </w:r>
      <w:r w:rsidRPr="00DF4DDB">
        <w:rPr>
          <w:sz w:val="24"/>
          <w:lang w:val="bg-BG"/>
        </w:rPr>
        <w:t>ОВ L 122, 10.5.2019 г., стр. 1.</w:t>
      </w:r>
    </w:p>
  </w:footnote>
  <w:footnote w:id="6">
    <w:p w:rsidR="00584D6C" w:rsidRPr="00DF4DDB" w:rsidRDefault="00584D6C" w:rsidP="00DF4DDB">
      <w:pPr>
        <w:pStyle w:val="FootnoteText"/>
        <w:ind w:left="567" w:hanging="567"/>
        <w:rPr>
          <w:sz w:val="24"/>
          <w:lang w:val="bg-BG"/>
        </w:rPr>
      </w:pPr>
      <w:r w:rsidRPr="00DF4DDB">
        <w:rPr>
          <w:rStyle w:val="FootnoteReference"/>
          <w:sz w:val="24"/>
          <w:lang w:val="bg-BG"/>
        </w:rPr>
        <w:footnoteRef/>
      </w:r>
      <w:r w:rsidR="00DF4DDB" w:rsidRPr="00DF4DDB">
        <w:rPr>
          <w:sz w:val="24"/>
          <w:lang w:val="bg-BG"/>
        </w:rPr>
        <w:t xml:space="preserve"> </w:t>
      </w:r>
      <w:r w:rsidR="00DF4DDB" w:rsidRPr="00DF4DDB">
        <w:rPr>
          <w:sz w:val="24"/>
          <w:lang w:val="bg-BG"/>
        </w:rPr>
        <w:tab/>
      </w:r>
      <w:r w:rsidRPr="00DF4DDB">
        <w:rPr>
          <w:sz w:val="24"/>
          <w:lang w:val="bg-BG"/>
        </w:rPr>
        <w:t>ОВ C, C/2023/594, 27.10.2023 г.</w:t>
      </w:r>
    </w:p>
  </w:footnote>
  <w:footnote w:id="7">
    <w:p w:rsidR="00584D6C" w:rsidRPr="00DF4DDB" w:rsidRDefault="00584D6C" w:rsidP="00DF4DDB">
      <w:pPr>
        <w:pStyle w:val="FootnoteText"/>
        <w:ind w:left="567" w:hanging="567"/>
        <w:rPr>
          <w:sz w:val="24"/>
          <w:lang w:val="bg-BG"/>
        </w:rPr>
      </w:pPr>
      <w:r w:rsidRPr="00DF4DDB">
        <w:rPr>
          <w:rStyle w:val="FootnoteReference"/>
          <w:sz w:val="24"/>
          <w:lang w:val="bg-BG"/>
        </w:rPr>
        <w:footnoteRef/>
      </w:r>
      <w:r w:rsidR="00DF4DDB" w:rsidRPr="00DF4DDB">
        <w:rPr>
          <w:sz w:val="24"/>
          <w:lang w:val="bg-BG"/>
        </w:rPr>
        <w:t xml:space="preserve"> </w:t>
      </w:r>
      <w:r w:rsidR="00DF4DDB" w:rsidRPr="00DF4DDB">
        <w:rPr>
          <w:sz w:val="24"/>
          <w:lang w:val="bg-BG"/>
        </w:rPr>
        <w:tab/>
      </w:r>
      <w:r w:rsidRPr="00DF4DDB">
        <w:rPr>
          <w:sz w:val="24"/>
          <w:lang w:val="bg-BG"/>
        </w:rPr>
        <w:t>ОВ C, C/2023/112, 12.10.2023 г.</w:t>
      </w:r>
    </w:p>
  </w:footnote>
  <w:footnote w:id="8">
    <w:p w:rsidR="00584D6C" w:rsidRPr="00DF4DDB" w:rsidRDefault="00584D6C" w:rsidP="00DF4DDB">
      <w:pPr>
        <w:pStyle w:val="FootnoteText"/>
        <w:ind w:left="567" w:hanging="567"/>
        <w:rPr>
          <w:sz w:val="24"/>
          <w:lang w:val="bg-BG"/>
        </w:rPr>
      </w:pPr>
      <w:r w:rsidRPr="00DF4DDB">
        <w:rPr>
          <w:rStyle w:val="FootnoteReference"/>
          <w:sz w:val="24"/>
          <w:lang w:val="bg-BG"/>
        </w:rPr>
        <w:footnoteRef/>
      </w:r>
      <w:r w:rsidR="00DF4DDB" w:rsidRPr="00DF4DDB">
        <w:rPr>
          <w:sz w:val="24"/>
          <w:lang w:val="bg-BG"/>
        </w:rPr>
        <w:t xml:space="preserve"> </w:t>
      </w:r>
      <w:r w:rsidR="00DF4DDB" w:rsidRPr="00DF4DDB">
        <w:rPr>
          <w:sz w:val="24"/>
          <w:lang w:val="bg-BG"/>
        </w:rPr>
        <w:tab/>
      </w:r>
      <w:r w:rsidRPr="00DF4DDB">
        <w:rPr>
          <w:sz w:val="24"/>
          <w:lang w:val="bg-BG"/>
        </w:rPr>
        <w:t>OВ L 193, 30.7.2018 г., стр. 1.</w:t>
      </w:r>
    </w:p>
  </w:footnote>
  <w:footnote w:id="9">
    <w:p w:rsidR="00584D6C" w:rsidRPr="00DF4DDB" w:rsidRDefault="00584D6C" w:rsidP="00DF4DDB">
      <w:pPr>
        <w:pStyle w:val="FootnoteText"/>
        <w:ind w:left="567" w:hanging="567"/>
        <w:rPr>
          <w:sz w:val="24"/>
          <w:lang w:val="bg-BG"/>
        </w:rPr>
      </w:pPr>
      <w:r w:rsidRPr="00DF4DDB">
        <w:rPr>
          <w:rStyle w:val="FootnoteReference"/>
          <w:sz w:val="24"/>
          <w:lang w:val="bg-BG"/>
        </w:rPr>
        <w:footnoteRef/>
      </w:r>
      <w:r w:rsidR="00DF4DDB" w:rsidRPr="00DF4DDB">
        <w:rPr>
          <w:sz w:val="24"/>
          <w:lang w:val="bg-BG"/>
        </w:rPr>
        <w:t xml:space="preserve"> </w:t>
      </w:r>
      <w:r w:rsidR="00DF4DDB" w:rsidRPr="00DF4DDB">
        <w:rPr>
          <w:sz w:val="24"/>
          <w:lang w:val="bg-BG"/>
        </w:rPr>
        <w:tab/>
      </w:r>
      <w:r w:rsidRPr="00DF4DDB">
        <w:rPr>
          <w:sz w:val="24"/>
          <w:lang w:val="bg-BG"/>
        </w:rPr>
        <w:t>ОВ L 31, 1.2.2002 г., стр. 1.</w:t>
      </w:r>
    </w:p>
  </w:footnote>
  <w:footnote w:id="10">
    <w:p w:rsidR="00584D6C" w:rsidRPr="00DF4DDB" w:rsidRDefault="00584D6C" w:rsidP="00DF4DDB">
      <w:pPr>
        <w:pStyle w:val="FootnoteText"/>
        <w:ind w:left="567" w:hanging="567"/>
        <w:rPr>
          <w:sz w:val="24"/>
          <w:szCs w:val="24"/>
          <w:lang w:val="bg-BG"/>
        </w:rPr>
      </w:pPr>
      <w:r w:rsidRPr="00DF4DDB">
        <w:rPr>
          <w:rStyle w:val="FootnoteReference"/>
          <w:sz w:val="24"/>
          <w:lang w:val="bg-BG"/>
        </w:rPr>
        <w:footnoteRef/>
      </w:r>
      <w:r w:rsidR="00DF4DDB" w:rsidRPr="00DF4DDB">
        <w:rPr>
          <w:sz w:val="24"/>
          <w:lang w:val="bg-BG"/>
        </w:rPr>
        <w:t xml:space="preserve"> </w:t>
      </w:r>
      <w:r w:rsidR="00DF4DDB" w:rsidRPr="00DF4DDB">
        <w:rPr>
          <w:sz w:val="24"/>
          <w:lang w:val="bg-BG"/>
        </w:rPr>
        <w:tab/>
      </w:r>
      <w:r w:rsidRPr="00DF4DDB">
        <w:rPr>
          <w:sz w:val="24"/>
          <w:lang w:val="bg-BG"/>
        </w:rPr>
        <w:t>ОВ L 122, 10.5.2019 г., стр. 1.</w:t>
      </w:r>
    </w:p>
  </w:footnote>
  <w:footnote w:id="11">
    <w:p w:rsidR="00584D6C" w:rsidRPr="00DF4DDB" w:rsidRDefault="00584D6C" w:rsidP="00DF4DDB">
      <w:pPr>
        <w:pStyle w:val="FootnoteText"/>
        <w:ind w:left="567" w:hanging="567"/>
        <w:rPr>
          <w:rFonts w:eastAsia="Calibri"/>
          <w:sz w:val="24"/>
          <w:lang w:val="bg-BG"/>
        </w:rPr>
      </w:pPr>
      <w:r w:rsidRPr="00DF4DDB">
        <w:rPr>
          <w:rStyle w:val="FootnoteReference"/>
          <w:sz w:val="24"/>
          <w:lang w:val="bg-BG"/>
        </w:rPr>
        <w:footnoteRef/>
      </w:r>
      <w:r w:rsidR="00DF4DDB" w:rsidRPr="00DF4DDB">
        <w:rPr>
          <w:sz w:val="24"/>
          <w:lang w:val="bg-BG"/>
        </w:rPr>
        <w:t xml:space="preserve"> </w:t>
      </w:r>
      <w:r w:rsidR="00DF4DDB" w:rsidRPr="00DF4DDB">
        <w:rPr>
          <w:sz w:val="24"/>
          <w:lang w:val="bg-BG"/>
        </w:rPr>
        <w:tab/>
      </w:r>
      <w:r w:rsidRPr="00DF4DDB">
        <w:rPr>
          <w:sz w:val="24"/>
          <w:lang w:val="bg-BG"/>
        </w:rPr>
        <w:t>OВ C 178, 29.4.2022 г., стр. 1.</w:t>
      </w:r>
    </w:p>
  </w:footnote>
  <w:footnote w:id="12">
    <w:p w:rsidR="00584D6C" w:rsidRPr="00DF4DDB" w:rsidRDefault="00584D6C" w:rsidP="00DF4DDB">
      <w:pPr>
        <w:pStyle w:val="FootnoteText"/>
        <w:ind w:left="567" w:hanging="567"/>
        <w:rPr>
          <w:sz w:val="24"/>
          <w:lang w:val="bg-BG"/>
        </w:rPr>
      </w:pPr>
      <w:r w:rsidRPr="00DF4DDB">
        <w:rPr>
          <w:rStyle w:val="FootnoteReference"/>
          <w:sz w:val="24"/>
          <w:lang w:val="bg-BG"/>
        </w:rPr>
        <w:footnoteRef/>
      </w:r>
      <w:r w:rsidR="00DF4DDB" w:rsidRPr="00DF4DDB">
        <w:rPr>
          <w:sz w:val="24"/>
          <w:lang w:val="bg-BG"/>
        </w:rPr>
        <w:t xml:space="preserve"> </w:t>
      </w:r>
      <w:r w:rsidR="00DF4DDB" w:rsidRPr="00DF4DDB">
        <w:rPr>
          <w:sz w:val="24"/>
          <w:lang w:val="bg-BG"/>
        </w:rPr>
        <w:tab/>
      </w:r>
      <w:r w:rsidRPr="00DF4DDB">
        <w:rPr>
          <w:sz w:val="24"/>
          <w:lang w:val="bg-BG"/>
        </w:rPr>
        <w:t>Регламент (ЕС) 2019/1381 на Европейския парламент и на Съвета от 20 юни 2019 г. относно прозрачността и устойчивостта на оценката на ЕС на риска в хранителната верига и за изменение на регламенти (ЕО) № 178/2002, (ЕО) № 1829/2003, (ЕО) № 1831/2003, (ЕО) № 2065/2003, (ЕО) № 1935/2004, (ЕО) № 1331/2008, (ЕО) № 1107/2009, (ЕС) 2015/2283 и Директива 2001/18/ЕО (ОВ L 231, 6.9.2019 г., стр. 1).</w:t>
      </w:r>
    </w:p>
  </w:footnote>
  <w:footnote w:id="13">
    <w:p w:rsidR="00584D6C" w:rsidRPr="00DF4DDB" w:rsidRDefault="00584D6C" w:rsidP="00DF4DDB">
      <w:pPr>
        <w:pStyle w:val="FootnoteText"/>
        <w:ind w:left="567" w:hanging="567"/>
        <w:rPr>
          <w:sz w:val="24"/>
          <w:szCs w:val="24"/>
          <w:lang w:val="bg-BG"/>
        </w:rPr>
      </w:pPr>
      <w:r w:rsidRPr="00DF4DDB">
        <w:rPr>
          <w:rStyle w:val="FootnoteReference"/>
          <w:sz w:val="24"/>
          <w:szCs w:val="24"/>
          <w:lang w:val="bg-BG"/>
        </w:rPr>
        <w:footnoteRef/>
      </w:r>
      <w:r w:rsidR="00DF4DDB" w:rsidRPr="00DF4DDB">
        <w:rPr>
          <w:sz w:val="24"/>
          <w:lang w:val="bg-BG"/>
        </w:rPr>
        <w:t xml:space="preserve"> </w:t>
      </w:r>
      <w:r w:rsidR="00DF4DDB" w:rsidRPr="00DF4DDB">
        <w:rPr>
          <w:sz w:val="24"/>
          <w:lang w:val="bg-BG"/>
        </w:rPr>
        <w:tab/>
      </w:r>
      <w:r w:rsidRPr="00DF4DDB">
        <w:rPr>
          <w:sz w:val="24"/>
          <w:lang w:val="bg-BG"/>
        </w:rPr>
        <w:t>Приети текстове, P9_TA(2024)</w:t>
      </w:r>
      <w:r w:rsidR="0017561F" w:rsidRPr="00635445">
        <w:rPr>
          <w:sz w:val="24"/>
          <w:lang w:val="bg-BG"/>
        </w:rPr>
        <w:t>0</w:t>
      </w:r>
      <w:r w:rsidR="0017561F">
        <w:rPr>
          <w:sz w:val="24"/>
          <w:lang w:val="en-GB"/>
        </w:rPr>
        <w:t>28</w:t>
      </w:r>
      <w:r w:rsidR="0017561F" w:rsidRPr="00635445">
        <w:rPr>
          <w:sz w:val="24"/>
          <w:lang w:val="bg-BG"/>
        </w:rPr>
        <w:t>0</w:t>
      </w:r>
      <w:r w:rsidRPr="00DF4DDB">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4DD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4DD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4DD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29/2024"/>
    <w:docVar w:name="dvlangue" w:val="BG"/>
    <w:docVar w:name="dvnumam" w:val="0"/>
    <w:docVar w:name="dvpe" w:val="753.519"/>
    <w:docVar w:name="dvrapporteur" w:val="Докладчик: "/>
    <w:docVar w:name="dvtitre" w:val="Решение на Европейския парламент от ... 2024 г. относно освобождаването от отговорност във връзка с изпълнението на бюджета на Европейския орган за безопасност на храните за финансовата 2022 година(2023/2151(DEC))"/>
  </w:docVars>
  <w:rsids>
    <w:rsidRoot w:val="00272548"/>
    <w:rsid w:val="00002272"/>
    <w:rsid w:val="00064002"/>
    <w:rsid w:val="000677B9"/>
    <w:rsid w:val="000831BA"/>
    <w:rsid w:val="000A42CC"/>
    <w:rsid w:val="000E7DD9"/>
    <w:rsid w:val="0010095E"/>
    <w:rsid w:val="00125B37"/>
    <w:rsid w:val="0017561F"/>
    <w:rsid w:val="00187494"/>
    <w:rsid w:val="001F32AE"/>
    <w:rsid w:val="00247418"/>
    <w:rsid w:val="00272548"/>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4D6C"/>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30F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A1FBF"/>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4DDB"/>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0BE1F4"/>
  <w15:chartTrackingRefBased/>
  <w15:docId w15:val="{0350643C-73EF-47C9-8742-3046868D9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84D6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84D6C"/>
    <w:pPr>
      <w:spacing w:before="480" w:after="240"/>
    </w:pPr>
  </w:style>
  <w:style w:type="paragraph" w:customStyle="1" w:styleId="PageHeading">
    <w:name w:val="PageHeading"/>
    <w:basedOn w:val="Normal"/>
    <w:rsid w:val="00584D6C"/>
    <w:pPr>
      <w:keepNext/>
      <w:spacing w:after="480"/>
      <w:jc w:val="center"/>
    </w:pPr>
    <w:rPr>
      <w:rFonts w:ascii="Arial" w:hAnsi="Arial" w:cs="Arial"/>
      <w:b/>
    </w:rPr>
  </w:style>
  <w:style w:type="paragraph" w:customStyle="1" w:styleId="NormalBold">
    <w:name w:val="NormalBold"/>
    <w:basedOn w:val="Normal"/>
    <w:rsid w:val="00584D6C"/>
    <w:rPr>
      <w:b/>
    </w:rPr>
  </w:style>
  <w:style w:type="paragraph" w:customStyle="1" w:styleId="NormalHanging12a">
    <w:name w:val="NormalHanging12a"/>
    <w:basedOn w:val="Normal"/>
    <w:link w:val="NormalHanging12aChar"/>
    <w:rsid w:val="00584D6C"/>
    <w:pPr>
      <w:spacing w:after="240"/>
      <w:ind w:left="567" w:hanging="567"/>
    </w:pPr>
  </w:style>
  <w:style w:type="paragraph" w:customStyle="1" w:styleId="NormalCenter12a">
    <w:name w:val="NormalCenter12a"/>
    <w:basedOn w:val="Normal"/>
    <w:rsid w:val="00584D6C"/>
    <w:pPr>
      <w:spacing w:after="240"/>
      <w:jc w:val="center"/>
    </w:pPr>
  </w:style>
  <w:style w:type="paragraph" w:styleId="Header">
    <w:name w:val="header"/>
    <w:basedOn w:val="Normal"/>
    <w:link w:val="HeaderChar"/>
    <w:rsid w:val="00584D6C"/>
    <w:pPr>
      <w:tabs>
        <w:tab w:val="center" w:pos="4513"/>
        <w:tab w:val="right" w:pos="9026"/>
      </w:tabs>
    </w:pPr>
  </w:style>
  <w:style w:type="character" w:customStyle="1" w:styleId="HeaderChar">
    <w:name w:val="Header Char"/>
    <w:basedOn w:val="DefaultParagraphFont"/>
    <w:link w:val="Header"/>
    <w:rsid w:val="00584D6C"/>
    <w:rPr>
      <w:sz w:val="24"/>
      <w:lang w:val="bg-BG"/>
    </w:rPr>
  </w:style>
  <w:style w:type="paragraph" w:customStyle="1" w:styleId="EPFooter">
    <w:name w:val="EPFooter"/>
    <w:basedOn w:val="Normal"/>
    <w:rsid w:val="00584D6C"/>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584D6C"/>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B7B501-7108-4D1B-9C91-83D7BEC820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3028</Words>
  <Characters>17279</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GIRGINOV Kiril</cp:lastModifiedBy>
  <cp:revision>2</cp:revision>
  <cp:lastPrinted>2004-11-19T15:42:00Z</cp:lastPrinted>
  <dcterms:created xsi:type="dcterms:W3CDTF">2024-04-11T10:55:00Z</dcterms:created>
  <dcterms:modified xsi:type="dcterms:W3CDTF">2024-04-11T10:55:00Z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A9-0129/2024</vt:lpwstr>
  </property>
  <property fmtid="{D5CDD505-2E9C-101B-9397-08002B2CF9AE}" pid="4" name="&lt;Type&gt;">
    <vt:lpwstr>RR</vt:lpwstr>
  </property>
</Properties>
</file>