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47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14751" w:rsidRDefault="00B80084" w:rsidP="0010095E">
            <w:pPr>
              <w:pStyle w:val="EPName"/>
            </w:pPr>
            <w:r w:rsidRPr="00314751">
              <w:t>Evropský parlament</w:t>
            </w:r>
          </w:p>
          <w:p w:rsidR="00751A4A" w:rsidRPr="0031475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475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14751" w:rsidRDefault="00187494" w:rsidP="0010095E">
            <w:pPr>
              <w:pStyle w:val="EPLogo"/>
            </w:pPr>
            <w:r w:rsidRPr="003147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14751" w:rsidRDefault="00D058B8" w:rsidP="004C5D52">
      <w:pPr>
        <w:pStyle w:val="LineTop"/>
      </w:pPr>
    </w:p>
    <w:p w:rsidR="00680577" w:rsidRPr="00314751" w:rsidRDefault="00B80084" w:rsidP="00680577">
      <w:pPr>
        <w:pStyle w:val="EPBodyTA1"/>
      </w:pPr>
      <w:r w:rsidRPr="00314751">
        <w:t>PŘIJATÉ TEXTY</w:t>
      </w:r>
    </w:p>
    <w:p w:rsidR="00D058B8" w:rsidRPr="00314751" w:rsidRDefault="00D058B8" w:rsidP="00D058B8">
      <w:pPr>
        <w:pStyle w:val="LineBottom"/>
      </w:pPr>
    </w:p>
    <w:p w:rsidR="00B80084" w:rsidRPr="00314751" w:rsidRDefault="00B80084" w:rsidP="00B80084">
      <w:pPr>
        <w:pStyle w:val="ATHeading1"/>
      </w:pPr>
      <w:bookmarkStart w:id="0" w:name="TANumber"/>
      <w:r w:rsidRPr="00314751">
        <w:t>P9_TA(2024)0</w:t>
      </w:r>
      <w:bookmarkEnd w:id="0"/>
      <w:r w:rsidR="004A0A42">
        <w:t>250</w:t>
      </w:r>
    </w:p>
    <w:p w:rsidR="00B80084" w:rsidRPr="00314751" w:rsidRDefault="00B80084" w:rsidP="00B80084">
      <w:pPr>
        <w:pStyle w:val="ATHeading2"/>
      </w:pPr>
      <w:bookmarkStart w:id="1" w:name="title"/>
      <w:r w:rsidRPr="00314751">
        <w:t>Udělení absolutoria za rok 2022: Evropský úřad pro bezpečnost potravin</w:t>
      </w:r>
      <w:bookmarkEnd w:id="1"/>
    </w:p>
    <w:p w:rsidR="00B80084" w:rsidRPr="00314751" w:rsidRDefault="00B80084" w:rsidP="00B80084">
      <w:pPr>
        <w:rPr>
          <w:i/>
          <w:vanish/>
        </w:rPr>
      </w:pPr>
      <w:r w:rsidRPr="00314751">
        <w:rPr>
          <w:i/>
        </w:rPr>
        <w:fldChar w:fldCharType="begin"/>
      </w:r>
      <w:r w:rsidRPr="00314751">
        <w:rPr>
          <w:i/>
        </w:rPr>
        <w:instrText xml:space="preserve"> TC"(</w:instrText>
      </w:r>
      <w:bookmarkStart w:id="2" w:name="DocNumber"/>
      <w:r w:rsidRPr="00314751">
        <w:rPr>
          <w:i/>
        </w:rPr>
        <w:instrText>A9-0129/2024</w:instrText>
      </w:r>
      <w:bookmarkEnd w:id="2"/>
      <w:r w:rsidRPr="00314751">
        <w:rPr>
          <w:i/>
        </w:rPr>
        <w:instrText xml:space="preserve"> - Zpravodaj: Petri Sarvamaa)"\l3 \n&gt; \* MERGEFORMAT </w:instrText>
      </w:r>
      <w:r w:rsidRPr="00314751">
        <w:rPr>
          <w:i/>
        </w:rPr>
        <w:fldChar w:fldCharType="end"/>
      </w:r>
    </w:p>
    <w:p w:rsidR="00B80084" w:rsidRPr="00314751" w:rsidRDefault="00B80084" w:rsidP="00B80084">
      <w:pPr>
        <w:rPr>
          <w:vanish/>
        </w:rPr>
      </w:pPr>
      <w:bookmarkStart w:id="3" w:name="Commission"/>
      <w:r w:rsidRPr="00314751">
        <w:rPr>
          <w:vanish/>
        </w:rPr>
        <w:t>Výbor pro rozpočtovou kontrolu</w:t>
      </w:r>
      <w:bookmarkEnd w:id="3"/>
    </w:p>
    <w:p w:rsidR="00B80084" w:rsidRPr="00314751" w:rsidRDefault="00B80084" w:rsidP="00B80084">
      <w:pPr>
        <w:rPr>
          <w:vanish/>
        </w:rPr>
      </w:pPr>
      <w:bookmarkStart w:id="4" w:name="PE"/>
      <w:r w:rsidRPr="00314751">
        <w:rPr>
          <w:vanish/>
        </w:rPr>
        <w:t>PE753.519</w:t>
      </w:r>
      <w:bookmarkEnd w:id="4"/>
    </w:p>
    <w:p w:rsidR="00B80084" w:rsidRPr="00314751" w:rsidRDefault="00B80084" w:rsidP="00B80084">
      <w:pPr>
        <w:pStyle w:val="ATHeading3"/>
      </w:pPr>
      <w:bookmarkStart w:id="5" w:name="Sujet"/>
      <w:r w:rsidRPr="00314751">
        <w:t xml:space="preserve">1. Rozhodnutí </w:t>
      </w:r>
      <w:r w:rsidR="00896BE7">
        <w:t>Evropského parlamentu ze dne 11. dubna</w:t>
      </w:r>
      <w:r w:rsidRPr="00314751">
        <w:t xml:space="preserve"> 2024 o udělení absolutoria za plnění rozpočtu Evropského úřadu pro bezpečnost potravin na rozpočtový rok 2022</w:t>
      </w:r>
      <w:bookmarkEnd w:id="5"/>
      <w:r w:rsidRPr="00314751">
        <w:t xml:space="preserve"> </w:t>
      </w:r>
      <w:bookmarkStart w:id="6" w:name="References"/>
      <w:r w:rsidRPr="00314751">
        <w:t>(2023/2151(DEC))</w:t>
      </w:r>
      <w:bookmarkEnd w:id="6"/>
    </w:p>
    <w:p w:rsidR="004A5E17" w:rsidRPr="00314751" w:rsidRDefault="004A5E17" w:rsidP="004A5E17">
      <w:pPr>
        <w:pStyle w:val="EPComma"/>
      </w:pPr>
      <w:bookmarkStart w:id="7" w:name="TextBodyBegin"/>
      <w:bookmarkEnd w:id="7"/>
      <w:r w:rsidRPr="00314751">
        <w:rPr>
          <w:i/>
        </w:rPr>
        <w:t>Evropský parlament</w:t>
      </w:r>
      <w:r w:rsidRPr="00314751">
        <w:t>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konečnou roční účetní závěrku Evropského úřadu pro bezpečnost potravin za rozpočtový rok 2022,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výroční zprávu Účetního dvora o agenturách EU za rozpočtový rok 2022 spolu s odpověďmi agentur</w:t>
      </w:r>
      <w:r w:rsidRPr="00314751">
        <w:rPr>
          <w:rStyle w:val="FootnoteReference"/>
        </w:rPr>
        <w:footnoteReference w:id="1"/>
      </w:r>
      <w:r w:rsidRPr="00314751">
        <w:t>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prohlášení o věrohodnosti</w:t>
      </w:r>
      <w:r w:rsidRPr="00314751">
        <w:rPr>
          <w:rStyle w:val="FootnoteReference"/>
        </w:rPr>
        <w:footnoteReference w:id="2"/>
      </w:r>
      <w:r w:rsidRPr="00314751">
        <w:t xml:space="preserve"> účetnictví a o legalitě a správnosti uskutečněných operací, které předložil Účetní dvůr za rozpočtový rok 2022 podle článku 287 Smlouvy o fungování Evropské unie,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doporučení Rady ze dne 22. února 2024 o udělení absolutoria úřadu za plnění rozpoč</w:t>
      </w:r>
      <w:r w:rsidR="004846AA">
        <w:t>tu na rozpočtový rok 2022 (06180</w:t>
      </w:r>
      <w:r w:rsidRPr="00314751">
        <w:t>/2024 – C9</w:t>
      </w:r>
      <w:r w:rsidRPr="00314751">
        <w:noBreakHyphen/>
        <w:t>0</w:t>
      </w:r>
      <w:r w:rsidR="004846AA">
        <w:t>089</w:t>
      </w:r>
      <w:r w:rsidRPr="00314751">
        <w:t>/2024),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článek 319 Smlouvy o fungování Evropské unie,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896BE7">
        <w:t>/2014 a rozhodnutí č. 541/2014/</w:t>
      </w:r>
      <w:r w:rsidRPr="00314751">
        <w:t>EU a zrušuje nařízení (EU, Euratom) č. 966/2012</w:t>
      </w:r>
      <w:r w:rsidRPr="00314751">
        <w:rPr>
          <w:rStyle w:val="FootnoteReference"/>
        </w:rPr>
        <w:footnoteReference w:id="3"/>
      </w:r>
      <w:r w:rsidRPr="00314751">
        <w:t>, a zejména článek 70 tohoto nařízení,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 xml:space="preserve">s ohledem na nařízení Evropského parlamentu a Rady (ES) č. 178/2002 ze dne 28. ledna 2002, kterým se stanoví obecné zásady a požadavky potravinového práva, zřizuje se Evropský úřad pro bezpečnost potravin a stanoví postupy týkající se bezpečnosti </w:t>
      </w:r>
      <w:r w:rsidRPr="00314751">
        <w:lastRenderedPageBreak/>
        <w:t>potravin</w:t>
      </w:r>
      <w:r w:rsidRPr="00314751">
        <w:rPr>
          <w:rStyle w:val="FootnoteReference"/>
        </w:rPr>
        <w:footnoteReference w:id="4"/>
      </w:r>
      <w:r w:rsidRPr="00314751">
        <w:t>, a zejména na článek 44 tohoto nařízení,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 xml:space="preserve">s ohledem na nařízení Komise v přenesené pravomoci (EU) 2019/715 ze dne 18. prosince 2018 o rámcovém finančním nařízení pro subjekty zřízené podle </w:t>
      </w:r>
      <w:r w:rsidR="00401781" w:rsidRPr="00401781">
        <w:t>Smlouvy o fungování Evropské unie</w:t>
      </w:r>
      <w:r w:rsidRPr="00314751">
        <w:t xml:space="preserve"> a Smlouvy o Euratomu a uvedené v článku 70 nařízení Evropského parlamentu a Rady (EU, Euratom) 2018/1046</w:t>
      </w:r>
      <w:r w:rsidRPr="00314751">
        <w:rPr>
          <w:rStyle w:val="FootnoteReference"/>
        </w:rPr>
        <w:footnoteReference w:id="5"/>
      </w:r>
      <w:r w:rsidRPr="00314751">
        <w:t>, a zejména na článek 105 tohoto nařízení,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článek 100 a přílohu V jednacího řádu,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stanovisko Výboru pro životní prostředí, veřejné zdraví a bezpečnost potravin,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zprávu Výboru pro rozpočtovou kontrolu (A9</w:t>
      </w:r>
      <w:r w:rsidRPr="00314751">
        <w:noBreakHyphen/>
        <w:t>0129/2024),</w:t>
      </w:r>
    </w:p>
    <w:p w:rsidR="004A5E17" w:rsidRPr="00314751" w:rsidRDefault="004A5E17" w:rsidP="004A5E17">
      <w:pPr>
        <w:pStyle w:val="NormalHanging12a"/>
      </w:pPr>
      <w:r w:rsidRPr="00314751">
        <w:t>1.</w:t>
      </w:r>
      <w:r w:rsidRPr="00314751">
        <w:tab/>
        <w:t>uděluje absolutorium výkonnému řediteli Evropského úřadu pro bezpečnost potravin za plnění rozpočtu agentury na rozpočtový rok 2022;</w:t>
      </w:r>
    </w:p>
    <w:p w:rsidR="004A5E17" w:rsidRPr="00314751" w:rsidRDefault="004A5E17" w:rsidP="004A5E17">
      <w:pPr>
        <w:pStyle w:val="NormalHanging12a"/>
      </w:pPr>
      <w:r w:rsidRPr="00314751">
        <w:t>2.</w:t>
      </w:r>
      <w:r w:rsidRPr="00314751">
        <w:tab/>
        <w:t>předkládá své připomínky v dále uvedeném usnesení;</w:t>
      </w:r>
    </w:p>
    <w:p w:rsidR="004A5E17" w:rsidRPr="00314751" w:rsidRDefault="004A5E17" w:rsidP="004A5E17">
      <w:pPr>
        <w:pStyle w:val="NormalHanging12a"/>
      </w:pPr>
      <w:r w:rsidRPr="00314751">
        <w:t>3.</w:t>
      </w:r>
      <w:r w:rsidRPr="00314751">
        <w:tab/>
        <w:t xml:space="preserve">pověřuje svou předsedkyni, aby předala toto rozhodnutí a usnesení, které je jeho nedílnou součástí, výkonnému řediteli Evropského úřadu pro bezpečnost potravin, Radě, Komisi a Účetnímu dvoru a aby zajistila jeho zveřejnění v </w:t>
      </w:r>
      <w:r w:rsidRPr="00314751">
        <w:rPr>
          <w:i/>
        </w:rPr>
        <w:t>Úředním věstníku Evropské unie</w:t>
      </w:r>
      <w:r w:rsidRPr="00314751">
        <w:t xml:space="preserve"> (řada L).</w:t>
      </w:r>
    </w:p>
    <w:p w:rsidR="004A5E17" w:rsidRPr="00314751" w:rsidRDefault="004A5E17" w:rsidP="004A5E17"/>
    <w:p w:rsidR="004A5E17" w:rsidRPr="00314751" w:rsidRDefault="004A5E17" w:rsidP="004A5E17">
      <w:pPr>
        <w:widowControl/>
        <w:rPr>
          <w:rFonts w:ascii="Arial" w:hAnsi="Arial" w:cs="Arial"/>
          <w:b/>
        </w:rPr>
        <w:sectPr w:rsidR="004A5E17" w:rsidRPr="00314751" w:rsidSect="0031475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4A5E17" w:rsidRPr="00896BE7" w:rsidRDefault="004A5E17" w:rsidP="00896BE7">
      <w:pPr>
        <w:pStyle w:val="PageHeading"/>
        <w:jc w:val="left"/>
        <w:rPr>
          <w:rFonts w:ascii="Times New Roman" w:hAnsi="Times New Roman" w:cs="Times New Roman"/>
        </w:rPr>
      </w:pPr>
      <w:bookmarkStart w:id="8" w:name="_Toc146807918"/>
      <w:bookmarkStart w:id="9" w:name="_Toc161995044"/>
      <w:r w:rsidRPr="00896BE7">
        <w:rPr>
          <w:rFonts w:ascii="Times New Roman" w:hAnsi="Times New Roman" w:cs="Times New Roman"/>
        </w:rPr>
        <w:lastRenderedPageBreak/>
        <w:t xml:space="preserve">2. </w:t>
      </w:r>
      <w:bookmarkEnd w:id="8"/>
      <w:r w:rsidR="00896BE7">
        <w:rPr>
          <w:rFonts w:ascii="Times New Roman" w:hAnsi="Times New Roman" w:cs="Times New Roman"/>
        </w:rPr>
        <w:t>Rozhodnutí E</w:t>
      </w:r>
      <w:r w:rsidR="00896BE7" w:rsidRPr="00896BE7">
        <w:rPr>
          <w:rFonts w:ascii="Times New Roman" w:hAnsi="Times New Roman" w:cs="Times New Roman"/>
        </w:rPr>
        <w:t>vropského parlamentu</w:t>
      </w:r>
      <w:bookmarkEnd w:id="9"/>
      <w:r w:rsidR="00896BE7" w:rsidRPr="00896BE7">
        <w:rPr>
          <w:rFonts w:ascii="Times New Roman" w:hAnsi="Times New Roman" w:cs="Times New Roman"/>
        </w:rPr>
        <w:t xml:space="preserve"> ze dne 11. dubna 2024 </w:t>
      </w:r>
      <w:r w:rsidRPr="00896BE7">
        <w:rPr>
          <w:rFonts w:ascii="Times New Roman" w:hAnsi="Times New Roman" w:cs="Times New Roman"/>
        </w:rPr>
        <w:t>o uzavření účtů Evropského úřadu pro bezpečnost potravin na rozpočtový rok 2022</w:t>
      </w:r>
      <w:r w:rsidR="00896BE7" w:rsidRPr="00896BE7">
        <w:rPr>
          <w:rFonts w:ascii="Times New Roman" w:hAnsi="Times New Roman" w:cs="Times New Roman"/>
        </w:rPr>
        <w:t xml:space="preserve"> </w:t>
      </w:r>
      <w:r w:rsidRPr="00896BE7">
        <w:rPr>
          <w:rFonts w:ascii="Times New Roman" w:hAnsi="Times New Roman" w:cs="Times New Roman"/>
        </w:rPr>
        <w:t>(2023/2151(DEC))</w:t>
      </w:r>
    </w:p>
    <w:p w:rsidR="004A5E17" w:rsidRPr="00314751" w:rsidRDefault="004A5E17" w:rsidP="004A5E17">
      <w:pPr>
        <w:pStyle w:val="EPComma"/>
      </w:pPr>
      <w:r w:rsidRPr="00314751">
        <w:rPr>
          <w:i/>
        </w:rPr>
        <w:t>Evropský parlament</w:t>
      </w:r>
      <w:r w:rsidRPr="00314751">
        <w:t>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konečnou roční účetní závěrku Evropského úřadu pro bezpečnost potravin za rozpočtový rok 2022,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výroční zprávu Účetního dvora o agenturách EU za rozpočtový rok 2022 spolu s odpověďmi agentur</w:t>
      </w:r>
      <w:r w:rsidRPr="00314751">
        <w:rPr>
          <w:rStyle w:val="FootnoteReference"/>
        </w:rPr>
        <w:footnoteReference w:id="6"/>
      </w:r>
      <w:r w:rsidRPr="00314751">
        <w:t>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prohlášení o věrohodnosti</w:t>
      </w:r>
      <w:r w:rsidRPr="00314751">
        <w:rPr>
          <w:rStyle w:val="FootnoteReference"/>
        </w:rPr>
        <w:footnoteReference w:id="7"/>
      </w:r>
      <w:r w:rsidRPr="00314751">
        <w:t xml:space="preserve"> účetnictví a o legalitě a správnosti uskutečněných operací, které předložil Účetní dvůr za rozpočtový rok 2022 podle článku 287 Smlouvy o fungování Evropské unie,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doporučení Rady ze dne 22. února 2024 o udělení absolutoria úřadu za plnění rozpoč</w:t>
      </w:r>
      <w:r w:rsidR="004846AA">
        <w:t>tu na rozpočtový rok 2022 (06180/2024 – C9</w:t>
      </w:r>
      <w:r w:rsidR="004846AA">
        <w:noBreakHyphen/>
        <w:t>0089</w:t>
      </w:r>
      <w:r w:rsidRPr="00314751">
        <w:t>/2024),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článek 319 Smlouvy o fungování Evropské unie,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896BE7">
        <w:t>/2014 a rozhodnutí č. 541/2014/</w:t>
      </w:r>
      <w:r w:rsidRPr="00314751">
        <w:t>EU a zrušuje nařízení (EU, Euratom) č. 966/2012</w:t>
      </w:r>
      <w:r w:rsidRPr="00314751">
        <w:rPr>
          <w:rStyle w:val="FootnoteReference"/>
        </w:rPr>
        <w:footnoteReference w:id="8"/>
      </w:r>
      <w:r w:rsidRPr="00314751">
        <w:t>, a zejména článek 70 tohoto nařízení,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nařízení Evropského parlamentu a Rady (ES) č. 178/2002 ze dne 28. ledna 2002, kterým se stanoví obecné zásady a požadavky potravinového práva, zřizuje se Evropský úřad pro bezpečnost potravin a stanoví postupy týkající se bezpečnosti potravin</w:t>
      </w:r>
      <w:r w:rsidRPr="00314751">
        <w:rPr>
          <w:rStyle w:val="FootnoteReference"/>
        </w:rPr>
        <w:footnoteReference w:id="9"/>
      </w:r>
      <w:r w:rsidRPr="00314751">
        <w:t>, a zejména na článek 44 tohoto nařízení,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 xml:space="preserve">s ohledem na nařízení Komise v přenesené pravomoci (EU) 2019/715 ze dne 18. prosince 2018 o rámcovém finančním nařízení pro subjekty zřízené podle </w:t>
      </w:r>
      <w:r w:rsidR="00401781" w:rsidRPr="00401781">
        <w:t>Smlouvy o fungování Evropské unie</w:t>
      </w:r>
      <w:r w:rsidRPr="00314751">
        <w:t xml:space="preserve"> a Smlouvy o Euratomu a uvedené v článku 70 nařízení Evropského parlamentu a Rady (EU, Euratom) 2018/1046</w:t>
      </w:r>
      <w:r w:rsidRPr="00314751">
        <w:rPr>
          <w:rStyle w:val="FootnoteReference"/>
        </w:rPr>
        <w:footnoteReference w:id="10"/>
      </w:r>
      <w:r w:rsidRPr="00314751">
        <w:t>, a zejména na článek 105 tohoto nařízení,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článek 100 a přílohu V jednacího řádu,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stanovisko Výboru pro životní prostředí, veřejné zdraví a bezpečnost potravin,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zprávu Výboru pro rozpočtovou kontrolu (A9</w:t>
      </w:r>
      <w:r w:rsidRPr="00314751">
        <w:noBreakHyphen/>
        <w:t>0129/2024),</w:t>
      </w:r>
    </w:p>
    <w:p w:rsidR="004A5E17" w:rsidRPr="00314751" w:rsidRDefault="004A5E17" w:rsidP="004A5E17">
      <w:pPr>
        <w:pStyle w:val="NormalHanging12a"/>
      </w:pPr>
      <w:r w:rsidRPr="00314751">
        <w:t>1.</w:t>
      </w:r>
      <w:r w:rsidRPr="00314751">
        <w:tab/>
        <w:t xml:space="preserve">schvaluje uzavření účtů Evropské agentury pro bezpečnost potravin na rozpočtový rok </w:t>
      </w:r>
      <w:r w:rsidRPr="00314751">
        <w:lastRenderedPageBreak/>
        <w:t>2022;</w:t>
      </w:r>
    </w:p>
    <w:p w:rsidR="004A5E17" w:rsidRPr="00314751" w:rsidRDefault="004A5E17" w:rsidP="004A5E17">
      <w:pPr>
        <w:pStyle w:val="NormalHanging12a"/>
      </w:pPr>
      <w:r w:rsidRPr="00314751">
        <w:t>2.</w:t>
      </w:r>
      <w:r w:rsidRPr="00314751">
        <w:tab/>
        <w:t xml:space="preserve">pověřuje svou předsedkyni, aby předala toto rozhodnutí výkonnému řediteli Evropského úřadu pro bezpečnost potravin, Radě, Komisi a Účetnímu dvoru a aby zajistila jeho zveřejnění v </w:t>
      </w:r>
      <w:r w:rsidRPr="00314751">
        <w:rPr>
          <w:i/>
        </w:rPr>
        <w:t>Úředním věstníku Evropské unie</w:t>
      </w:r>
      <w:r w:rsidRPr="00314751">
        <w:t xml:space="preserve"> (řada L).</w:t>
      </w:r>
    </w:p>
    <w:p w:rsidR="004A5E17" w:rsidRPr="00314751" w:rsidRDefault="004A5E17" w:rsidP="004A5E17"/>
    <w:p w:rsidR="004A5E17" w:rsidRPr="00314751" w:rsidRDefault="004A5E17" w:rsidP="004A5E17">
      <w:pPr>
        <w:widowControl/>
        <w:rPr>
          <w:rFonts w:ascii="Arial" w:hAnsi="Arial" w:cs="Arial"/>
          <w:b/>
        </w:rPr>
        <w:sectPr w:rsidR="004A5E17" w:rsidRPr="00314751" w:rsidSect="00314751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4A5E17" w:rsidRPr="00896BE7" w:rsidRDefault="004A5E17" w:rsidP="00896BE7">
      <w:pPr>
        <w:pStyle w:val="PageHeading"/>
        <w:jc w:val="left"/>
        <w:rPr>
          <w:rFonts w:ascii="Times New Roman" w:hAnsi="Times New Roman" w:cs="Times New Roman"/>
        </w:rPr>
      </w:pPr>
      <w:bookmarkStart w:id="10" w:name="_Toc146807919"/>
      <w:bookmarkStart w:id="11" w:name="_Toc161995045"/>
      <w:r w:rsidRPr="00896BE7">
        <w:rPr>
          <w:rFonts w:ascii="Times New Roman" w:hAnsi="Times New Roman" w:cs="Times New Roman"/>
        </w:rPr>
        <w:lastRenderedPageBreak/>
        <w:t xml:space="preserve">3. </w:t>
      </w:r>
      <w:bookmarkEnd w:id="10"/>
      <w:r w:rsidR="00896BE7">
        <w:rPr>
          <w:rFonts w:ascii="Times New Roman" w:hAnsi="Times New Roman" w:cs="Times New Roman"/>
        </w:rPr>
        <w:t>Usnesení E</w:t>
      </w:r>
      <w:r w:rsidR="00896BE7" w:rsidRPr="00896BE7">
        <w:rPr>
          <w:rFonts w:ascii="Times New Roman" w:hAnsi="Times New Roman" w:cs="Times New Roman"/>
        </w:rPr>
        <w:t>vropského parlamentu</w:t>
      </w:r>
      <w:bookmarkEnd w:id="11"/>
      <w:r w:rsidR="00896BE7" w:rsidRPr="00896BE7">
        <w:rPr>
          <w:rFonts w:ascii="Times New Roman" w:hAnsi="Times New Roman" w:cs="Times New Roman"/>
        </w:rPr>
        <w:t xml:space="preserve"> ze dne 11. dubna 2024 obsahující</w:t>
      </w:r>
      <w:r w:rsidRPr="00896BE7">
        <w:rPr>
          <w:rFonts w:ascii="Times New Roman" w:hAnsi="Times New Roman" w:cs="Times New Roman"/>
        </w:rPr>
        <w:t xml:space="preserve"> připomínky, které jsou nedílnou součástí rozhodnutí o udělení absolutoria za plnění rozpočtu Evropského úřadu pro bezpečnost potravin na rozpočtový rok 2022</w:t>
      </w:r>
      <w:r w:rsidR="00896BE7" w:rsidRPr="00896BE7">
        <w:rPr>
          <w:rFonts w:ascii="Times New Roman" w:hAnsi="Times New Roman" w:cs="Times New Roman"/>
        </w:rPr>
        <w:t xml:space="preserve"> </w:t>
      </w:r>
      <w:r w:rsidRPr="00896BE7">
        <w:rPr>
          <w:rFonts w:ascii="Times New Roman" w:hAnsi="Times New Roman" w:cs="Times New Roman"/>
        </w:rPr>
        <w:t>(2023/2151(DEC))</w:t>
      </w:r>
    </w:p>
    <w:p w:rsidR="004A5E17" w:rsidRPr="00314751" w:rsidRDefault="004A5E17" w:rsidP="004A5E17">
      <w:pPr>
        <w:pStyle w:val="EPComma"/>
      </w:pPr>
      <w:r w:rsidRPr="00314751">
        <w:rPr>
          <w:i/>
        </w:rPr>
        <w:t>Evropský parlament</w:t>
      </w:r>
      <w:r w:rsidRPr="00314751">
        <w:t>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své rozhodnutí o udělení absolutoria za plnění rozpočtu Evropského úřadu pro bezpečnost potravin na rozpočtový rok 2022,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článek 100 a přílohu V jednacího řádu,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stanovisko Výboru pro životní prostředí, veřejné zdraví a bezpečnost potravin,</w:t>
      </w:r>
    </w:p>
    <w:p w:rsidR="004A5E17" w:rsidRPr="00314751" w:rsidRDefault="004A5E17" w:rsidP="004A5E17">
      <w:pPr>
        <w:pStyle w:val="NormalHanging12a"/>
      </w:pPr>
      <w:r w:rsidRPr="00314751">
        <w:t>–</w:t>
      </w:r>
      <w:r w:rsidRPr="00314751">
        <w:tab/>
        <w:t>s ohledem na zprávu Výboru pro rozpočtovou kontrolu (A9</w:t>
      </w:r>
      <w:r w:rsidRPr="00314751">
        <w:noBreakHyphen/>
        <w:t>0129/2024),</w:t>
      </w:r>
    </w:p>
    <w:p w:rsidR="004A5E17" w:rsidRPr="00314751" w:rsidRDefault="004A5E17" w:rsidP="004A5E17">
      <w:pPr>
        <w:autoSpaceDE w:val="0"/>
        <w:autoSpaceDN w:val="0"/>
        <w:adjustRightInd w:val="0"/>
        <w:spacing w:after="240"/>
        <w:ind w:left="567" w:hanging="567"/>
        <w:rPr>
          <w:rFonts w:eastAsia="Calibri"/>
          <w:szCs w:val="24"/>
        </w:rPr>
      </w:pPr>
      <w:r w:rsidRPr="00314751">
        <w:t>A.</w:t>
      </w:r>
      <w:r w:rsidRPr="00314751">
        <w:tab/>
        <w:t>vzhledem k tomu, že konečný rozpočet Evropského úřadu pro bezpečnost potravin (dále jen „úřad“) na rozpočtový rok 2022 činil podle jeho výkazu příjmů a výdajů</w:t>
      </w:r>
      <w:r w:rsidRPr="00314751">
        <w:rPr>
          <w:rFonts w:eastAsia="Calibri"/>
          <w:szCs w:val="24"/>
          <w:vertAlign w:val="superscript"/>
        </w:rPr>
        <w:footnoteReference w:id="11"/>
      </w:r>
      <w:r w:rsidRPr="00314751">
        <w:t xml:space="preserve"> 149 841 816,93 EUR, což oproti roku 2021 představuje nárůst o 15,99 %; vzhledem k tomu, že rozpočet úřadu se odvíjí převážně od rozpočtu Unie;</w:t>
      </w:r>
    </w:p>
    <w:p w:rsidR="004A5E17" w:rsidRPr="00314751" w:rsidRDefault="004A5E17" w:rsidP="004A5E17">
      <w:pPr>
        <w:spacing w:after="240"/>
        <w:ind w:left="567" w:hanging="567"/>
        <w:rPr>
          <w:szCs w:val="24"/>
        </w:rPr>
      </w:pPr>
      <w:r w:rsidRPr="00314751">
        <w:t>B.</w:t>
      </w:r>
      <w:r w:rsidRPr="00314751">
        <w:tab/>
        <w:t>vzhledem k tomu, že Účetní dvůr ve své zprávě o roční účetní závěrce úřadu za rozpočtový rok 2022 (dále jen „zpráva Účetního dvora“) prohlásil, že získal přiměřenou jistotu, že jeho účetní závěrka je spolehlivá a že uskutečněné operace jsou legální a správné;</w:t>
      </w:r>
    </w:p>
    <w:p w:rsidR="004A5E17" w:rsidRPr="00314751" w:rsidRDefault="004A5E17" w:rsidP="004A5E17">
      <w:pPr>
        <w:widowControl/>
        <w:spacing w:after="240"/>
        <w:ind w:left="567" w:hanging="567"/>
        <w:rPr>
          <w:szCs w:val="24"/>
        </w:rPr>
      </w:pPr>
      <w:r w:rsidRPr="00314751">
        <w:t>C.</w:t>
      </w:r>
      <w:r w:rsidRPr="00314751">
        <w:tab/>
        <w:t>vzhledem k tomu, že pokud jde o zadávání veřejných zakázek úřadu, nebyly za rok 2022 hlášeny žádné problémy vyžadující nápravná opatření, přičemž v současnosti nejsou prováděna ani žádná nápravná opatření vyplývající z auditů a hodnocení z posledních let, ani žádná taková opatření nezbývá provést;</w:t>
      </w:r>
    </w:p>
    <w:p w:rsidR="004A5E17" w:rsidRPr="00314751" w:rsidRDefault="004A5E17" w:rsidP="004A5E17">
      <w:pPr>
        <w:widowControl/>
        <w:spacing w:after="240"/>
        <w:ind w:left="567" w:hanging="567"/>
        <w:rPr>
          <w:szCs w:val="24"/>
        </w:rPr>
      </w:pPr>
      <w:r w:rsidRPr="00314751">
        <w:t>D.</w:t>
      </w:r>
      <w:r w:rsidRPr="00314751">
        <w:tab/>
        <w:t>vzhledem k tomu, že pokud jde o zadávání veřejných zakázek úřadu, nebyly za rok 2022 hlášeny žádné problémy vyžadující nápravná opatření, přičemž v současnosti nejsou prováděna ani žádná nápravná opatření vyplývající z auditů a hodnocení z posledních let, ani žádná taková opatření nezbývá provést;</w:t>
      </w:r>
    </w:p>
    <w:p w:rsidR="004A5E17" w:rsidRPr="00314751" w:rsidRDefault="004A5E17" w:rsidP="004A5E17">
      <w:pPr>
        <w:spacing w:after="240"/>
        <w:ind w:left="567" w:hanging="567"/>
        <w:rPr>
          <w:b/>
          <w:i/>
          <w:szCs w:val="24"/>
        </w:rPr>
      </w:pPr>
      <w:r w:rsidRPr="00314751">
        <w:rPr>
          <w:b/>
          <w:i/>
        </w:rPr>
        <w:t>Rozpočtové a finanční řízení</w:t>
      </w:r>
    </w:p>
    <w:p w:rsidR="004A5E17" w:rsidRPr="00314751" w:rsidRDefault="004A5E17" w:rsidP="004A5E17">
      <w:pPr>
        <w:spacing w:after="240"/>
        <w:ind w:left="567" w:hanging="567"/>
        <w:rPr>
          <w:szCs w:val="24"/>
        </w:rPr>
      </w:pPr>
      <w:r w:rsidRPr="00314751">
        <w:t>1.</w:t>
      </w:r>
      <w:r w:rsidRPr="00314751">
        <w:tab/>
        <w:t>s uznáním konstatuje, že výsledkem úsilí o monitorování rozpočtu během rozpočtového roku 2022 byla míra plnění prostředků na závazky na běžný rok ve výši 99,95 %, což oproti roku 2021 představuje mírné snížení o 0,04 %; dále konstatuje, že míra čerpání prostředků na platby v roce 2021 dosáhla 89,77 %, což ve srovnání s rokem 2021 představuje zvýšení o 0,92 %;</w:t>
      </w:r>
    </w:p>
    <w:p w:rsidR="004A5E17" w:rsidRPr="00314751" w:rsidRDefault="004A5E17" w:rsidP="004A5E17">
      <w:pPr>
        <w:pStyle w:val="NormalHanging12a"/>
      </w:pPr>
      <w:r w:rsidRPr="00314751">
        <w:t>2.</w:t>
      </w:r>
      <w:r w:rsidRPr="00314751">
        <w:tab/>
        <w:t xml:space="preserve">konstatuje, že nedostatek zdrojů a pracovních pozic v regulačních orgánech pro přípravky na ochranu rostlin vede ke zpožděním při schvalování účinných látek s nízkým rizikem a při aktualizaci metod hodnocení v souladu s vědeckým vývojem, a přitom by zde došlo ke snížení dlouhodobého dopadu přípravků na ochranu rostlin na životní prostředí; vyzývá Komisi, aby přijala vhodná opatření, která zajistí, aby měl </w:t>
      </w:r>
      <w:r w:rsidRPr="00314751">
        <w:lastRenderedPageBreak/>
        <w:t>úřad dostatek zdrojů a pracovních míst na podporu členských států při dodržování jejich lhůt stanovených v nařízení (ES) č. 1107/2009, na zdvojnásobení počtu ročně vydaných posouzení účinných látek a na ztrojnásobení rychlosti vývoje metodik, aby hodnocení rizik odpovídala nejnovějšímu vědeckému vývoji a společenským očekáváním;</w:t>
      </w:r>
    </w:p>
    <w:p w:rsidR="004A5E17" w:rsidRPr="00314751" w:rsidRDefault="004A5E17" w:rsidP="004A5E17">
      <w:pPr>
        <w:spacing w:after="240"/>
        <w:ind w:left="567" w:hanging="567"/>
        <w:rPr>
          <w:b/>
          <w:i/>
          <w:szCs w:val="24"/>
        </w:rPr>
      </w:pPr>
      <w:r w:rsidRPr="00314751">
        <w:rPr>
          <w:b/>
          <w:i/>
        </w:rPr>
        <w:t>Výkon</w:t>
      </w:r>
    </w:p>
    <w:p w:rsidR="004A5E17" w:rsidRPr="00314751" w:rsidRDefault="004A5E17" w:rsidP="004A5E17">
      <w:pPr>
        <w:pStyle w:val="NormalHanging12a"/>
      </w:pPr>
      <w:r w:rsidRPr="00314751">
        <w:t>3.</w:t>
      </w:r>
      <w:r w:rsidRPr="00314751">
        <w:tab/>
        <w:t>vítá příspěvek úřadu k bezpečnosti potravinového a krmivového řetězce Unie a značné úsilí, jež vyvíjí tím, že subjektům, které se zabývají řízením rizik, poskytuje komplexní, nezávislé a aktuální vědecké poradenství k otázkám souvisejícím s potravinovým řetězcem, že veřejnosti jasně sděluje své závěry i informace, na nichž jsou založeny, a spolupracuje se zúčastněnými stranami a institucionálními partnery na podpoře soudržnosti a důvěry v systém bezpečnosti potravin Unie;</w:t>
      </w:r>
    </w:p>
    <w:p w:rsidR="004A5E17" w:rsidRPr="00314751" w:rsidRDefault="004A5E17" w:rsidP="004A5E17">
      <w:pPr>
        <w:pStyle w:val="NormalHanging12a"/>
        <w:rPr>
          <w:szCs w:val="24"/>
        </w:rPr>
      </w:pPr>
      <w:r w:rsidRPr="00314751">
        <w:t>4.</w:t>
      </w:r>
      <w:r w:rsidRPr="00314751">
        <w:tab/>
        <w:t>s uspokojením konstatuje, že úřad zavedl integrovaný výkonnostní rámec, který spojuje zdroje a činnosti s výstupy a očekávanými výsledky, doplněný souborem klíčových ukazatelů výkonnosti (KPI) pro sledování a řízení výkonnosti; dále konstatuje, že výkonnost ve srovnání s cíli stanovenými ve výkonnostním rámci dosáhla celkové míry 96 %; konstatuje, že oblast strategického cíle 2 (zajistit připravenost na budoucí potřeby v oblasti analýzy rizik) a strategického cíle 3 (posílit postavení lidí a zajistit flexibilitu organizace) vykazovaly celkově dobré výsledky, zatímco oblast strategického cíle 1 (poskytovat důvěryhodné vědecké poradenství a informovat o rizicích od zemědělce ke spotřebiteli), která byla silně ovlivněna prováděním nových pravidel a postupů podle nařízení (EU) 2019/1381</w:t>
      </w:r>
      <w:r w:rsidRPr="00314751">
        <w:rPr>
          <w:rStyle w:val="FootnoteReference"/>
          <w:szCs w:val="24"/>
        </w:rPr>
        <w:footnoteReference w:id="12"/>
      </w:r>
      <w:r w:rsidRPr="00314751">
        <w:t>, vykazovala odchylku od cíle;</w:t>
      </w:r>
    </w:p>
    <w:p w:rsidR="004A5E17" w:rsidRPr="00314751" w:rsidRDefault="004A5E17" w:rsidP="004A5E17">
      <w:pPr>
        <w:pStyle w:val="NormalHanging12a"/>
        <w:rPr>
          <w:szCs w:val="24"/>
        </w:rPr>
      </w:pPr>
      <w:r w:rsidRPr="00314751">
        <w:t>5.</w:t>
      </w:r>
      <w:r w:rsidRPr="00314751">
        <w:tab/>
        <w:t>zdůrazňuje, že úřad dokončil 586 vědeckých otázek z cílových 701 otázek týkajících se cíle 1: „poskytovat důvěryhodné vědecké poradenství a informovat o rizicích od zemědělce ke spotřebiteli“; konstatuje, že navzdory tomu, že počet uzavřených vědeckých otázek byl nižší, než se předpokládalo, obecně se rovnal nově položeným otázkám, jež byly obdrženy v průběhu roku, čímž se zajistilo, že se počet otevřených otázek nezvýšil;</w:t>
      </w:r>
    </w:p>
    <w:p w:rsidR="004A5E17" w:rsidRPr="00314751" w:rsidRDefault="004A5E17" w:rsidP="004A5E17">
      <w:pPr>
        <w:pStyle w:val="NormalHanging12a"/>
        <w:rPr>
          <w:szCs w:val="24"/>
        </w:rPr>
      </w:pPr>
      <w:r w:rsidRPr="00314751">
        <w:t>6.</w:t>
      </w:r>
      <w:r w:rsidRPr="00314751">
        <w:tab/>
        <w:t>vítá skutečnost, že oblast sdělování zjištění zaznamenala velmi pozitivní výsledky, přičemž včasnost zveřejnění v Úředním věstníku úřadu zůstala nadále kladná, jak tomu bylo v posledních dvou letech;</w:t>
      </w:r>
    </w:p>
    <w:p w:rsidR="004A5E17" w:rsidRPr="00314751" w:rsidRDefault="004A5E17" w:rsidP="004A5E17">
      <w:pPr>
        <w:pStyle w:val="NormalHanging12a"/>
        <w:rPr>
          <w:szCs w:val="24"/>
        </w:rPr>
      </w:pPr>
      <w:r w:rsidRPr="00314751">
        <w:t>7.</w:t>
      </w:r>
      <w:r w:rsidRPr="00314751">
        <w:tab/>
        <w:t>konstatuje, že rok 2022 byl prvním rokem provádění strategie 2027; strategie 2027, která byla navržena jako následný rozvoj strategie 2020, se zaměřuje na provádění nařízení (EU) 2019/1381 (v krátkodobém horizontu) a připravuje úřad na řešení nových vyvíjejících se politik Unie (z dlouhodobého hlediska);</w:t>
      </w:r>
    </w:p>
    <w:p w:rsidR="004A5E17" w:rsidRPr="00314751" w:rsidRDefault="004A5E17" w:rsidP="004A5E17">
      <w:pPr>
        <w:pStyle w:val="NormalHanging12a"/>
        <w:rPr>
          <w:szCs w:val="24"/>
        </w:rPr>
      </w:pPr>
      <w:r w:rsidRPr="00314751">
        <w:t>8.</w:t>
      </w:r>
      <w:r w:rsidRPr="00314751">
        <w:tab/>
        <w:t>vítá skutečnost, že úřad v červnu 2022 uspořádal konferenci „JEDNO – zdraví, životní prostředí, společnost“, která zdůraznila souvislost mezi zdravím lidí, zvířat a životního prostředí a vedla k přístupu „jedno zdraví – jedno životní prostředí“;</w:t>
      </w:r>
    </w:p>
    <w:p w:rsidR="004A5E17" w:rsidRPr="00314751" w:rsidRDefault="004A5E17" w:rsidP="004A5E17">
      <w:pPr>
        <w:pStyle w:val="NormalHanging12a"/>
        <w:rPr>
          <w:szCs w:val="24"/>
        </w:rPr>
      </w:pPr>
      <w:r w:rsidRPr="00314751">
        <w:t>9.</w:t>
      </w:r>
      <w:r w:rsidRPr="00314751">
        <w:tab/>
        <w:t xml:space="preserve">konstatuje, že úřad zahájil v partnerství s osmnácti členskými státy kampaň, jež se týká </w:t>
      </w:r>
      <w:r w:rsidRPr="00314751">
        <w:lastRenderedPageBreak/>
        <w:t>afrického moru prasat; dále konstatuje, že úřad přispěl k vypracování a provádění strategie EU pro chemické látky;</w:t>
      </w:r>
    </w:p>
    <w:p w:rsidR="004A5E17" w:rsidRPr="00314751" w:rsidRDefault="004A5E17" w:rsidP="004A5E17">
      <w:pPr>
        <w:pStyle w:val="NormalHanging12a"/>
      </w:pPr>
      <w:r w:rsidRPr="00314751">
        <w:t>10.</w:t>
      </w:r>
      <w:r w:rsidRPr="00314751">
        <w:tab/>
        <w:t>konstatuje, že podle roční strategické analýzy, kterou úřad zahájil, když žádal o zpětnou vazbu od svých zákazníků, partnerů a zúčastněných stran, kteří jsou do vydávání vědeckých stanovisek úřadu přímo či nepřímo zapojeni, zůstává i nadále jedním z bodů zájmu schopnost úřadu poskytovat doporučení včas;</w:t>
      </w:r>
    </w:p>
    <w:p w:rsidR="004A5E17" w:rsidRPr="00314751" w:rsidRDefault="004A5E17" w:rsidP="004A5E17">
      <w:pPr>
        <w:pStyle w:val="NormalHanging12a"/>
        <w:rPr>
          <w:b/>
          <w:i/>
          <w:szCs w:val="24"/>
        </w:rPr>
      </w:pPr>
      <w:r w:rsidRPr="00314751">
        <w:rPr>
          <w:b/>
          <w:i/>
        </w:rPr>
        <w:t>Efektivita a úspory</w:t>
      </w:r>
    </w:p>
    <w:p w:rsidR="004A5E17" w:rsidRPr="00314751" w:rsidRDefault="004A5E17" w:rsidP="004A5E17">
      <w:pPr>
        <w:pStyle w:val="NormalHanging12a"/>
        <w:rPr>
          <w:szCs w:val="24"/>
        </w:rPr>
      </w:pPr>
      <w:r w:rsidRPr="00314751">
        <w:t>11.</w:t>
      </w:r>
      <w:r w:rsidRPr="00314751">
        <w:tab/>
        <w:t xml:space="preserve">konstatuje, že úřad spolupracuje s Evropskou agenturou pro chemické látky v souvislosti s novou strategií Unie pro chemické látky a s Evropským střediskem pro prevenci a kontrolu nemocí s cílem vyvinout systémy pro sběr a analýzu </w:t>
      </w:r>
      <w:proofErr w:type="spellStart"/>
      <w:r w:rsidRPr="00314751">
        <w:t>sekvenování</w:t>
      </w:r>
      <w:proofErr w:type="spellEnd"/>
      <w:r w:rsidRPr="00314751">
        <w:t xml:space="preserve"> genomu; dále konstatuje, že úřad sdílí lidské a výzkumné zdroje se sesterskými agenturami a Společným výzkumným střediskem; dále zdůrazňuje horizontální výhody spolupráce a přizpůsobení osvědčených postupů;</w:t>
      </w:r>
    </w:p>
    <w:p w:rsidR="004A5E17" w:rsidRPr="00314751" w:rsidRDefault="004A5E17" w:rsidP="004A5E17">
      <w:pPr>
        <w:pStyle w:val="NormalHanging12a"/>
        <w:rPr>
          <w:szCs w:val="24"/>
        </w:rPr>
      </w:pPr>
      <w:r w:rsidRPr="00314751">
        <w:t>12.</w:t>
      </w:r>
      <w:r w:rsidRPr="00314751">
        <w:tab/>
        <w:t>konstatuje, že úřad v roce 2022 zvýšil své úsilí o konsolidaci zavádění nových procesů a nástrojů IT a pokusil se dosáhnout vysoké úrovně účinnosti a maximalizovat součinnost s ostatními agenturami; dále konstatuje, že některé výsledky úřadu, pokud jde o účinnost a zvýšení účinnosti nástrojů IT přijatých v letech 2020–2022, nebyly do konce roku 2023 zacíleny;</w:t>
      </w:r>
    </w:p>
    <w:p w:rsidR="004A5E17" w:rsidRPr="00314751" w:rsidRDefault="004A5E17" w:rsidP="004A5E17">
      <w:pPr>
        <w:pStyle w:val="NormalHanging12a"/>
      </w:pPr>
      <w:r w:rsidRPr="00314751">
        <w:t>13.</w:t>
      </w:r>
      <w:r w:rsidRPr="00314751">
        <w:tab/>
        <w:t>vítá skutečnost, že v zájmu zlepšení kvality a interoperability údajů (v souladu s přístupem „jedno zdraví”) má úřad v úmyslu posílit společnou správu údajů spolu s členskými státy a dalšími agenturami;</w:t>
      </w:r>
    </w:p>
    <w:p w:rsidR="004A5E17" w:rsidRPr="00314751" w:rsidRDefault="004A5E17" w:rsidP="004A5E17">
      <w:pPr>
        <w:spacing w:after="240"/>
        <w:ind w:left="567" w:hanging="567"/>
        <w:rPr>
          <w:b/>
          <w:i/>
          <w:szCs w:val="24"/>
        </w:rPr>
      </w:pPr>
      <w:r w:rsidRPr="00314751">
        <w:rPr>
          <w:b/>
          <w:i/>
        </w:rPr>
        <w:t>Personální politika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14.</w:t>
      </w:r>
      <w:r w:rsidRPr="00314751">
        <w:tab/>
        <w:t>konstatuje, že k 31. prosinci 202</w:t>
      </w:r>
      <w:r w:rsidR="00643520">
        <w:t>2</w:t>
      </w:r>
      <w:bookmarkStart w:id="12" w:name="_GoBack"/>
      <w:bookmarkEnd w:id="12"/>
      <w:r w:rsidRPr="00314751">
        <w:t xml:space="preserve"> byl plán pracovních míst naplněn z 95,55 %, přičemž ze 405 pracovních míst povolených v rámci rozpočtu Unie (380 v roce 2021) bylo jmenováno pět úředníků a 382 dočasných zaměstnanců; konstatuje, že kromě toho pro úřad v roce 2022 pracovalo 170 smluvních zaměstnanců a 14 vyslaných národních odborníků; dále konstatuje, že za účelem provádění nařízení (EU) 2019/1381 získal úřad v roce 2022 31 nových pracovních míst a 15 dodatečných smluvních zaměstnanců na období 2022–2024;</w:t>
      </w:r>
    </w:p>
    <w:p w:rsidR="004A5E17" w:rsidRPr="00314751" w:rsidRDefault="004A5E17" w:rsidP="004A5E17">
      <w:pPr>
        <w:widowControl/>
        <w:spacing w:after="240"/>
        <w:ind w:left="567" w:hanging="567"/>
        <w:rPr>
          <w:szCs w:val="24"/>
        </w:rPr>
      </w:pPr>
      <w:r w:rsidRPr="00314751">
        <w:t>15.</w:t>
      </w:r>
      <w:r w:rsidRPr="00314751">
        <w:tab/>
        <w:t>konstatuje, že v roce 2022 bylo dosaženo vyváženého zastoupení žen a mužů v rámci celkového počtu zaměstnanců úřadu, přičemž 335 z 557 (60,1 %) byly ženy, a ve správní radě orgánu, kde 37 ze 70 (52,9 %) byly ženy; konstatuje, že ve vrcholných a řídících funkcích je ve srovnání s ženami (37 %) vyšší podíl pozic obsazených muži (63 %); vyzývá úřad, aby zintenzívnil úsilí o překlenutí rozdílů mezi ženami a muži ve vrcholných a řídících funkcích;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16.</w:t>
      </w:r>
      <w:r w:rsidRPr="00314751">
        <w:tab/>
        <w:t>konstatuje, že v roce 2022 oznámila lékařská služba tři případy vyhoření;</w:t>
      </w:r>
      <w:r w:rsidRPr="00314751">
        <w:rPr>
          <w:rFonts w:ascii="Segoe UI" w:hAnsi="Segoe UI"/>
          <w:color w:val="374151"/>
        </w:rPr>
        <w:t xml:space="preserve"> </w:t>
      </w:r>
      <w:r w:rsidRPr="00314751">
        <w:t>poukazuje na zásadní význam zachování rovnováhy mezi profesními povinnostmi a osobním životem; vyzývá úřad, aby i nadále prosazoval zdravou rovnováhu mezi pracovním a soukromým životem mezi zaměstnanci;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17.</w:t>
      </w:r>
      <w:r w:rsidRPr="00314751">
        <w:tab/>
        <w:t xml:space="preserve">konstatuje, že úřad je odhodlán dodržovat hodnoty sítě agentur EU a „Chartu rozmanitosti a začleňování“ a usiluje o její co nejrychlejší přijetí; dále bere na vědomí účast úřadu v pracovní skupině sítě agentur EU pro rozmanitost a začleňování, která </w:t>
      </w:r>
      <w:r w:rsidRPr="00314751">
        <w:lastRenderedPageBreak/>
        <w:t>sdílí synergie, informace a zdroje týkající se těchto témat; kromě toho byly provedeny některé interní iniciativy, jako jsou nové internetové stránky věnované profesní dráze a video o práci v úřadu se zvláštním tématem v oblasti rozmanitosti a začleňování;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18.</w:t>
      </w:r>
      <w:r w:rsidRPr="00314751">
        <w:tab/>
        <w:t>konstatuje, že úřad přijal „Pokyny pro poskytování pomoci osobám se zdravotním postižením“, které podporují sociální politiku a rovné zacházení na pracovišti; dále konstatuje, že budova úřadu byla navržena v souladu s italskými nařízeními o přístupnosti pro osoby se zdravotním postižením;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19.</w:t>
      </w:r>
      <w:r w:rsidRPr="00314751">
        <w:tab/>
        <w:t>konstatuje, že od 1. ledna 2022 byla zavedena nová organizační struktura určená na podporu provádění nařízení (EU) 2019/1381 a ambic strategie 2027 úřadu;</w:t>
      </w:r>
    </w:p>
    <w:p w:rsidR="004A5E17" w:rsidRPr="00314751" w:rsidRDefault="004A5E17" w:rsidP="004A5E17">
      <w:pPr>
        <w:spacing w:after="240"/>
        <w:ind w:left="567" w:hanging="567"/>
        <w:rPr>
          <w:b/>
          <w:i/>
          <w:szCs w:val="24"/>
        </w:rPr>
      </w:pPr>
      <w:r w:rsidRPr="00314751">
        <w:rPr>
          <w:b/>
          <w:i/>
        </w:rPr>
        <w:t>Prevence a řešení střetů zájmů a transparentnost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20.</w:t>
      </w:r>
      <w:r w:rsidRPr="00314751">
        <w:tab/>
        <w:t>konstatuje, že správní rada a provozní vedení úřadu podepsaly prohlášení o střetu zájmů, jež je zveřejněno a je k dispozici na internetových stránkách; dále konstatuje, že životopisy členů a náhradníků správní rady měly být zveřejněny do konce roku 2023;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21.</w:t>
      </w:r>
      <w:r w:rsidRPr="00314751">
        <w:tab/>
        <w:t>konstatuje, že v roce 2022 úřad zjistil a řešil sedm případů střetu zájmů na úrovni ročních prohlášení o zájmech v souvislosti s externími odborníky; konstatuje, že úřad jim zabránil v účasti na vědecké činnosti;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22.</w:t>
      </w:r>
      <w:r w:rsidRPr="00314751">
        <w:tab/>
        <w:t>konstatuje, že úřad zavedl dobrovolný kodex chování, podle něhož se členové správní rady zavazují informovat orgán o pracovních činnostech vykonávaných v průběhu dvou let po skončení svého mandátu;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23.</w:t>
      </w:r>
      <w:r w:rsidRPr="00314751">
        <w:tab/>
        <w:t>konstatuje, že úřad plánuje přijmout do prvního čtvrtletí roku 2024 nový standardní postup pro období po skončení pracovního poměru, který by zahrnoval kritéria a postup pro ukončení přístupu k důvěrným informacím pro zaměstnance, kteří odcházejí ze služby, požadavky na monitorování a provádění a normy transparentnosti;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24.</w:t>
      </w:r>
      <w:r w:rsidRPr="00314751">
        <w:tab/>
        <w:t>konstatuje, že úřad zavedl strategii boje proti podvodům, vypracovanou v úzké spolupráci s Evropským úřadem pro boj proti podvodům, kterou doprovázejí související prováděcí pravidla a akční plán pro předcházení podvodům a korupci;</w:t>
      </w:r>
    </w:p>
    <w:p w:rsidR="004A5E17" w:rsidRPr="00314751" w:rsidRDefault="004A5E17" w:rsidP="004A5E17">
      <w:pPr>
        <w:spacing w:after="240"/>
        <w:ind w:left="567" w:hanging="567"/>
        <w:rPr>
          <w:b/>
          <w:i/>
          <w:szCs w:val="24"/>
        </w:rPr>
      </w:pPr>
      <w:r w:rsidRPr="00314751">
        <w:rPr>
          <w:b/>
          <w:i/>
        </w:rPr>
        <w:t>Další připomínky</w:t>
      </w:r>
    </w:p>
    <w:p w:rsidR="004A5E17" w:rsidRPr="00314751" w:rsidRDefault="004A5E17" w:rsidP="004A5E17">
      <w:pPr>
        <w:spacing w:after="240"/>
        <w:ind w:left="567" w:hanging="567"/>
        <w:rPr>
          <w:szCs w:val="24"/>
        </w:rPr>
      </w:pPr>
      <w:r w:rsidRPr="00314751">
        <w:t>25.</w:t>
      </w:r>
      <w:r w:rsidRPr="00314751">
        <w:tab/>
        <w:t>konstatuje, že v červnu 2022 vydal Útvar interního auditu (IAS) kontrolní zprávu o bezpečnosti informací a obnově provozu po havárii s cílem posoudit adekvátnost koncepce a provádění správy a vydal dvě připomínky a tři důležité připomínky k řízení bezpečnosti IT; konstatuje, že úřad doporučení IAS přijal a v současné době provádí akční plán;</w:t>
      </w:r>
    </w:p>
    <w:p w:rsidR="004A5E17" w:rsidRPr="00314751" w:rsidRDefault="004A5E17" w:rsidP="004A5E17">
      <w:pPr>
        <w:pStyle w:val="NormalHanging12a"/>
      </w:pPr>
      <w:r w:rsidRPr="00314751">
        <w:t>26.</w:t>
      </w:r>
      <w:r w:rsidRPr="00314751">
        <w:tab/>
        <w:t>vítá úsilí úřadu o zvýšení viditelnosti a internetové přítomnosti prostřednictvím zahájení kampaně „#</w:t>
      </w:r>
      <w:proofErr w:type="spellStart"/>
      <w:r w:rsidRPr="00314751">
        <w:t>EUChooseSafeFood</w:t>
      </w:r>
      <w:proofErr w:type="spellEnd"/>
      <w:r w:rsidRPr="00314751">
        <w:t xml:space="preserve">“, která již druhým rokem probíhá v partnerství s příslušnými orgány členských států a jejímž cílem je objasnit přístupným způsobem vědecké poznatky, na nichž je založena bezpečnost potravin v Unii, a uspořádání konference „JEDNO – zdraví, životní prostředí, společnost –“ v partnerství s ostatními čtyřmi agenturami výboru ENVI, která vedla ke spuštění společného </w:t>
      </w:r>
      <w:proofErr w:type="spellStart"/>
      <w:r w:rsidRPr="00314751">
        <w:t>instagramového</w:t>
      </w:r>
      <w:proofErr w:type="spellEnd"/>
      <w:r w:rsidRPr="00314751">
        <w:t xml:space="preserve"> kanálu nazvaného „</w:t>
      </w:r>
      <w:proofErr w:type="spellStart"/>
      <w:r w:rsidRPr="00314751">
        <w:t>One</w:t>
      </w:r>
      <w:proofErr w:type="spellEnd"/>
      <w:r w:rsidRPr="00314751">
        <w:t xml:space="preserve"> </w:t>
      </w:r>
      <w:proofErr w:type="spellStart"/>
      <w:r w:rsidRPr="00314751">
        <w:t>Health</w:t>
      </w:r>
      <w:proofErr w:type="spellEnd"/>
      <w:r w:rsidRPr="00314751">
        <w:t xml:space="preserve"> </w:t>
      </w:r>
      <w:proofErr w:type="spellStart"/>
      <w:r w:rsidRPr="00314751">
        <w:t>One</w:t>
      </w:r>
      <w:proofErr w:type="spellEnd"/>
      <w:r w:rsidRPr="00314751">
        <w:t xml:space="preserve"> </w:t>
      </w:r>
      <w:proofErr w:type="spellStart"/>
      <w:r w:rsidRPr="00314751">
        <w:t>Environment</w:t>
      </w:r>
      <w:proofErr w:type="spellEnd"/>
      <w:r w:rsidRPr="00314751">
        <w:t xml:space="preserve">“ (Jedno zdraví, jedno životní prostředí); dále konstatuje, že úřad investoval do mnohojazyčnosti svých internetových stránek prostřednictvím systému Komise </w:t>
      </w:r>
      <w:proofErr w:type="spellStart"/>
      <w:r w:rsidRPr="00314751">
        <w:t>eTranslation</w:t>
      </w:r>
      <w:proofErr w:type="spellEnd"/>
      <w:r w:rsidRPr="00314751">
        <w:t xml:space="preserve"> využívajícího umělou inteligenci; </w:t>
      </w:r>
      <w:r w:rsidRPr="00314751">
        <w:lastRenderedPageBreak/>
        <w:t>dále konstatuje, že úřad investoval i v roce 2022 do rozvoje svého portálu „</w:t>
      </w:r>
      <w:proofErr w:type="spellStart"/>
      <w:r w:rsidRPr="00314751">
        <w:t>OpenEFSA</w:t>
      </w:r>
      <w:proofErr w:type="spellEnd"/>
      <w:r w:rsidRPr="00314751">
        <w:t>“ v souladu s požadavky nařízení (EU) 2019/1381;</w:t>
      </w:r>
    </w:p>
    <w:p w:rsidR="004A5E17" w:rsidRPr="00314751" w:rsidRDefault="004A5E17" w:rsidP="004A5E17">
      <w:pPr>
        <w:spacing w:after="240"/>
        <w:ind w:left="567" w:hanging="567"/>
        <w:rPr>
          <w:rFonts w:eastAsia="Calibri"/>
          <w:szCs w:val="24"/>
        </w:rPr>
      </w:pPr>
      <w:r w:rsidRPr="00314751">
        <w:t>27.</w:t>
      </w:r>
      <w:r w:rsidRPr="00314751">
        <w:tab/>
        <w:t>vítá skutečnost, že úřad je již několik let jednou z agentur certifikovaných EMAS; konstatuje, že v závislosti na typu nákupu uplatňuje úřad ve výběrových a/nebo zadávacích kritériích normy „zelených veřejných zakázek“ jako minimální požadavky na zadávací dokumentaci;</w:t>
      </w:r>
    </w:p>
    <w:p w:rsidR="004A5E17" w:rsidRPr="00314751" w:rsidRDefault="004A5E17" w:rsidP="004A5E17">
      <w:pPr>
        <w:spacing w:after="240"/>
        <w:jc w:val="center"/>
      </w:pPr>
      <w:r w:rsidRPr="00314751">
        <w:t>°</w:t>
      </w:r>
    </w:p>
    <w:p w:rsidR="004A5E17" w:rsidRPr="00314751" w:rsidRDefault="004A5E17" w:rsidP="004A5E17">
      <w:pPr>
        <w:pStyle w:val="NormalCenter12a"/>
      </w:pPr>
      <w:r w:rsidRPr="00314751">
        <w:t>°</w:t>
      </w:r>
      <w:r w:rsidRPr="00314751">
        <w:tab/>
        <w:t>°</w:t>
      </w:r>
    </w:p>
    <w:p w:rsidR="004A5E17" w:rsidRPr="00314751" w:rsidRDefault="004A5E17" w:rsidP="004A5E17">
      <w:pPr>
        <w:widowControl/>
        <w:spacing w:after="240"/>
        <w:ind w:left="567" w:hanging="567"/>
        <w:rPr>
          <w:szCs w:val="24"/>
        </w:rPr>
      </w:pPr>
      <w:r w:rsidRPr="00314751">
        <w:t>28.</w:t>
      </w:r>
      <w:r w:rsidRPr="00314751">
        <w:tab/>
        <w:t xml:space="preserve">pokud jde o další připomínky, které jsou připojeny k rozhodnutí o udělení absolutoria a jsou horizontální povahy, odkazuje na své usnesení ze dne </w:t>
      </w:r>
      <w:r w:rsidR="00896BE7">
        <w:t>11. dubna 2024</w:t>
      </w:r>
      <w:r w:rsidRPr="00314751">
        <w:rPr>
          <w:rStyle w:val="FootnoteReference"/>
        </w:rPr>
        <w:footnoteReference w:id="13"/>
      </w:r>
      <w:r w:rsidRPr="00314751">
        <w:t xml:space="preserve"> o výkonnosti, finančním řízení a kontrole evropských agentur.</w:t>
      </w:r>
    </w:p>
    <w:p w:rsidR="00E365E1" w:rsidRPr="00314751" w:rsidRDefault="00E365E1" w:rsidP="00B80084">
      <w:bookmarkStart w:id="13" w:name="TextBodyEnd"/>
      <w:bookmarkEnd w:id="13"/>
    </w:p>
    <w:sectPr w:rsidR="00E365E1" w:rsidRPr="00314751" w:rsidSect="003147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084" w:rsidRPr="00314751" w:rsidRDefault="00B80084">
      <w:r w:rsidRPr="00314751">
        <w:separator/>
      </w:r>
    </w:p>
  </w:endnote>
  <w:endnote w:type="continuationSeparator" w:id="0">
    <w:p w:rsidR="00B80084" w:rsidRPr="00314751" w:rsidRDefault="00B80084">
      <w:r w:rsidRPr="003147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17" w:rsidRPr="00314751" w:rsidRDefault="004A5E17" w:rsidP="00AE5ABC">
    <w:pPr>
      <w:pStyle w:val="EPFooter"/>
    </w:pPr>
    <w:r w:rsidRPr="00314751">
      <w:t>PE</w:t>
    </w:r>
    <w:r w:rsidRPr="00314751">
      <w:rPr>
        <w:rStyle w:val="HideTWBExt"/>
      </w:rPr>
      <w:t>&lt;NoPE&gt;</w:t>
    </w:r>
    <w:r w:rsidRPr="00314751">
      <w:t>753.519</w:t>
    </w:r>
    <w:r w:rsidRPr="00314751">
      <w:rPr>
        <w:rStyle w:val="HideTWBExt"/>
      </w:rPr>
      <w:t>&lt;/NoPE&gt;&lt;Version&gt;</w:t>
    </w:r>
    <w:r w:rsidRPr="00314751">
      <w:t>v03-00</w:t>
    </w:r>
    <w:r w:rsidRPr="00314751">
      <w:rPr>
        <w:rStyle w:val="HideTWBExt"/>
      </w:rPr>
      <w:t>&lt;/Version&gt;</w:t>
    </w:r>
    <w:r w:rsidRPr="00314751">
      <w:tab/>
    </w:r>
    <w:r w:rsidRPr="00314751">
      <w:fldChar w:fldCharType="begin"/>
    </w:r>
    <w:r w:rsidRPr="00314751">
      <w:instrText xml:space="preserve"> PAGE  \* MERGEFORMAT </w:instrText>
    </w:r>
    <w:r w:rsidRPr="00314751">
      <w:fldChar w:fldCharType="separate"/>
    </w:r>
    <w:r w:rsidRPr="00314751">
      <w:rPr>
        <w:noProof/>
      </w:rPr>
      <w:t>4</w:t>
    </w:r>
    <w:r w:rsidRPr="00314751">
      <w:fldChar w:fldCharType="end"/>
    </w:r>
    <w:r w:rsidRPr="00314751">
      <w:t>/</w:t>
    </w:r>
    <w:r w:rsidR="00643520">
      <w:fldChar w:fldCharType="begin"/>
    </w:r>
    <w:r w:rsidR="00643520">
      <w:instrText xml:space="preserve"> NUMPAGES  \* MERGEFORMAT </w:instrText>
    </w:r>
    <w:r w:rsidR="00643520">
      <w:fldChar w:fldCharType="separate"/>
    </w:r>
    <w:r w:rsidRPr="00314751">
      <w:rPr>
        <w:noProof/>
      </w:rPr>
      <w:t>4</w:t>
    </w:r>
    <w:r w:rsidR="00643520">
      <w:rPr>
        <w:noProof/>
      </w:rPr>
      <w:fldChar w:fldCharType="end"/>
    </w:r>
    <w:r w:rsidRPr="00314751">
      <w:tab/>
    </w:r>
    <w:r w:rsidRPr="00314751">
      <w:rPr>
        <w:rStyle w:val="HideTWBExt"/>
      </w:rPr>
      <w:t>&lt;PathFdR&gt;</w:t>
    </w:r>
    <w:r w:rsidRPr="00314751">
      <w:t>RR\1299220CS.docx</w:t>
    </w:r>
    <w:r w:rsidRPr="00314751">
      <w:rPr>
        <w:rStyle w:val="HideTWBExt"/>
      </w:rPr>
      <w:t>&lt;/PathFdR&gt;</w:t>
    </w:r>
  </w:p>
  <w:p w:rsidR="004A5E17" w:rsidRPr="00314751" w:rsidRDefault="004A5E17" w:rsidP="00AE5ABC">
    <w:pPr>
      <w:pStyle w:val="EPFooter2"/>
    </w:pPr>
    <w:r w:rsidRPr="00314751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17" w:rsidRPr="00314751" w:rsidRDefault="004A5E17" w:rsidP="00AE5ABC">
    <w:pPr>
      <w:pStyle w:val="EPFooter"/>
    </w:pPr>
    <w:r w:rsidRPr="00314751">
      <w:rPr>
        <w:rStyle w:val="HideTWBExt"/>
      </w:rPr>
      <w:t>&lt;PathFdR&gt;</w:t>
    </w:r>
    <w:r w:rsidRPr="00314751">
      <w:t>RR\1299220CS.docx</w:t>
    </w:r>
    <w:r w:rsidRPr="00314751">
      <w:rPr>
        <w:rStyle w:val="HideTWBExt"/>
      </w:rPr>
      <w:t>&lt;/PathFdR&gt;</w:t>
    </w:r>
    <w:r w:rsidRPr="00314751">
      <w:tab/>
    </w:r>
    <w:r w:rsidRPr="00314751">
      <w:tab/>
      <w:t>PE</w:t>
    </w:r>
    <w:r w:rsidRPr="00314751">
      <w:rPr>
        <w:rStyle w:val="HideTWBExt"/>
      </w:rPr>
      <w:t>&lt;NoPE&gt;</w:t>
    </w:r>
    <w:r w:rsidRPr="00314751">
      <w:t>753.519</w:t>
    </w:r>
    <w:r w:rsidRPr="00314751">
      <w:rPr>
        <w:rStyle w:val="HideTWBExt"/>
      </w:rPr>
      <w:t>&lt;/NoPE&gt;&lt;Version&gt;</w:t>
    </w:r>
    <w:r w:rsidRPr="00314751">
      <w:t>v03-00</w:t>
    </w:r>
    <w:r w:rsidRPr="00314751">
      <w:rPr>
        <w:rStyle w:val="HideTWBExt"/>
      </w:rPr>
      <w:t>&lt;/Version&gt;</w:t>
    </w:r>
  </w:p>
  <w:p w:rsidR="004A5E17" w:rsidRPr="00314751" w:rsidRDefault="004A5E17" w:rsidP="00AE5ABC">
    <w:pPr>
      <w:pStyle w:val="EPFooter2"/>
    </w:pPr>
    <w:r w:rsidRPr="00314751">
      <w:t>CS</w:t>
    </w:r>
    <w:r w:rsidRPr="00314751">
      <w:tab/>
    </w:r>
    <w:r w:rsidRPr="00314751">
      <w:rPr>
        <w:b w:val="0"/>
        <w:i/>
        <w:color w:val="C0C0C0"/>
        <w:sz w:val="22"/>
      </w:rPr>
      <w:t>Jednotná v rozmanitosti</w:t>
    </w:r>
    <w:r w:rsidRPr="00314751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475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475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47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084" w:rsidRPr="00314751" w:rsidRDefault="00B80084">
      <w:r w:rsidRPr="00314751">
        <w:separator/>
      </w:r>
    </w:p>
  </w:footnote>
  <w:footnote w:type="continuationSeparator" w:id="0">
    <w:p w:rsidR="00B80084" w:rsidRPr="00314751" w:rsidRDefault="00B80084">
      <w:r w:rsidRPr="00314751">
        <w:continuationSeparator/>
      </w:r>
    </w:p>
  </w:footnote>
  <w:footnote w:id="1">
    <w:p w:rsidR="004A5E17" w:rsidRPr="00314751" w:rsidRDefault="004A5E17" w:rsidP="00314751">
      <w:pPr>
        <w:pStyle w:val="FootnoteText"/>
        <w:ind w:left="567" w:hanging="567"/>
        <w:rPr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C, C/2023/594, </w:t>
      </w:r>
      <w:proofErr w:type="gramStart"/>
      <w:r w:rsidRPr="00314751">
        <w:rPr>
          <w:sz w:val="24"/>
          <w:lang w:val="cs-CZ"/>
        </w:rPr>
        <w:t>27.10.2023</w:t>
      </w:r>
      <w:proofErr w:type="gramEnd"/>
      <w:r w:rsidRPr="00314751">
        <w:rPr>
          <w:sz w:val="24"/>
          <w:lang w:val="cs-CZ"/>
        </w:rPr>
        <w:t>.</w:t>
      </w:r>
    </w:p>
  </w:footnote>
  <w:footnote w:id="2">
    <w:p w:rsidR="004A5E17" w:rsidRPr="00314751" w:rsidRDefault="004A5E17" w:rsidP="00314751">
      <w:pPr>
        <w:pStyle w:val="FootnoteText"/>
        <w:ind w:left="567" w:hanging="567"/>
        <w:rPr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C, C/2023/112, </w:t>
      </w:r>
      <w:proofErr w:type="gramStart"/>
      <w:r w:rsidRPr="00314751">
        <w:rPr>
          <w:sz w:val="24"/>
          <w:lang w:val="cs-CZ"/>
        </w:rPr>
        <w:t>12.10.2023</w:t>
      </w:r>
      <w:proofErr w:type="gramEnd"/>
      <w:r w:rsidRPr="00314751">
        <w:rPr>
          <w:sz w:val="24"/>
          <w:lang w:val="cs-CZ"/>
        </w:rPr>
        <w:t>.</w:t>
      </w:r>
    </w:p>
  </w:footnote>
  <w:footnote w:id="3">
    <w:p w:rsidR="004A5E17" w:rsidRPr="00314751" w:rsidRDefault="004A5E17" w:rsidP="00314751">
      <w:pPr>
        <w:pStyle w:val="FootnoteText"/>
        <w:ind w:left="567" w:hanging="567"/>
        <w:rPr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L 193, </w:t>
      </w:r>
      <w:proofErr w:type="gramStart"/>
      <w:r w:rsidRPr="00314751">
        <w:rPr>
          <w:sz w:val="24"/>
          <w:lang w:val="cs-CZ"/>
        </w:rPr>
        <w:t>30.7.2018</w:t>
      </w:r>
      <w:proofErr w:type="gramEnd"/>
      <w:r w:rsidRPr="00314751">
        <w:rPr>
          <w:sz w:val="24"/>
          <w:lang w:val="cs-CZ"/>
        </w:rPr>
        <w:t>, s. 1.</w:t>
      </w:r>
    </w:p>
  </w:footnote>
  <w:footnote w:id="4">
    <w:p w:rsidR="004A5E17" w:rsidRPr="00314751" w:rsidRDefault="004A5E17" w:rsidP="00314751">
      <w:pPr>
        <w:pStyle w:val="FootnoteText"/>
        <w:ind w:left="567" w:hanging="567"/>
        <w:rPr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L 31, </w:t>
      </w:r>
      <w:proofErr w:type="gramStart"/>
      <w:r w:rsidRPr="00314751">
        <w:rPr>
          <w:sz w:val="24"/>
          <w:lang w:val="cs-CZ"/>
        </w:rPr>
        <w:t>1.2.2002</w:t>
      </w:r>
      <w:proofErr w:type="gramEnd"/>
      <w:r w:rsidRPr="00314751">
        <w:rPr>
          <w:sz w:val="24"/>
          <w:lang w:val="cs-CZ"/>
        </w:rPr>
        <w:t>, s. 1.</w:t>
      </w:r>
    </w:p>
  </w:footnote>
  <w:footnote w:id="5">
    <w:p w:rsidR="004A5E17" w:rsidRPr="00314751" w:rsidRDefault="004A5E17" w:rsidP="00314751">
      <w:pPr>
        <w:pStyle w:val="FootnoteText"/>
        <w:ind w:left="567" w:hanging="567"/>
        <w:rPr>
          <w:sz w:val="24"/>
          <w:szCs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L 122, </w:t>
      </w:r>
      <w:proofErr w:type="gramStart"/>
      <w:r w:rsidRPr="00314751">
        <w:rPr>
          <w:sz w:val="24"/>
          <w:lang w:val="cs-CZ"/>
        </w:rPr>
        <w:t>10.5.2019</w:t>
      </w:r>
      <w:proofErr w:type="gramEnd"/>
      <w:r w:rsidRPr="00314751">
        <w:rPr>
          <w:sz w:val="24"/>
          <w:lang w:val="cs-CZ"/>
        </w:rPr>
        <w:t>, s. 1.</w:t>
      </w:r>
    </w:p>
  </w:footnote>
  <w:footnote w:id="6">
    <w:p w:rsidR="004A5E17" w:rsidRPr="00314751" w:rsidRDefault="004A5E17" w:rsidP="00314751">
      <w:pPr>
        <w:pStyle w:val="FootnoteText"/>
        <w:ind w:left="567" w:hanging="567"/>
        <w:rPr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C, C/2023/594, </w:t>
      </w:r>
      <w:proofErr w:type="gramStart"/>
      <w:r w:rsidRPr="00314751">
        <w:rPr>
          <w:sz w:val="24"/>
          <w:lang w:val="cs-CZ"/>
        </w:rPr>
        <w:t>27.10.2023</w:t>
      </w:r>
      <w:proofErr w:type="gramEnd"/>
      <w:r w:rsidRPr="00314751">
        <w:rPr>
          <w:sz w:val="24"/>
          <w:lang w:val="cs-CZ"/>
        </w:rPr>
        <w:t>.</w:t>
      </w:r>
    </w:p>
  </w:footnote>
  <w:footnote w:id="7">
    <w:p w:rsidR="004A5E17" w:rsidRPr="00314751" w:rsidRDefault="004A5E17" w:rsidP="00314751">
      <w:pPr>
        <w:pStyle w:val="FootnoteText"/>
        <w:ind w:left="567" w:hanging="567"/>
        <w:rPr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C, C/2023/112, </w:t>
      </w:r>
      <w:proofErr w:type="gramStart"/>
      <w:r w:rsidRPr="00314751">
        <w:rPr>
          <w:sz w:val="24"/>
          <w:lang w:val="cs-CZ"/>
        </w:rPr>
        <w:t>12.10.2023</w:t>
      </w:r>
      <w:proofErr w:type="gramEnd"/>
      <w:r w:rsidRPr="00314751">
        <w:rPr>
          <w:sz w:val="24"/>
          <w:lang w:val="cs-CZ"/>
        </w:rPr>
        <w:t>.</w:t>
      </w:r>
    </w:p>
  </w:footnote>
  <w:footnote w:id="8">
    <w:p w:rsidR="004A5E17" w:rsidRPr="00314751" w:rsidRDefault="004A5E17" w:rsidP="00314751">
      <w:pPr>
        <w:pStyle w:val="FootnoteText"/>
        <w:ind w:left="567" w:hanging="567"/>
        <w:rPr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L 193, </w:t>
      </w:r>
      <w:proofErr w:type="gramStart"/>
      <w:r w:rsidRPr="00314751">
        <w:rPr>
          <w:sz w:val="24"/>
          <w:lang w:val="cs-CZ"/>
        </w:rPr>
        <w:t>30.7.2018</w:t>
      </w:r>
      <w:proofErr w:type="gramEnd"/>
      <w:r w:rsidRPr="00314751">
        <w:rPr>
          <w:sz w:val="24"/>
          <w:lang w:val="cs-CZ"/>
        </w:rPr>
        <w:t>, s. 1.</w:t>
      </w:r>
    </w:p>
  </w:footnote>
  <w:footnote w:id="9">
    <w:p w:rsidR="004A5E17" w:rsidRPr="00314751" w:rsidRDefault="004A5E17" w:rsidP="00314751">
      <w:pPr>
        <w:pStyle w:val="FootnoteText"/>
        <w:ind w:left="567" w:hanging="567"/>
        <w:rPr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L 31, </w:t>
      </w:r>
      <w:proofErr w:type="gramStart"/>
      <w:r w:rsidRPr="00314751">
        <w:rPr>
          <w:sz w:val="24"/>
          <w:lang w:val="cs-CZ"/>
        </w:rPr>
        <w:t>1.2.2002</w:t>
      </w:r>
      <w:proofErr w:type="gramEnd"/>
      <w:r w:rsidRPr="00314751">
        <w:rPr>
          <w:sz w:val="24"/>
          <w:lang w:val="cs-CZ"/>
        </w:rPr>
        <w:t>, s. 1.</w:t>
      </w:r>
    </w:p>
  </w:footnote>
  <w:footnote w:id="10">
    <w:p w:rsidR="004A5E17" w:rsidRPr="00314751" w:rsidRDefault="004A5E17" w:rsidP="00314751">
      <w:pPr>
        <w:pStyle w:val="FootnoteText"/>
        <w:ind w:left="567" w:hanging="567"/>
        <w:rPr>
          <w:sz w:val="24"/>
          <w:szCs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L 122, </w:t>
      </w:r>
      <w:proofErr w:type="gramStart"/>
      <w:r w:rsidRPr="00314751">
        <w:rPr>
          <w:sz w:val="24"/>
          <w:lang w:val="cs-CZ"/>
        </w:rPr>
        <w:t>10.5.2019</w:t>
      </w:r>
      <w:proofErr w:type="gramEnd"/>
      <w:r w:rsidRPr="00314751">
        <w:rPr>
          <w:sz w:val="24"/>
          <w:lang w:val="cs-CZ"/>
        </w:rPr>
        <w:t>, s. 1.</w:t>
      </w:r>
    </w:p>
  </w:footnote>
  <w:footnote w:id="11">
    <w:p w:rsidR="004A5E17" w:rsidRPr="00314751" w:rsidRDefault="004A5E17" w:rsidP="00314751">
      <w:pPr>
        <w:pStyle w:val="FootnoteText"/>
        <w:ind w:left="567" w:hanging="567"/>
        <w:rPr>
          <w:rFonts w:eastAsia="Calibri"/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C 178, </w:t>
      </w:r>
      <w:proofErr w:type="gramStart"/>
      <w:r w:rsidRPr="00314751">
        <w:rPr>
          <w:sz w:val="24"/>
          <w:lang w:val="cs-CZ"/>
        </w:rPr>
        <w:t>29.4.2022</w:t>
      </w:r>
      <w:proofErr w:type="gramEnd"/>
      <w:r w:rsidRPr="00314751">
        <w:rPr>
          <w:sz w:val="24"/>
          <w:lang w:val="cs-CZ"/>
        </w:rPr>
        <w:t>, s.</w:t>
      </w:r>
      <w:r w:rsidR="00896BE7">
        <w:rPr>
          <w:sz w:val="24"/>
          <w:lang w:val="cs-CZ"/>
        </w:rPr>
        <w:t xml:space="preserve"> </w:t>
      </w:r>
      <w:r w:rsidRPr="00314751">
        <w:rPr>
          <w:sz w:val="24"/>
          <w:lang w:val="cs-CZ"/>
        </w:rPr>
        <w:t>1.</w:t>
      </w:r>
    </w:p>
  </w:footnote>
  <w:footnote w:id="12">
    <w:p w:rsidR="004A5E17" w:rsidRPr="00314751" w:rsidRDefault="004A5E17" w:rsidP="00314751">
      <w:pPr>
        <w:pStyle w:val="FootnoteText"/>
        <w:ind w:left="567" w:hanging="567"/>
        <w:rPr>
          <w:sz w:val="24"/>
          <w:lang w:val="cs-CZ"/>
        </w:rPr>
      </w:pPr>
      <w:r w:rsidRPr="00314751">
        <w:rPr>
          <w:rStyle w:val="FootnoteReference"/>
          <w:sz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r w:rsidRPr="00314751">
        <w:rPr>
          <w:sz w:val="24"/>
          <w:lang w:val="cs-CZ"/>
        </w:rPr>
        <w:t>Nařízení Evropského parlamentu a Rady (EU) 2019/1381 ze dne 20. června 2019 o transparentnosti a udržitelnosti hodnocení rizika ze strany EU v potravinovém řetězci, kterým se mění nařízení (ES) č. 178/2002, (ES) č. 1829/2003, (ES) č. 1831/2003, (ES)</w:t>
      </w:r>
      <w:r w:rsidR="00643520">
        <w:rPr>
          <w:sz w:val="24"/>
          <w:lang w:val="cs-CZ"/>
        </w:rPr>
        <w:t xml:space="preserve"> </w:t>
      </w:r>
      <w:r w:rsidRPr="00314751">
        <w:rPr>
          <w:sz w:val="24"/>
          <w:lang w:val="cs-CZ"/>
        </w:rPr>
        <w:t>č. 2065/2003, (ES) č. 1935/2004, (ES) č. 1331/2008, (ES) č. 1107/2009, (EU) 2015/2283 a směrnice 2001/18/ES (</w:t>
      </w:r>
      <w:proofErr w:type="spellStart"/>
      <w:r w:rsidRPr="00314751">
        <w:rPr>
          <w:sz w:val="24"/>
          <w:lang w:val="cs-CZ"/>
        </w:rPr>
        <w:t>Úř</w:t>
      </w:r>
      <w:proofErr w:type="spellEnd"/>
      <w:r w:rsidRPr="00314751">
        <w:rPr>
          <w:sz w:val="24"/>
          <w:lang w:val="cs-CZ"/>
        </w:rPr>
        <w:t xml:space="preserve">. </w:t>
      </w:r>
      <w:proofErr w:type="spellStart"/>
      <w:proofErr w:type="gramStart"/>
      <w:r w:rsidRPr="00314751">
        <w:rPr>
          <w:sz w:val="24"/>
          <w:lang w:val="cs-CZ"/>
        </w:rPr>
        <w:t>věst</w:t>
      </w:r>
      <w:proofErr w:type="spellEnd"/>
      <w:proofErr w:type="gramEnd"/>
      <w:r w:rsidRPr="00314751">
        <w:rPr>
          <w:sz w:val="24"/>
          <w:lang w:val="cs-CZ"/>
        </w:rPr>
        <w:t xml:space="preserve">. L 231, </w:t>
      </w:r>
      <w:proofErr w:type="gramStart"/>
      <w:r w:rsidRPr="00314751">
        <w:rPr>
          <w:sz w:val="24"/>
          <w:lang w:val="cs-CZ"/>
        </w:rPr>
        <w:t>6.9.2019</w:t>
      </w:r>
      <w:proofErr w:type="gramEnd"/>
      <w:r w:rsidRPr="00314751">
        <w:rPr>
          <w:sz w:val="24"/>
          <w:lang w:val="cs-CZ"/>
        </w:rPr>
        <w:t>, s. 1).</w:t>
      </w:r>
    </w:p>
  </w:footnote>
  <w:footnote w:id="13">
    <w:p w:rsidR="004A5E17" w:rsidRPr="00314751" w:rsidRDefault="004A5E17" w:rsidP="00314751">
      <w:pPr>
        <w:pStyle w:val="FootnoteText"/>
        <w:ind w:left="567" w:hanging="567"/>
        <w:rPr>
          <w:sz w:val="24"/>
          <w:szCs w:val="24"/>
          <w:lang w:val="cs-CZ"/>
        </w:rPr>
      </w:pPr>
      <w:r w:rsidRPr="00314751">
        <w:rPr>
          <w:rStyle w:val="FootnoteReference"/>
          <w:sz w:val="24"/>
          <w:szCs w:val="24"/>
          <w:lang w:val="cs-CZ"/>
        </w:rPr>
        <w:footnoteRef/>
      </w:r>
      <w:r w:rsidR="00314751" w:rsidRPr="00314751">
        <w:rPr>
          <w:sz w:val="24"/>
          <w:lang w:val="cs-CZ"/>
        </w:rPr>
        <w:t xml:space="preserve"> </w:t>
      </w:r>
      <w:r w:rsidR="00314751" w:rsidRPr="00314751">
        <w:rPr>
          <w:sz w:val="24"/>
          <w:lang w:val="cs-CZ"/>
        </w:rPr>
        <w:tab/>
      </w:r>
      <w:r w:rsidR="004A0A42">
        <w:rPr>
          <w:sz w:val="24"/>
          <w:lang w:val="cs-CZ"/>
        </w:rPr>
        <w:t>Přijaté texty, P9_TA(2024)0280</w:t>
      </w:r>
      <w:r w:rsidRPr="00314751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47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47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47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9/2024"/>
    <w:docVar w:name="dvlangue" w:val="CS"/>
    <w:docVar w:name="dvnumam" w:val="0"/>
    <w:docVar w:name="dvpe" w:val="753.519"/>
    <w:docVar w:name="dvrapporteur" w:val="Zpravodaj: "/>
    <w:docVar w:name="dvtitre" w:val="1. Rozhodnutí Evropského parlamentu ze dne.... 2024 o udělení absolutoria za plnění rozpočtu Evropského úřadu pro bezpečnost potravin na rozpočtový rok 2022(2023/2151(DEC))"/>
  </w:docVars>
  <w:rsids>
    <w:rsidRoot w:val="00B8008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4751"/>
    <w:rsid w:val="00343214"/>
    <w:rsid w:val="00361C00"/>
    <w:rsid w:val="00395FA1"/>
    <w:rsid w:val="003E15D4"/>
    <w:rsid w:val="00401781"/>
    <w:rsid w:val="00411CCE"/>
    <w:rsid w:val="0041666E"/>
    <w:rsid w:val="00421060"/>
    <w:rsid w:val="00471C19"/>
    <w:rsid w:val="004846AA"/>
    <w:rsid w:val="004867E3"/>
    <w:rsid w:val="00494A28"/>
    <w:rsid w:val="004A0A42"/>
    <w:rsid w:val="004A5E1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352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BE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08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42A8B"/>
  <w15:chartTrackingRefBased/>
  <w15:docId w15:val="{953DCD33-2317-4F73-BBC2-9CFACC4B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A5E1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A5E17"/>
    <w:pPr>
      <w:spacing w:before="480" w:after="240"/>
    </w:pPr>
  </w:style>
  <w:style w:type="paragraph" w:customStyle="1" w:styleId="PageHeading">
    <w:name w:val="PageHeading"/>
    <w:basedOn w:val="Normal"/>
    <w:rsid w:val="004A5E1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A5E17"/>
    <w:rPr>
      <w:b/>
    </w:rPr>
  </w:style>
  <w:style w:type="paragraph" w:customStyle="1" w:styleId="NormalHanging12a">
    <w:name w:val="NormalHanging12a"/>
    <w:basedOn w:val="Normal"/>
    <w:link w:val="NormalHanging12aChar"/>
    <w:rsid w:val="004A5E1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A5E17"/>
    <w:pPr>
      <w:spacing w:after="240"/>
      <w:jc w:val="center"/>
    </w:pPr>
  </w:style>
  <w:style w:type="paragraph" w:styleId="Header">
    <w:name w:val="header"/>
    <w:basedOn w:val="Normal"/>
    <w:link w:val="HeaderChar"/>
    <w:rsid w:val="004A5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A5E17"/>
    <w:rPr>
      <w:sz w:val="24"/>
      <w:lang w:val="cs-CZ"/>
    </w:rPr>
  </w:style>
  <w:style w:type="paragraph" w:customStyle="1" w:styleId="EPFooter">
    <w:name w:val="EPFooter"/>
    <w:basedOn w:val="Normal"/>
    <w:rsid w:val="004A5E1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4A5E17"/>
    <w:rPr>
      <w:sz w:val="24"/>
      <w:lang w:val="cs-CZ"/>
    </w:rPr>
  </w:style>
  <w:style w:type="paragraph" w:styleId="Footer">
    <w:name w:val="footer"/>
    <w:basedOn w:val="Normal"/>
    <w:link w:val="FooterChar"/>
    <w:rsid w:val="00896B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96BE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4D0AF-3B35-4399-9238-C04C22611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2596</Words>
  <Characters>14936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2024-05-15T10:00:00Z</dcterms:created>
  <dcterms:modified xsi:type="dcterms:W3CDTF">2024-05-15T10:00:00Z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P9_TA(2024)0250_</vt:lpwstr>
  </property>
  <property fmtid="{D5CDD505-2E9C-101B-9397-08002B2CF9AE}" pid="4" name="&lt;Type&gt;">
    <vt:lpwstr>RR</vt:lpwstr>
  </property>
</Properties>
</file>