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12E" w14:paraId="465A5B6C" w14:textId="77777777" w:rsidTr="0010095E">
        <w:trPr>
          <w:trHeight w:hRule="exact" w:val="1418"/>
        </w:trPr>
        <w:tc>
          <w:tcPr>
            <w:tcW w:w="6804" w:type="dxa"/>
            <w:shd w:val="clear" w:color="auto" w:fill="auto"/>
            <w:vAlign w:val="center"/>
          </w:tcPr>
          <w:p w14:paraId="1DD61B9A" w14:textId="77777777" w:rsidR="00751A4A" w:rsidRPr="004E212E" w:rsidRDefault="005815D4" w:rsidP="0010095E">
            <w:pPr>
              <w:pStyle w:val="EPName"/>
            </w:pPr>
            <w:r w:rsidRPr="004E212E">
              <w:t>Europa-Parlamentet</w:t>
            </w:r>
          </w:p>
          <w:p w14:paraId="39EDB61E" w14:textId="77777777" w:rsidR="00751A4A" w:rsidRPr="004E212E" w:rsidRDefault="00817416" w:rsidP="00756632">
            <w:pPr>
              <w:pStyle w:val="EPTerm"/>
              <w:rPr>
                <w:rStyle w:val="HideTWBExt"/>
                <w:noProof w:val="0"/>
                <w:vanish w:val="0"/>
                <w:color w:val="auto"/>
              </w:rPr>
            </w:pPr>
            <w:r w:rsidRPr="004E212E">
              <w:t>2019-2024</w:t>
            </w:r>
          </w:p>
        </w:tc>
        <w:tc>
          <w:tcPr>
            <w:tcW w:w="2268" w:type="dxa"/>
            <w:shd w:val="clear" w:color="auto" w:fill="auto"/>
          </w:tcPr>
          <w:p w14:paraId="6F706833" w14:textId="77777777" w:rsidR="00751A4A" w:rsidRPr="004E212E" w:rsidRDefault="00187494" w:rsidP="0010095E">
            <w:pPr>
              <w:pStyle w:val="EPLogo"/>
            </w:pPr>
            <w:r w:rsidRPr="004E212E">
              <w:rPr>
                <w:noProof/>
                <w:lang w:eastAsia="da-DK"/>
              </w:rPr>
              <w:drawing>
                <wp:inline distT="0" distB="0" distL="0" distR="0" wp14:anchorId="65E3E75A" wp14:editId="732F42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72117C" w14:textId="77777777" w:rsidR="00D058B8" w:rsidRPr="004E212E" w:rsidRDefault="00D058B8" w:rsidP="004C5D52">
      <w:pPr>
        <w:pStyle w:val="LineTop"/>
      </w:pPr>
    </w:p>
    <w:p w14:paraId="1A156DF5" w14:textId="77777777" w:rsidR="00680577" w:rsidRPr="004E212E" w:rsidRDefault="005815D4" w:rsidP="00680577">
      <w:pPr>
        <w:pStyle w:val="EPBodyTA1"/>
      </w:pPr>
      <w:r w:rsidRPr="004E212E">
        <w:t>VEDTAGNE TEKSTER</w:t>
      </w:r>
    </w:p>
    <w:p w14:paraId="4328146A" w14:textId="77777777" w:rsidR="00D058B8" w:rsidRPr="004E212E" w:rsidRDefault="00D058B8" w:rsidP="00D058B8">
      <w:pPr>
        <w:pStyle w:val="LineBottom"/>
      </w:pPr>
    </w:p>
    <w:p w14:paraId="73A3FA20" w14:textId="54526AD5" w:rsidR="005815D4" w:rsidRPr="004E212E" w:rsidRDefault="005815D4" w:rsidP="005815D4">
      <w:pPr>
        <w:pStyle w:val="ATHeading1"/>
      </w:pPr>
      <w:bookmarkStart w:id="0" w:name="TANumber"/>
      <w:r w:rsidRPr="004E212E">
        <w:t>P9_TA(2024)0</w:t>
      </w:r>
      <w:bookmarkEnd w:id="0"/>
      <w:r w:rsidR="00EC0F3D">
        <w:t>250</w:t>
      </w:r>
    </w:p>
    <w:p w14:paraId="74BF92BC" w14:textId="77777777" w:rsidR="005815D4" w:rsidRPr="004E212E" w:rsidRDefault="00D50D7C" w:rsidP="005815D4">
      <w:pPr>
        <w:pStyle w:val="ATHeading2"/>
      </w:pPr>
      <w:r w:rsidRPr="00D50D7C">
        <w:t>Decharge 2022: Den Europæiske Fødevaresikkerhedsautoritet</w:t>
      </w:r>
    </w:p>
    <w:p w14:paraId="746D32E6" w14:textId="77777777" w:rsidR="005815D4" w:rsidRPr="004E212E" w:rsidRDefault="005815D4" w:rsidP="005815D4">
      <w:pPr>
        <w:rPr>
          <w:i/>
          <w:vanish/>
        </w:rPr>
      </w:pPr>
      <w:r w:rsidRPr="004E212E">
        <w:rPr>
          <w:i/>
        </w:rPr>
        <w:fldChar w:fldCharType="begin"/>
      </w:r>
      <w:r w:rsidRPr="004E212E">
        <w:rPr>
          <w:i/>
        </w:rPr>
        <w:instrText xml:space="preserve"> TC"(</w:instrText>
      </w:r>
      <w:bookmarkStart w:id="1" w:name="DocNumber"/>
      <w:r w:rsidRPr="004E212E">
        <w:rPr>
          <w:i/>
        </w:rPr>
        <w:instrText>A9-0129/2024</w:instrText>
      </w:r>
      <w:bookmarkEnd w:id="1"/>
      <w:r w:rsidRPr="004E212E">
        <w:rPr>
          <w:i/>
        </w:rPr>
        <w:instrText xml:space="preserve"> - Ordfører: Petri Sarvamaa)"\l3 \n&gt; \* MERGEFORMAT </w:instrText>
      </w:r>
      <w:r w:rsidRPr="004E212E">
        <w:rPr>
          <w:i/>
        </w:rPr>
        <w:fldChar w:fldCharType="end"/>
      </w:r>
    </w:p>
    <w:p w14:paraId="1C46A475" w14:textId="77777777" w:rsidR="005815D4" w:rsidRPr="004E212E" w:rsidRDefault="005815D4" w:rsidP="005815D4">
      <w:pPr>
        <w:rPr>
          <w:vanish/>
        </w:rPr>
      </w:pPr>
      <w:bookmarkStart w:id="2" w:name="Commission"/>
      <w:r w:rsidRPr="004E212E">
        <w:rPr>
          <w:vanish/>
        </w:rPr>
        <w:t>Budgetkontroludvalget</w:t>
      </w:r>
      <w:bookmarkEnd w:id="2"/>
    </w:p>
    <w:p w14:paraId="5D1FDC91" w14:textId="77777777" w:rsidR="005815D4" w:rsidRPr="004E212E" w:rsidRDefault="005815D4" w:rsidP="005815D4">
      <w:pPr>
        <w:rPr>
          <w:vanish/>
        </w:rPr>
      </w:pPr>
      <w:bookmarkStart w:id="3" w:name="PE"/>
      <w:r w:rsidRPr="004E212E">
        <w:rPr>
          <w:vanish/>
        </w:rPr>
        <w:t>PE753.519</w:t>
      </w:r>
      <w:bookmarkEnd w:id="3"/>
    </w:p>
    <w:p w14:paraId="2A5D8C21" w14:textId="77777777" w:rsidR="005815D4" w:rsidRPr="004E212E" w:rsidRDefault="00687FDC" w:rsidP="005815D4">
      <w:pPr>
        <w:pStyle w:val="ATHeading3"/>
      </w:pPr>
      <w:bookmarkStart w:id="4" w:name="Sujet"/>
      <w:r>
        <w:t xml:space="preserve">1. </w:t>
      </w:r>
      <w:r w:rsidRPr="009574E6">
        <w:t xml:space="preserve">Europa-Parlamentets </w:t>
      </w:r>
      <w:r>
        <w:t xml:space="preserve">afgørelse af 11. april 2024 </w:t>
      </w:r>
      <w:r w:rsidRPr="009574E6">
        <w:t>om decharge</w:t>
      </w:r>
      <w:r w:rsidR="005815D4" w:rsidRPr="004E212E">
        <w:t xml:space="preserve"> for gennemførelsen af budgettet for Den Europæiske Fødevaresikkerhedsautoritet for regnskabsåret 2022</w:t>
      </w:r>
      <w:bookmarkEnd w:id="4"/>
      <w:r w:rsidR="005815D4" w:rsidRPr="004E212E">
        <w:t xml:space="preserve"> </w:t>
      </w:r>
      <w:bookmarkStart w:id="5" w:name="References"/>
      <w:r w:rsidR="005815D4" w:rsidRPr="004E212E">
        <w:t>(2023/2151(DEC))</w:t>
      </w:r>
      <w:bookmarkEnd w:id="5"/>
    </w:p>
    <w:p w14:paraId="61D5A594" w14:textId="77777777" w:rsidR="00DA7AC3" w:rsidRPr="004E212E" w:rsidRDefault="00DA7AC3" w:rsidP="00DA7AC3">
      <w:pPr>
        <w:pStyle w:val="EPComma"/>
      </w:pPr>
      <w:bookmarkStart w:id="6" w:name="TextBodyBegin"/>
      <w:bookmarkEnd w:id="6"/>
      <w:r w:rsidRPr="004E212E">
        <w:rPr>
          <w:i/>
        </w:rPr>
        <w:t>Europa-Parlamentet</w:t>
      </w:r>
      <w:r w:rsidRPr="004E212E">
        <w:t>,</w:t>
      </w:r>
    </w:p>
    <w:p w14:paraId="5C3E0591" w14:textId="77777777" w:rsidR="00DA7AC3" w:rsidRPr="004E212E" w:rsidRDefault="00DA7AC3" w:rsidP="00DA7AC3">
      <w:pPr>
        <w:pStyle w:val="NormalHanging12a"/>
      </w:pPr>
      <w:r w:rsidRPr="004E212E">
        <w:t>–</w:t>
      </w:r>
      <w:r w:rsidRPr="004E212E">
        <w:tab/>
        <w:t>der henviser til det endelige årsregnskab for Den Europæiske Fødevaresikkerhedsautoritet for regnskabsåret 2022,</w:t>
      </w:r>
    </w:p>
    <w:p w14:paraId="52686D9B" w14:textId="77777777" w:rsidR="00DA7AC3" w:rsidRPr="004E212E" w:rsidRDefault="00DA7AC3" w:rsidP="00DA7AC3">
      <w:pPr>
        <w:pStyle w:val="NormalHanging12a"/>
      </w:pPr>
      <w:r w:rsidRPr="004E212E">
        <w:t>–</w:t>
      </w:r>
      <w:r w:rsidRPr="004E212E">
        <w:tab/>
        <w:t>der henviser til Revisionsrettens årsberetning om EU-agenturerne for regnskabsåret 2022, med agenturernes svar</w:t>
      </w:r>
      <w:r w:rsidRPr="004E212E">
        <w:rPr>
          <w:rStyle w:val="FootnoteReference"/>
        </w:rPr>
        <w:footnoteReference w:id="1"/>
      </w:r>
      <w:r w:rsidRPr="004E212E">
        <w:t>,</w:t>
      </w:r>
    </w:p>
    <w:p w14:paraId="0B41BCA9" w14:textId="77777777" w:rsidR="00DA7AC3" w:rsidRPr="004E212E" w:rsidRDefault="00DA7AC3" w:rsidP="00DA7AC3">
      <w:pPr>
        <w:pStyle w:val="NormalHanging12a"/>
      </w:pPr>
      <w:r w:rsidRPr="004E212E">
        <w:t>–</w:t>
      </w:r>
      <w:r w:rsidRPr="004E212E">
        <w:tab/>
        <w:t>der henviser til Revisionsrettens erklæring for regnskabsåret 2022 om regnskabernes rigtighed</w:t>
      </w:r>
      <w:r w:rsidRPr="004E212E">
        <w:rPr>
          <w:rStyle w:val="FootnoteReference"/>
        </w:rPr>
        <w:footnoteReference w:id="2"/>
      </w:r>
      <w:r w:rsidRPr="004E212E">
        <w:t xml:space="preserve"> og de underliggende transaktioners lovlighed og formelle rigtighed, jf. artikel 287 i traktaten om Den Europæiske Unions funktionsmåde,</w:t>
      </w:r>
    </w:p>
    <w:p w14:paraId="73EF61B4" w14:textId="67A93489" w:rsidR="00DA7AC3" w:rsidRPr="004E212E" w:rsidRDefault="00DA7AC3" w:rsidP="00DA7AC3">
      <w:pPr>
        <w:pStyle w:val="NormalHanging12a"/>
      </w:pPr>
      <w:r w:rsidRPr="004E212E">
        <w:t>–</w:t>
      </w:r>
      <w:r w:rsidRPr="004E212E">
        <w:tab/>
        <w:t>der henviser til Rådets henstilling af 22. februar 2024 om decharge til myndigheden for gennemførelsen af budgettet for regnskabsåret 2022 (</w:t>
      </w:r>
      <w:r w:rsidR="00CF04D7" w:rsidRPr="0067307A">
        <w:t>06180</w:t>
      </w:r>
      <w:r w:rsidRPr="00CF04D7">
        <w:t>/2024 – C9</w:t>
      </w:r>
      <w:r w:rsidRPr="00CF04D7">
        <w:noBreakHyphen/>
        <w:t>00</w:t>
      </w:r>
      <w:r w:rsidR="00CF04D7" w:rsidRPr="0067307A">
        <w:t>89</w:t>
      </w:r>
      <w:r w:rsidRPr="00CF04D7">
        <w:t>/2024</w:t>
      </w:r>
      <w:r w:rsidRPr="004E212E">
        <w:t>),</w:t>
      </w:r>
    </w:p>
    <w:p w14:paraId="41842D14" w14:textId="77777777" w:rsidR="00DA7AC3" w:rsidRPr="004E212E" w:rsidRDefault="00DA7AC3" w:rsidP="00DA7AC3">
      <w:pPr>
        <w:pStyle w:val="NormalHanging12a"/>
      </w:pPr>
      <w:r w:rsidRPr="004E212E">
        <w:t>–</w:t>
      </w:r>
      <w:r w:rsidRPr="004E212E">
        <w:tab/>
        <w:t>der henviser til artikel 319 i traktaten om Den Europæiske Unions funktionsmåde,</w:t>
      </w:r>
    </w:p>
    <w:p w14:paraId="06C22752" w14:textId="77777777" w:rsidR="00DA7AC3" w:rsidRPr="004E212E" w:rsidRDefault="00DA7AC3" w:rsidP="00DA7AC3">
      <w:pPr>
        <w:pStyle w:val="NormalHanging12a"/>
      </w:pPr>
      <w:r w:rsidRPr="004E212E">
        <w:t>–</w:t>
      </w:r>
      <w:r w:rsidRPr="004E212E">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4E212E">
        <w:rPr>
          <w:rStyle w:val="FootnoteReference"/>
        </w:rPr>
        <w:footnoteReference w:id="3"/>
      </w:r>
      <w:r w:rsidRPr="004E212E">
        <w:t>, særlig artikel 70,</w:t>
      </w:r>
    </w:p>
    <w:p w14:paraId="616B1A1A" w14:textId="77777777" w:rsidR="00DA7AC3" w:rsidRPr="004E212E" w:rsidRDefault="00DA7AC3" w:rsidP="00DA7AC3">
      <w:pPr>
        <w:pStyle w:val="NormalHanging12a"/>
      </w:pPr>
      <w:r w:rsidRPr="004E212E">
        <w:t>–</w:t>
      </w:r>
      <w:r w:rsidRPr="004E212E">
        <w:tab/>
        <w:t xml:space="preserve">der henviser til Europa-Parlamentets og Rådets forordning (EF) nr. 178/2002 af 28. januar 2002 om generelle principper og krav i fødevarelovgivningen, om oprettelse af Den Europæiske Fødevaresikkerhedsautoritet og om procedurer vedrørende </w:t>
      </w:r>
      <w:r w:rsidRPr="004E212E">
        <w:lastRenderedPageBreak/>
        <w:t>fødevaresikkerhed</w:t>
      </w:r>
      <w:r w:rsidRPr="004E212E">
        <w:rPr>
          <w:rStyle w:val="FootnoteReference"/>
        </w:rPr>
        <w:footnoteReference w:id="4"/>
      </w:r>
      <w:r w:rsidRPr="004E212E">
        <w:t>, særlig artikel 44,</w:t>
      </w:r>
    </w:p>
    <w:p w14:paraId="64D542D1" w14:textId="77777777" w:rsidR="00DA7AC3" w:rsidRPr="004E212E" w:rsidRDefault="00DA7AC3" w:rsidP="00DA7AC3">
      <w:pPr>
        <w:pStyle w:val="NormalHanging12a"/>
      </w:pPr>
      <w:r w:rsidRPr="004E212E">
        <w:t>–</w:t>
      </w:r>
      <w:r w:rsidRPr="004E212E">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4E212E">
        <w:rPr>
          <w:rStyle w:val="FootnoteReference"/>
        </w:rPr>
        <w:footnoteReference w:id="5"/>
      </w:r>
      <w:r w:rsidRPr="004E212E">
        <w:t>, særlig artikel 105,</w:t>
      </w:r>
    </w:p>
    <w:p w14:paraId="647130ED" w14:textId="77777777" w:rsidR="00DA7AC3" w:rsidRPr="004E212E" w:rsidRDefault="00DA7AC3" w:rsidP="00DA7AC3">
      <w:pPr>
        <w:pStyle w:val="NormalHanging12a"/>
      </w:pPr>
      <w:r w:rsidRPr="004E212E">
        <w:t>–</w:t>
      </w:r>
      <w:r w:rsidRPr="004E212E">
        <w:tab/>
        <w:t>der henviser til forretningsordenens artikel 100 og bilag V,</w:t>
      </w:r>
    </w:p>
    <w:p w14:paraId="656EEE9A" w14:textId="77777777" w:rsidR="00DA7AC3" w:rsidRPr="004E212E" w:rsidRDefault="00DA7AC3" w:rsidP="00DA7AC3">
      <w:pPr>
        <w:pStyle w:val="NormalHanging12a"/>
      </w:pPr>
      <w:r w:rsidRPr="004E212E">
        <w:t>–</w:t>
      </w:r>
      <w:r w:rsidRPr="004E212E">
        <w:tab/>
        <w:t>der henviser til udtalelse fra Udvalget om Miljø, Folkesundhed og Fødevaresikkerhed,</w:t>
      </w:r>
    </w:p>
    <w:p w14:paraId="6BC48979" w14:textId="77777777" w:rsidR="00DA7AC3" w:rsidRPr="004E212E" w:rsidRDefault="00DA7AC3" w:rsidP="00DA7AC3">
      <w:pPr>
        <w:pStyle w:val="NormalHanging12a"/>
      </w:pPr>
      <w:r w:rsidRPr="004E212E">
        <w:t>–</w:t>
      </w:r>
      <w:r w:rsidRPr="004E212E">
        <w:tab/>
        <w:t>der henviser til betænkning fra Budgetkontroludvalget (A9-0129/2024),</w:t>
      </w:r>
    </w:p>
    <w:p w14:paraId="6DDAC6A3" w14:textId="77777777" w:rsidR="00DA7AC3" w:rsidRPr="004E212E" w:rsidRDefault="00DA7AC3" w:rsidP="00DA7AC3">
      <w:pPr>
        <w:pStyle w:val="NormalHanging12a"/>
      </w:pPr>
      <w:r w:rsidRPr="004E212E">
        <w:t>1.</w:t>
      </w:r>
      <w:r w:rsidRPr="004E212E">
        <w:tab/>
        <w:t>meddeler den administrerende direktør for Den Europæiske Fødevaresikkerhedsautoritet decharge for gennemførelsen af autoritetens budget for regnskabsåret 2022;</w:t>
      </w:r>
    </w:p>
    <w:p w14:paraId="7D0359C4" w14:textId="77777777" w:rsidR="00DA7AC3" w:rsidRPr="004E212E" w:rsidRDefault="00DA7AC3" w:rsidP="00DA7AC3">
      <w:pPr>
        <w:pStyle w:val="NormalHanging12a"/>
      </w:pPr>
      <w:r w:rsidRPr="004E212E">
        <w:t>2.</w:t>
      </w:r>
      <w:r w:rsidRPr="004E212E">
        <w:tab/>
        <w:t>fremsætter sine bemærkninger i nedenstående beslutning;</w:t>
      </w:r>
    </w:p>
    <w:p w14:paraId="0497AC78" w14:textId="77777777" w:rsidR="00DA7AC3" w:rsidRPr="004E212E" w:rsidRDefault="00DA7AC3" w:rsidP="00DA7AC3">
      <w:pPr>
        <w:pStyle w:val="NormalHanging12a"/>
      </w:pPr>
      <w:r w:rsidRPr="004E212E">
        <w:t>3.</w:t>
      </w:r>
      <w:r w:rsidRPr="004E212E">
        <w:tab/>
        <w:t xml:space="preserve">pålægger sin formand at sende denne afgørelse og beslutningen, der er en integrerende del heraf, til den administrerende direktør for Den Europæiske Fødevaresikkerhedsautoritet, Rådet, Kommissionen og Revisionsretten og drage omsorg for, at de offentliggøres i </w:t>
      </w:r>
      <w:r w:rsidRPr="004E212E">
        <w:rPr>
          <w:i/>
          <w:iCs/>
        </w:rPr>
        <w:t>Den Europæiske Unions Tidende</w:t>
      </w:r>
      <w:r w:rsidRPr="004E212E">
        <w:t xml:space="preserve"> (L-udgaven).</w:t>
      </w:r>
    </w:p>
    <w:p w14:paraId="49C0193C" w14:textId="77777777" w:rsidR="00DA7AC3" w:rsidRPr="004E212E" w:rsidRDefault="00DA7AC3" w:rsidP="00DA7AC3"/>
    <w:p w14:paraId="699501FD" w14:textId="77777777" w:rsidR="00DA7AC3" w:rsidRPr="004E212E" w:rsidRDefault="00DA7AC3" w:rsidP="00DA7AC3">
      <w:pPr>
        <w:widowControl/>
        <w:rPr>
          <w:rFonts w:ascii="Arial" w:hAnsi="Arial" w:cs="Arial"/>
          <w:b/>
        </w:rPr>
        <w:sectPr w:rsidR="00DA7AC3" w:rsidRPr="004E212E" w:rsidSect="004E21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147A3608" w14:textId="77777777" w:rsidR="00687FDC" w:rsidRPr="009574E6" w:rsidRDefault="00687FDC" w:rsidP="00687FDC">
      <w:pPr>
        <w:pStyle w:val="ATHeading3"/>
      </w:pPr>
      <w:r>
        <w:lastRenderedPageBreak/>
        <w:t xml:space="preserve">2. </w:t>
      </w:r>
      <w:r w:rsidRPr="009574E6">
        <w:t xml:space="preserve">Europa-Parlamentets afgørelse af </w:t>
      </w:r>
      <w:r>
        <w:t>11. april 2024</w:t>
      </w:r>
      <w:r w:rsidRPr="009574E6">
        <w:t xml:space="preserve"> </w:t>
      </w:r>
      <w:r w:rsidRPr="004E212E">
        <w:t>om afslutning af regnskaberne for Den Europæiske Fødevaresikkerhedsautoritet for regnskabsåret 2022</w:t>
      </w:r>
      <w:r>
        <w:t xml:space="preserve"> </w:t>
      </w:r>
      <w:r w:rsidRPr="004E212E">
        <w:t>(2023/2151(DEC))</w:t>
      </w:r>
    </w:p>
    <w:p w14:paraId="2F7792B2" w14:textId="77777777" w:rsidR="00DA7AC3" w:rsidRPr="004E212E" w:rsidRDefault="00DA7AC3" w:rsidP="00DA7AC3">
      <w:pPr>
        <w:pStyle w:val="EPComma"/>
      </w:pPr>
      <w:r w:rsidRPr="004E212E">
        <w:rPr>
          <w:i/>
          <w:iCs/>
        </w:rPr>
        <w:t>Europa-Parlamentet,</w:t>
      </w:r>
    </w:p>
    <w:p w14:paraId="19437C93" w14:textId="77777777" w:rsidR="00DA7AC3" w:rsidRPr="004E212E" w:rsidRDefault="00DA7AC3" w:rsidP="00DA7AC3">
      <w:pPr>
        <w:pStyle w:val="NormalHanging12a"/>
      </w:pPr>
      <w:r w:rsidRPr="004E212E">
        <w:t>–</w:t>
      </w:r>
      <w:r w:rsidRPr="004E212E">
        <w:tab/>
        <w:t>der henviser til det endelige årsregnskab for Den Europæiske Fødevaresikkerhedsautoritet for regnskabsåret 2022,</w:t>
      </w:r>
    </w:p>
    <w:p w14:paraId="4D0ED8EF" w14:textId="77777777" w:rsidR="00DA7AC3" w:rsidRPr="004E212E" w:rsidRDefault="00DA7AC3" w:rsidP="00DA7AC3">
      <w:pPr>
        <w:pStyle w:val="NormalHanging12a"/>
      </w:pPr>
      <w:r w:rsidRPr="004E212E">
        <w:t>–</w:t>
      </w:r>
      <w:r w:rsidRPr="004E212E">
        <w:tab/>
        <w:t>der henviser til Revisionsrettens årsberetning om EU-agenturerne for regnskabsåret 2022, med agenturernes svar</w:t>
      </w:r>
      <w:r w:rsidRPr="004E212E">
        <w:rPr>
          <w:rStyle w:val="FootnoteReference"/>
        </w:rPr>
        <w:footnoteReference w:id="6"/>
      </w:r>
      <w:r w:rsidRPr="004E212E">
        <w:t>,</w:t>
      </w:r>
    </w:p>
    <w:p w14:paraId="4DA5383E" w14:textId="77777777" w:rsidR="00DA7AC3" w:rsidRPr="004E212E" w:rsidRDefault="00DA7AC3" w:rsidP="00DA7AC3">
      <w:pPr>
        <w:pStyle w:val="NormalHanging12a"/>
      </w:pPr>
      <w:r w:rsidRPr="004E212E">
        <w:t>–</w:t>
      </w:r>
      <w:r w:rsidRPr="004E212E">
        <w:tab/>
        <w:t>der henviser til Revisionsrettens erklæring for regnskabsåret 2022 om regnskabernes rigtighed</w:t>
      </w:r>
      <w:r w:rsidRPr="004E212E">
        <w:rPr>
          <w:rStyle w:val="FootnoteReference"/>
        </w:rPr>
        <w:footnoteReference w:id="7"/>
      </w:r>
      <w:r w:rsidRPr="004E212E">
        <w:t xml:space="preserve"> og de underliggende transaktioners lovlighed og formelle rigtighed, jf. artikel 287 i traktaten om Den Europæiske Unions funktionsmåde,</w:t>
      </w:r>
    </w:p>
    <w:p w14:paraId="566B802F" w14:textId="06D6D89D" w:rsidR="00DA7AC3" w:rsidRPr="004E212E" w:rsidRDefault="00DA7AC3" w:rsidP="00DA7AC3">
      <w:pPr>
        <w:pStyle w:val="NormalHanging12a"/>
      </w:pPr>
      <w:r w:rsidRPr="004E212E">
        <w:t>–</w:t>
      </w:r>
      <w:r w:rsidRPr="004E212E">
        <w:tab/>
        <w:t>der henviser til Rådets henstilling af 22. februar 2024 om decharge til myndigheden for gennemførelsen af budgettet for regnskabsåret 2022 (</w:t>
      </w:r>
      <w:r w:rsidR="00CF04D7" w:rsidRPr="0067307A">
        <w:t>06180</w:t>
      </w:r>
      <w:r w:rsidRPr="004E212E">
        <w:t>/2024 – C9</w:t>
      </w:r>
      <w:r w:rsidRPr="004E212E">
        <w:noBreakHyphen/>
        <w:t>00</w:t>
      </w:r>
      <w:r w:rsidR="00CF04D7">
        <w:t>89</w:t>
      </w:r>
      <w:r w:rsidRPr="004E212E">
        <w:t>/2024),</w:t>
      </w:r>
    </w:p>
    <w:p w14:paraId="752166DC" w14:textId="77777777" w:rsidR="00DA7AC3" w:rsidRPr="004E212E" w:rsidRDefault="00DA7AC3" w:rsidP="00DA7AC3">
      <w:pPr>
        <w:pStyle w:val="NormalHanging12a"/>
      </w:pPr>
      <w:r w:rsidRPr="004E212E">
        <w:t>–</w:t>
      </w:r>
      <w:r w:rsidRPr="004E212E">
        <w:tab/>
        <w:t>der henviser til artikel 319 i traktaten om Den Europæiske Unions funktionsmåde,</w:t>
      </w:r>
    </w:p>
    <w:p w14:paraId="1D73F352" w14:textId="77777777" w:rsidR="00DA7AC3" w:rsidRPr="004E212E" w:rsidRDefault="00DA7AC3" w:rsidP="00DA7AC3">
      <w:pPr>
        <w:pStyle w:val="NormalHanging12a"/>
      </w:pPr>
      <w:r w:rsidRPr="004E212E">
        <w:t>–</w:t>
      </w:r>
      <w:r w:rsidRPr="004E212E">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4E212E">
        <w:rPr>
          <w:rStyle w:val="FootnoteReference"/>
        </w:rPr>
        <w:footnoteReference w:id="8"/>
      </w:r>
      <w:r w:rsidRPr="004E212E">
        <w:t>, særlig artikel 70,</w:t>
      </w:r>
    </w:p>
    <w:p w14:paraId="044A4BC3" w14:textId="77777777" w:rsidR="00DA7AC3" w:rsidRPr="004E212E" w:rsidRDefault="00DA7AC3" w:rsidP="00DA7AC3">
      <w:pPr>
        <w:pStyle w:val="NormalHanging12a"/>
      </w:pPr>
      <w:r w:rsidRPr="004E212E">
        <w:t>–</w:t>
      </w:r>
      <w:r w:rsidRPr="004E212E">
        <w:tab/>
        <w:t>der henviser til Europa-Parlamentets og Rådets forordning (EF) nr. 178/2002 af 28. januar 2002 om generelle principper og krav i fødevarelovgivningen, om oprettelse af Den Europæiske Fødevaresikkerhedsautoritet og om procedurer vedrørende fødevaresikkerhed</w:t>
      </w:r>
      <w:r w:rsidRPr="004E212E">
        <w:rPr>
          <w:rStyle w:val="FootnoteReference"/>
        </w:rPr>
        <w:footnoteReference w:id="9"/>
      </w:r>
      <w:r w:rsidRPr="004E212E">
        <w:t>, særlig artikel 44,</w:t>
      </w:r>
    </w:p>
    <w:p w14:paraId="31492972" w14:textId="77777777" w:rsidR="00DA7AC3" w:rsidRPr="004E212E" w:rsidRDefault="00DA7AC3" w:rsidP="00DA7AC3">
      <w:pPr>
        <w:pStyle w:val="NormalHanging12a"/>
      </w:pPr>
      <w:r w:rsidRPr="004E212E">
        <w:t>–</w:t>
      </w:r>
      <w:r w:rsidRPr="004E212E">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4E212E">
        <w:rPr>
          <w:rStyle w:val="FootnoteReference"/>
        </w:rPr>
        <w:footnoteReference w:id="10"/>
      </w:r>
      <w:r w:rsidRPr="004E212E">
        <w:t>, særlig artikel 105,</w:t>
      </w:r>
    </w:p>
    <w:p w14:paraId="5EC7B754" w14:textId="77777777" w:rsidR="00DA7AC3" w:rsidRPr="004E212E" w:rsidRDefault="00DA7AC3" w:rsidP="00DA7AC3">
      <w:pPr>
        <w:pStyle w:val="NormalHanging12a"/>
      </w:pPr>
      <w:r w:rsidRPr="004E212E">
        <w:t>–</w:t>
      </w:r>
      <w:r w:rsidRPr="004E212E">
        <w:tab/>
        <w:t>der henviser til forretningsordenens artikel 100 og bilag V,</w:t>
      </w:r>
    </w:p>
    <w:p w14:paraId="2ED10535" w14:textId="77777777" w:rsidR="00DA7AC3" w:rsidRPr="004E212E" w:rsidRDefault="00DA7AC3" w:rsidP="00DA7AC3">
      <w:pPr>
        <w:pStyle w:val="NormalHanging12a"/>
      </w:pPr>
      <w:r w:rsidRPr="004E212E">
        <w:t>–</w:t>
      </w:r>
      <w:r w:rsidRPr="004E212E">
        <w:tab/>
        <w:t>der henviser til udtalelse fra Udvalget om Miljø, Folkesundhed og Fødevaresikkerhed,</w:t>
      </w:r>
    </w:p>
    <w:p w14:paraId="23C1871D" w14:textId="77777777" w:rsidR="00DA7AC3" w:rsidRPr="004E212E" w:rsidRDefault="00DA7AC3" w:rsidP="00DA7AC3">
      <w:pPr>
        <w:pStyle w:val="NormalHanging12a"/>
      </w:pPr>
      <w:r w:rsidRPr="004E212E">
        <w:t>–</w:t>
      </w:r>
      <w:r w:rsidRPr="004E212E">
        <w:tab/>
        <w:t>der henviser til betænkning fra Budgetkontroludvalget (A9-0129/2024),</w:t>
      </w:r>
    </w:p>
    <w:p w14:paraId="52693A9A" w14:textId="77777777" w:rsidR="00DA7AC3" w:rsidRPr="004E212E" w:rsidRDefault="00DA7AC3" w:rsidP="00DA7AC3">
      <w:pPr>
        <w:pStyle w:val="NormalHanging12a"/>
      </w:pPr>
      <w:r w:rsidRPr="004E212E">
        <w:t>1.</w:t>
      </w:r>
      <w:r w:rsidRPr="004E212E">
        <w:tab/>
        <w:t>godkender afslutningen af regnskaberne for Den Europæiske Fødevaresikkerhedsautoritet for regnskabsåret 2022;</w:t>
      </w:r>
    </w:p>
    <w:p w14:paraId="29FA0255" w14:textId="77777777" w:rsidR="00DA7AC3" w:rsidRPr="004E212E" w:rsidRDefault="00DA7AC3" w:rsidP="00DA7AC3">
      <w:pPr>
        <w:pStyle w:val="NormalHanging12a"/>
      </w:pPr>
      <w:r w:rsidRPr="004E212E">
        <w:lastRenderedPageBreak/>
        <w:t>2.</w:t>
      </w:r>
      <w:r w:rsidRPr="004E212E">
        <w:tab/>
        <w:t xml:space="preserve">pålægger sin formand at sende denne afgørelse til den administrerende direktør for Den Europæiske Fødevaresikkerhedsautoritet, Rådet, Kommissionen og Revisionsretten og drage omsorg for, at den offentliggøres i </w:t>
      </w:r>
      <w:r w:rsidRPr="004E212E">
        <w:rPr>
          <w:i/>
          <w:iCs/>
        </w:rPr>
        <w:t>Den Europæiske Unions Tidende</w:t>
      </w:r>
      <w:r w:rsidRPr="004E212E">
        <w:t xml:space="preserve"> (L-udgaven).</w:t>
      </w:r>
    </w:p>
    <w:p w14:paraId="77384F4B" w14:textId="77777777" w:rsidR="00DA7AC3" w:rsidRPr="004E212E" w:rsidRDefault="00DA7AC3" w:rsidP="00DA7AC3"/>
    <w:p w14:paraId="4646D6F9" w14:textId="77777777" w:rsidR="00DA7AC3" w:rsidRPr="004E212E" w:rsidRDefault="00DA7AC3" w:rsidP="00DA7AC3">
      <w:pPr>
        <w:widowControl/>
        <w:rPr>
          <w:rFonts w:ascii="Arial" w:hAnsi="Arial" w:cs="Arial"/>
          <w:b/>
        </w:rPr>
        <w:sectPr w:rsidR="00DA7AC3" w:rsidRPr="004E212E" w:rsidSect="004E212E">
          <w:footnotePr>
            <w:numRestart w:val="eachPage"/>
          </w:footnotePr>
          <w:endnotePr>
            <w:numFmt w:val="decimal"/>
          </w:endnotePr>
          <w:pgSz w:w="11906" w:h="16838"/>
          <w:pgMar w:top="1134" w:right="1418" w:bottom="1418" w:left="1418" w:header="567" w:footer="567" w:gutter="0"/>
          <w:cols w:space="720"/>
          <w:docGrid w:linePitch="326"/>
        </w:sectPr>
      </w:pPr>
    </w:p>
    <w:p w14:paraId="26B1E97F" w14:textId="77777777" w:rsidR="00687FDC" w:rsidRPr="009574E6" w:rsidRDefault="00687FDC" w:rsidP="00687FDC">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4E212E">
        <w:t>med bemærkningerne, der er en integrerende del af afgørelsen om decharge for gennemførelsen af budgettet for Den Europæiske Fødevaresikkerhedsautoritet for regnskabsåret 2022</w:t>
      </w:r>
      <w:r>
        <w:t xml:space="preserve"> </w:t>
      </w:r>
      <w:r w:rsidRPr="004E212E">
        <w:t>(2023/2151(DEC))</w:t>
      </w:r>
    </w:p>
    <w:p w14:paraId="12577B37" w14:textId="77777777" w:rsidR="00DA7AC3" w:rsidRPr="004E212E" w:rsidRDefault="00DA7AC3" w:rsidP="00DA7AC3">
      <w:pPr>
        <w:pStyle w:val="EPComma"/>
      </w:pPr>
      <w:r w:rsidRPr="004E212E">
        <w:rPr>
          <w:i/>
          <w:iCs/>
        </w:rPr>
        <w:t>Europa-Parlamentet,</w:t>
      </w:r>
    </w:p>
    <w:p w14:paraId="411EAACC" w14:textId="77777777" w:rsidR="00DA7AC3" w:rsidRPr="004E212E" w:rsidRDefault="00DA7AC3" w:rsidP="00DA7AC3">
      <w:pPr>
        <w:pStyle w:val="NormalHanging12a"/>
      </w:pPr>
      <w:r w:rsidRPr="004E212E">
        <w:t>–</w:t>
      </w:r>
      <w:r w:rsidRPr="004E212E">
        <w:tab/>
        <w:t>der henviser til sin afgørelse om decharge for gennemførelsen af budgettet for Den Europæiske Fødevaresikkerhedsautoritet for regnskabsåret 2022,</w:t>
      </w:r>
    </w:p>
    <w:p w14:paraId="508B2854" w14:textId="77777777" w:rsidR="00DA7AC3" w:rsidRPr="004E212E" w:rsidRDefault="00DA7AC3" w:rsidP="00DA7AC3">
      <w:pPr>
        <w:pStyle w:val="NormalHanging12a"/>
      </w:pPr>
      <w:r w:rsidRPr="004E212E">
        <w:t>–</w:t>
      </w:r>
      <w:r w:rsidRPr="004E212E">
        <w:tab/>
        <w:t>der henviser til forretningsordenens artikel 100 og bilag V,</w:t>
      </w:r>
    </w:p>
    <w:p w14:paraId="0596FEA7" w14:textId="77777777" w:rsidR="00DA7AC3" w:rsidRPr="004E212E" w:rsidRDefault="00DA7AC3" w:rsidP="00DA7AC3">
      <w:pPr>
        <w:pStyle w:val="NormalHanging12a"/>
      </w:pPr>
      <w:r w:rsidRPr="004E212E">
        <w:t>–</w:t>
      </w:r>
      <w:r w:rsidRPr="004E212E">
        <w:tab/>
        <w:t>der henviser til udtalelse fra Udvalget om Miljø, Folkesundhed og Fødevaresikkerhed,</w:t>
      </w:r>
    </w:p>
    <w:p w14:paraId="0CB401DF" w14:textId="77777777" w:rsidR="00DA7AC3" w:rsidRPr="004E212E" w:rsidRDefault="00DA7AC3" w:rsidP="00DA7AC3">
      <w:pPr>
        <w:pStyle w:val="NormalHanging12a"/>
      </w:pPr>
      <w:r w:rsidRPr="004E212E">
        <w:t>–</w:t>
      </w:r>
      <w:r w:rsidRPr="004E212E">
        <w:tab/>
        <w:t>der henviser til betænkning fra Budgetkontroludvalget (A9-0129/2024),</w:t>
      </w:r>
    </w:p>
    <w:p w14:paraId="70B87A23" w14:textId="77777777" w:rsidR="00DA7AC3" w:rsidRPr="004E212E" w:rsidRDefault="00DA7AC3" w:rsidP="00DA7AC3">
      <w:pPr>
        <w:autoSpaceDE w:val="0"/>
        <w:autoSpaceDN w:val="0"/>
        <w:adjustRightInd w:val="0"/>
        <w:spacing w:after="240"/>
        <w:ind w:left="567" w:hanging="567"/>
        <w:rPr>
          <w:rFonts w:eastAsia="Calibri"/>
          <w:szCs w:val="24"/>
        </w:rPr>
      </w:pPr>
      <w:r w:rsidRPr="004E212E">
        <w:t>A.</w:t>
      </w:r>
      <w:r w:rsidRPr="004E212E">
        <w:tab/>
        <w:t>der henviser til, at Den Europæiske Fødevaresikkerhedsautoritets ("autoritetens") endelige budget for regnskabsåret 2022 ifølge dens oversigt over indtægter og udgifter</w:t>
      </w:r>
      <w:r w:rsidRPr="004E212E">
        <w:rPr>
          <w:rFonts w:eastAsia="Calibri"/>
          <w:szCs w:val="24"/>
          <w:vertAlign w:val="superscript"/>
        </w:rPr>
        <w:footnoteReference w:id="11"/>
      </w:r>
      <w:r w:rsidRPr="004E212E">
        <w:t xml:space="preserve"> var på 149 841 816,93 EUR, hvilket svarer til en stigning på 15,99 % sammenlignet med 2021; der henviser til, at autoritetens budget primært stammer fra Unionens budget;</w:t>
      </w:r>
    </w:p>
    <w:p w14:paraId="70327E68" w14:textId="77777777" w:rsidR="00DA7AC3" w:rsidRPr="004E212E" w:rsidRDefault="00DA7AC3" w:rsidP="00DA7AC3">
      <w:pPr>
        <w:spacing w:after="240"/>
        <w:ind w:left="567" w:hanging="567"/>
        <w:rPr>
          <w:szCs w:val="24"/>
        </w:rPr>
      </w:pPr>
      <w:r w:rsidRPr="004E212E">
        <w:t>B.</w:t>
      </w:r>
      <w:r w:rsidRPr="004E212E">
        <w:tab/>
        <w:t>der henviser til, at Revisionsretten i sin beretning om autoritetens årsregnskab for regnskabsåret 2022 ("Revisionsrettens beretning") fastslår, at den har fået rimelig sikkerhed for, at autoritetens årsregnskab er rigtigt, og at de underliggende transaktioner er lovlige og formelt rigtige;</w:t>
      </w:r>
    </w:p>
    <w:p w14:paraId="5C2858FC" w14:textId="77777777" w:rsidR="00DA7AC3" w:rsidRPr="004E212E" w:rsidRDefault="00DA7AC3" w:rsidP="00DA7AC3">
      <w:pPr>
        <w:widowControl/>
        <w:spacing w:after="240"/>
        <w:ind w:left="567" w:hanging="567"/>
        <w:rPr>
          <w:szCs w:val="24"/>
        </w:rPr>
      </w:pPr>
      <w:r w:rsidRPr="004E212E">
        <w:t>C.</w:t>
      </w:r>
      <w:r w:rsidRPr="004E212E">
        <w:tab/>
        <w:t>der henviser til, at der med hensyn til autoritetens udbudsafdeling ikke blev indberettet nogen problemer, der nødvendiggjorde korrigerende foranstaltninger for 2022, og at der heller ikke er igangværende eller udestående korrigerende foranstaltninger fra tidligere års revisioner og vurderinger;</w:t>
      </w:r>
    </w:p>
    <w:p w14:paraId="12EAA978" w14:textId="77777777" w:rsidR="00DA7AC3" w:rsidRPr="004E212E" w:rsidRDefault="00DA7AC3" w:rsidP="00DA7AC3">
      <w:pPr>
        <w:widowControl/>
        <w:spacing w:after="240"/>
        <w:ind w:left="567" w:hanging="567"/>
        <w:rPr>
          <w:szCs w:val="24"/>
        </w:rPr>
      </w:pPr>
      <w:r w:rsidRPr="004E212E">
        <w:t>D.</w:t>
      </w:r>
      <w:r w:rsidRPr="004E212E">
        <w:tab/>
        <w:t>der henviser til, at der med hensyn til autoritetens interne kontrolsystemer ikke blev indberettet nogen problemer, der nødvendiggjorde korrigerende foranstaltninger for 2022, og at der heller ikke er igangværende eller udestående korrigerende foranstaltninger fra tidligere års revisioner og vurderinger;</w:t>
      </w:r>
    </w:p>
    <w:p w14:paraId="4F7425FA" w14:textId="77777777" w:rsidR="00DA7AC3" w:rsidRPr="004E212E" w:rsidRDefault="00DA7AC3" w:rsidP="00DA7AC3">
      <w:pPr>
        <w:spacing w:after="240"/>
        <w:ind w:left="567" w:hanging="567"/>
        <w:rPr>
          <w:b/>
          <w:i/>
          <w:szCs w:val="24"/>
        </w:rPr>
      </w:pPr>
      <w:r w:rsidRPr="004E212E">
        <w:rPr>
          <w:b/>
          <w:i/>
        </w:rPr>
        <w:t>Budgetmæssig og økonomisk forvaltning</w:t>
      </w:r>
    </w:p>
    <w:p w14:paraId="35E1C94E" w14:textId="77777777" w:rsidR="00DA7AC3" w:rsidRPr="004E212E" w:rsidRDefault="00DA7AC3" w:rsidP="00DA7AC3">
      <w:pPr>
        <w:spacing w:after="240"/>
        <w:ind w:left="567" w:hanging="567"/>
        <w:rPr>
          <w:szCs w:val="24"/>
        </w:rPr>
      </w:pPr>
      <w:r w:rsidRPr="004E212E">
        <w:t>1.</w:t>
      </w:r>
      <w:r w:rsidRPr="004E212E">
        <w:tab/>
        <w:t>bemærker med tilfredshed, at budgetovervågningsindsatsen i regnskabsåret 2022 resulterede i en budgetgennemførelsesgrad for forpligtelsesbevillinger for det pågældende år på 99,95 %, hvilket svarer til et lille fald på 0,04 % i forhold til 2021; bemærker endvidere, at udnyttelsesgraden for betalingsbevillingerne for det pågældende år var på 89,77 %, hvilket er en stigning på 0,92 % sammenlignet med 2021;</w:t>
      </w:r>
    </w:p>
    <w:p w14:paraId="31F474E0" w14:textId="77777777" w:rsidR="00DA7AC3" w:rsidRPr="004E212E" w:rsidRDefault="00DA7AC3" w:rsidP="00DA7AC3">
      <w:pPr>
        <w:pStyle w:val="NormalHanging12a"/>
      </w:pPr>
      <w:r w:rsidRPr="004E212E">
        <w:t>2.</w:t>
      </w:r>
      <w:r w:rsidRPr="004E212E">
        <w:tab/>
        <w:t xml:space="preserve">bemærker, at manglende ressourcer og stillinger til myndigheder for regulering af plantebeskyttelsesmidler resulterer i forsinkelser i godkendelsen af lavrisikoaktivstoffer og ajourføringen af vurderingsmetoderne i overensstemmelse med den videnskabelige udvikling, hvilket ville mindske plantebeskyttelsesmidlers indvirkning på miljøet på lang sigt; opfordrer Kommissionen til at tage passende skridt til at sikre, at autoriteten har tilstrækkelige ressourcer og stillinger til at støtte medlemsstaterne i at overholde </w:t>
      </w:r>
      <w:r w:rsidRPr="004E212E">
        <w:lastRenderedPageBreak/>
        <w:t>deres frister som fastsat i forordning (EF) nr. 1107/2009, til at fordoble antallet af vurderinger af aktivstoffer for plantebeskyttelsesmidler pr. år og til at tredoble tempoet i udviklingen af metoder til at holde risikovurderingerne ajour med den seneste videnskabelige udvikling og i overensstemmelse med de samfundsmæssige forventninger;</w:t>
      </w:r>
    </w:p>
    <w:p w14:paraId="0A34906B" w14:textId="77777777" w:rsidR="00DA7AC3" w:rsidRPr="004E212E" w:rsidRDefault="00DA7AC3" w:rsidP="00DA7AC3">
      <w:pPr>
        <w:spacing w:after="240"/>
        <w:ind w:left="567" w:hanging="567"/>
        <w:rPr>
          <w:b/>
          <w:i/>
          <w:szCs w:val="24"/>
        </w:rPr>
      </w:pPr>
      <w:r w:rsidRPr="004E212E">
        <w:rPr>
          <w:b/>
          <w:i/>
        </w:rPr>
        <w:t>Performance</w:t>
      </w:r>
    </w:p>
    <w:p w14:paraId="1D950096" w14:textId="77777777" w:rsidR="00DA7AC3" w:rsidRPr="004E212E" w:rsidRDefault="00DA7AC3" w:rsidP="00DA7AC3">
      <w:pPr>
        <w:pStyle w:val="NormalHanging12a"/>
      </w:pPr>
      <w:r w:rsidRPr="004E212E">
        <w:t>3.</w:t>
      </w:r>
      <w:r w:rsidRPr="004E212E">
        <w:tab/>
        <w:t>glæder sig over autoritetens bidrag til sikkerheden i Unionens fødevare- og foderkæde og over dens store indsats med hensyn til at yde omfattende, uafhængig og ajourført videnskabelig rådgivning om spørgsmål vedrørende fødevarekæden til ansvarlige for risikostyring, til på en klar måde at informere offentligheden om sine output og om de oplysninger, som de er baseret på, samt til at samarbejde med interessenter og institutionelle partnere med henblik på at fremme sammenhængen i og tilliden til fødevaresikkerhedssystemet;</w:t>
      </w:r>
    </w:p>
    <w:p w14:paraId="7844384E" w14:textId="77777777" w:rsidR="00DA7AC3" w:rsidRPr="004E212E" w:rsidRDefault="00DA7AC3" w:rsidP="00DA7AC3">
      <w:pPr>
        <w:pStyle w:val="NormalHanging12a"/>
        <w:rPr>
          <w:szCs w:val="24"/>
        </w:rPr>
      </w:pPr>
      <w:r w:rsidRPr="004E212E">
        <w:t>4.</w:t>
      </w:r>
      <w:r w:rsidRPr="004E212E">
        <w:tab/>
        <w:t>bemærker med tilfredshed, at autoriteten har gennemført en integreret resultatramme, der forbinder ressourcer og aktiviteter med output og forventede resultater, suppleret med et sæt centrale resultatindikatorer (KPI'er) til overvågning og fremme af performance; bemærker endvidere, at resultaterne i forhold til de mål, der er fastsat i resultatrammen, samlet set nåede op på 96 %; bemærker, at området for strategiske prioriteter 2 (sikre beredskab over for fremtidige behov for risikoanalyse) og strategiske prioriteter 3 (give borgerne større indflydelse og sikre organisatorisk smidighed) generelt havde gode resultater, mens området for strategiske prioriteter 1 (levere pålidelig videnskabelig rådgivning og kommunikation om risici fra jord til bord), som var stærkt påvirket af gennemførelsen af nye regler og procedurer i henhold til forordning (EU) 2019/1381</w:t>
      </w:r>
      <w:r w:rsidRPr="004E212E">
        <w:rPr>
          <w:rStyle w:val="FootnoteReference"/>
          <w:szCs w:val="24"/>
        </w:rPr>
        <w:footnoteReference w:id="12"/>
      </w:r>
      <w:r w:rsidRPr="004E212E">
        <w:t>, afveg fra målet;</w:t>
      </w:r>
    </w:p>
    <w:p w14:paraId="6C3102EB" w14:textId="77777777" w:rsidR="00DA7AC3" w:rsidRPr="004E212E" w:rsidRDefault="00DA7AC3" w:rsidP="00DA7AC3">
      <w:pPr>
        <w:pStyle w:val="NormalHanging12a"/>
        <w:rPr>
          <w:szCs w:val="24"/>
        </w:rPr>
      </w:pPr>
      <w:r w:rsidRPr="004E212E">
        <w:t>5.</w:t>
      </w:r>
      <w:r w:rsidRPr="004E212E">
        <w:tab/>
        <w:t>fremhæver, at autoriteten har færdiggjort 586 videnskabelige spørgsmål ud af de tilsigtede 701 spørgsmål vedrørende prioritet 1: "Levere pålidelig videnskabelig rådgivning og kommunikation om risici fra jord til bord"; bemærker, at det, til trods for at antallet af afsluttede videnskabelige spørgsmål var lavere end forventet, stort set svarede til de nye spørgsmål, der blev modtaget i løbet af året, hvilket sikrede, at antallet af uafklarede spørgsmål ikke steg;</w:t>
      </w:r>
    </w:p>
    <w:p w14:paraId="2F49D181" w14:textId="77777777" w:rsidR="00DA7AC3" w:rsidRPr="004E212E" w:rsidRDefault="00DA7AC3" w:rsidP="00DA7AC3">
      <w:pPr>
        <w:pStyle w:val="NormalHanging12a"/>
        <w:rPr>
          <w:szCs w:val="24"/>
        </w:rPr>
      </w:pPr>
      <w:r w:rsidRPr="004E212E">
        <w:t>6.</w:t>
      </w:r>
      <w:r w:rsidRPr="004E212E">
        <w:tab/>
        <w:t>glæder sig over, at der på området for formidling af resultater blev registreret meget positive resultater, idet rettidigheden af offentliggørelse i autoritetens tidende fastholder de positive resultater, der er opnået i de seneste to år;</w:t>
      </w:r>
    </w:p>
    <w:p w14:paraId="3DF71D80" w14:textId="77777777" w:rsidR="00DA7AC3" w:rsidRPr="004E212E" w:rsidRDefault="00DA7AC3" w:rsidP="00DA7AC3">
      <w:pPr>
        <w:pStyle w:val="NormalHanging12a"/>
        <w:rPr>
          <w:szCs w:val="24"/>
        </w:rPr>
      </w:pPr>
      <w:r w:rsidRPr="004E212E">
        <w:t>7.</w:t>
      </w:r>
      <w:r w:rsidRPr="004E212E">
        <w:tab/>
        <w:t>noterer sig, at 2022 var det første år for gennemførelsen af strategien for 2027; bemærker, at 2027-strategien, der er udformet som en videreudvikling af 2020-strategien, fokuserer på gennemførelsen af forordning (EU) 2019/1381 (på kort sigt) og forbereder autoriteten til at håndtere nye EU-politikker, der er under udvikling (på længere sigt);</w:t>
      </w:r>
    </w:p>
    <w:p w14:paraId="4C3396F5" w14:textId="77777777" w:rsidR="00DA7AC3" w:rsidRPr="004E212E" w:rsidRDefault="00DA7AC3" w:rsidP="00DA7AC3">
      <w:pPr>
        <w:pStyle w:val="NormalHanging12a"/>
        <w:rPr>
          <w:szCs w:val="24"/>
        </w:rPr>
      </w:pPr>
      <w:r w:rsidRPr="004E212E">
        <w:lastRenderedPageBreak/>
        <w:t>8.</w:t>
      </w:r>
      <w:r w:rsidRPr="004E212E">
        <w:tab/>
        <w:t>glæder sig over autoritetens afholdelse af "ONE Conference – Health, Environment, Society" i juni 2022, der fremhævede forbindelsen mellem menneskers, dyrs og miljøets sundhed og førte til "one health-one environment";</w:t>
      </w:r>
    </w:p>
    <w:p w14:paraId="72331E93" w14:textId="77777777" w:rsidR="00DA7AC3" w:rsidRPr="004E212E" w:rsidRDefault="00DA7AC3" w:rsidP="00DA7AC3">
      <w:pPr>
        <w:pStyle w:val="NormalHanging12a"/>
        <w:rPr>
          <w:szCs w:val="24"/>
        </w:rPr>
      </w:pPr>
      <w:r w:rsidRPr="004E212E">
        <w:t>9.</w:t>
      </w:r>
      <w:r w:rsidRPr="004E212E">
        <w:tab/>
        <w:t>bemærker, at autoriteten har iværksat en kampagne om afrikansk svinepest i partnerskab med 18 medlemsstater; bemærker endvidere, at autoriteten har bidraget til udformningen og gennemførelsen af "EU's kemikaliestrategi";</w:t>
      </w:r>
    </w:p>
    <w:p w14:paraId="2E28EAFC" w14:textId="77777777" w:rsidR="00DA7AC3" w:rsidRPr="004E212E" w:rsidRDefault="00DA7AC3" w:rsidP="00DA7AC3">
      <w:pPr>
        <w:pStyle w:val="NormalHanging12a"/>
      </w:pPr>
      <w:r w:rsidRPr="004E212E">
        <w:t>10.</w:t>
      </w:r>
      <w:r w:rsidRPr="004E212E">
        <w:tab/>
        <w:t>bemærker, at autoritetens evne til at yde rettidig rådgivning ifølge den årlige strategiundersøgelse, som den har iværksat, og hvor den anmoder om feedback fra kunder, partnere og interessenter, der er direkte eller indirekte involveret i udarbejdelsen af autoritetens videnskabelige udtalelser, fortsat er et punkt, der kræver opmærksomhed;</w:t>
      </w:r>
    </w:p>
    <w:p w14:paraId="72CB8981" w14:textId="77777777" w:rsidR="00DA7AC3" w:rsidRPr="004E212E" w:rsidRDefault="00DA7AC3" w:rsidP="00DA7AC3">
      <w:pPr>
        <w:pStyle w:val="NormalHanging12a"/>
        <w:rPr>
          <w:b/>
          <w:i/>
          <w:szCs w:val="24"/>
        </w:rPr>
      </w:pPr>
      <w:r w:rsidRPr="004E212E">
        <w:rPr>
          <w:b/>
          <w:i/>
        </w:rPr>
        <w:t>Effektivitet og gevinster</w:t>
      </w:r>
    </w:p>
    <w:p w14:paraId="05671067" w14:textId="77777777" w:rsidR="00DA7AC3" w:rsidRPr="004E212E" w:rsidRDefault="00DA7AC3" w:rsidP="00DA7AC3">
      <w:pPr>
        <w:pStyle w:val="NormalHanging12a"/>
        <w:rPr>
          <w:szCs w:val="24"/>
        </w:rPr>
      </w:pPr>
      <w:r w:rsidRPr="004E212E">
        <w:t>11.</w:t>
      </w:r>
      <w:r w:rsidRPr="004E212E">
        <w:tab/>
        <w:t>bemærker, at autoriteten har samarbejdet med Det Europæiske Kemikalieagentur inden for rammerne af Unionens nye kemikaliestrategi og med Det Europæiske Center for Forebyggelse af og Kontrol med Sygdomme om at udvikle systemer til indsamling og analyse af genomsekventering; bemærker endvidere, at autoriteten har delt menneskelige ressourcer og forskningsressourcer med søsteragenturer og Det Fælles Forskningscenter; understreger endvidere de horisontale fordele ved at arbejde sammen og tilpasse bedste praksis;</w:t>
      </w:r>
    </w:p>
    <w:p w14:paraId="5DED00AE" w14:textId="77777777" w:rsidR="00DA7AC3" w:rsidRPr="004E212E" w:rsidRDefault="00DA7AC3" w:rsidP="00DA7AC3">
      <w:pPr>
        <w:pStyle w:val="NormalHanging12a"/>
        <w:rPr>
          <w:szCs w:val="24"/>
        </w:rPr>
      </w:pPr>
      <w:r w:rsidRPr="004E212E">
        <w:t>12.</w:t>
      </w:r>
      <w:r w:rsidRPr="004E212E">
        <w:tab/>
        <w:t>bemærker, at autoriteten i 2022 har øget sin indsats for at konsolidere gennemførelsen af nye processer og IT-værktøjer for at forsøge at opnå et højt effektivitetsniveau og maksimere synergierne med andre agenturer; bemærker endvidere, at nogle af autoritetens resultater med hensyn til effektivitet og gevinster ved IT-værktøjer i 2020-2022 ikke er blevet sat som mål før udgangen af 2023;</w:t>
      </w:r>
    </w:p>
    <w:p w14:paraId="683FF511" w14:textId="77777777" w:rsidR="00DA7AC3" w:rsidRPr="004E212E" w:rsidRDefault="00DA7AC3" w:rsidP="00DA7AC3">
      <w:pPr>
        <w:pStyle w:val="NormalHanging12a"/>
      </w:pPr>
      <w:r w:rsidRPr="004E212E">
        <w:t>13.</w:t>
      </w:r>
      <w:r w:rsidRPr="004E212E">
        <w:tab/>
        <w:t>glæder sig over autoritetens hensigt om at styrke den fælles dataforvaltning med medlemsstaterne og andre agenturer med henblik på at forbedre datakvaliteten og interoperabiliteten (i overensstemmelse med One Health-tilgangen);</w:t>
      </w:r>
    </w:p>
    <w:p w14:paraId="78A96F8E" w14:textId="77777777" w:rsidR="00DA7AC3" w:rsidRPr="004E212E" w:rsidRDefault="00DA7AC3" w:rsidP="00DA7AC3">
      <w:pPr>
        <w:spacing w:after="240"/>
        <w:ind w:left="567" w:hanging="567"/>
        <w:rPr>
          <w:b/>
          <w:i/>
          <w:szCs w:val="24"/>
        </w:rPr>
      </w:pPr>
      <w:r w:rsidRPr="004E212E">
        <w:rPr>
          <w:b/>
          <w:i/>
        </w:rPr>
        <w:t>Personalepolitik</w:t>
      </w:r>
    </w:p>
    <w:p w14:paraId="17298762" w14:textId="77777777" w:rsidR="00DA7AC3" w:rsidRPr="004E212E" w:rsidRDefault="00DA7AC3" w:rsidP="00DA7AC3">
      <w:pPr>
        <w:spacing w:after="240"/>
        <w:ind w:left="567" w:hanging="567"/>
        <w:rPr>
          <w:rFonts w:eastAsia="Calibri"/>
          <w:szCs w:val="24"/>
        </w:rPr>
      </w:pPr>
      <w:r w:rsidRPr="004E212E">
        <w:t>14.</w:t>
      </w:r>
      <w:r w:rsidRPr="004E212E">
        <w:tab/>
        <w:t>bemærker, at stillingsfortegnelsen pr. 31. december 2022 var gennemført med 95,55 %, idet der var ansat fem tjenestemænd og 382 midlertidigt ansatte ud af de 405 stillinger, som var godkendt i henhold til Unionens budget (i forhold til 380 godkendte stillinger i 2021); bemærker, at der i 2022 derudover arbejdede 170 kontraktansatte og 14 udstationerede nationale eksperter for autoriteten; bemærker endvidere, at autoriteten med henblik på at gennemføre den nye forordning (EU) 2019/1381 fik tildelt 31 nye stillinger i 2022 og 15 ekstra kontraktansatte for perioden 2022-2024;</w:t>
      </w:r>
    </w:p>
    <w:p w14:paraId="2F3B8A8D" w14:textId="77777777" w:rsidR="00DA7AC3" w:rsidRPr="004E212E" w:rsidRDefault="00DA7AC3" w:rsidP="00DA7AC3">
      <w:pPr>
        <w:widowControl/>
        <w:spacing w:after="240"/>
        <w:ind w:left="567" w:hanging="567"/>
        <w:rPr>
          <w:szCs w:val="24"/>
        </w:rPr>
      </w:pPr>
      <w:r w:rsidRPr="004E212E">
        <w:t>15.</w:t>
      </w:r>
      <w:r w:rsidRPr="004E212E">
        <w:tab/>
        <w:t>noterer sig, at der i 2022 blev opnået kønsbalance i autoritetens samlede personale, idet 335 ud af 557 (60,1 %) var kvinder, og i autoritetens bestyrelse, hvor 37 ud af 70 (52,9 %) var kvinder; bemærker, at der i ledende stillinger er en højere andel af stillinger besat af mænd (63 %) sammenlignet med kvinder (37 %); opfordrer autoriteten til at intensivere bestræbelserne på at slå bro over den kønsbestemte forskel i topleder- og mellemlederstillinger;</w:t>
      </w:r>
    </w:p>
    <w:p w14:paraId="1A3F15CC" w14:textId="77777777" w:rsidR="00DA7AC3" w:rsidRPr="004E212E" w:rsidRDefault="00DA7AC3" w:rsidP="00DA7AC3">
      <w:pPr>
        <w:spacing w:after="240"/>
        <w:ind w:left="567" w:hanging="567"/>
        <w:rPr>
          <w:rFonts w:eastAsia="Calibri"/>
          <w:szCs w:val="24"/>
        </w:rPr>
      </w:pPr>
      <w:r w:rsidRPr="004E212E">
        <w:t>16.</w:t>
      </w:r>
      <w:r w:rsidRPr="004E212E">
        <w:tab/>
        <w:t>noterer sig, at Lægetjenesten indberettede tre tilfælde af udbrændthed i 2022;</w:t>
      </w:r>
      <w:r w:rsidRPr="004E212E">
        <w:rPr>
          <w:rFonts w:ascii="Segoe UI" w:hAnsi="Segoe UI"/>
          <w:color w:val="374151"/>
        </w:rPr>
        <w:t xml:space="preserve"> </w:t>
      </w:r>
      <w:r w:rsidRPr="004E212E">
        <w:t xml:space="preserve">understreger den afgørende betydning af at opretholde balancen mellem arbejdsmæssige </w:t>
      </w:r>
      <w:r w:rsidRPr="004E212E">
        <w:lastRenderedPageBreak/>
        <w:t>forpligtelser og privatliv; opfordrer autoriteten til fortsat at fremme en sund balance mellem arbejdsliv og privatliv blandt personalet;</w:t>
      </w:r>
    </w:p>
    <w:p w14:paraId="0133ED08" w14:textId="77777777" w:rsidR="00DA7AC3" w:rsidRPr="004E212E" w:rsidRDefault="00DA7AC3" w:rsidP="00DA7AC3">
      <w:pPr>
        <w:spacing w:after="240"/>
        <w:ind w:left="567" w:hanging="567"/>
        <w:rPr>
          <w:rFonts w:eastAsia="Calibri"/>
          <w:szCs w:val="24"/>
        </w:rPr>
      </w:pPr>
      <w:r w:rsidRPr="004E212E">
        <w:t>17.</w:t>
      </w:r>
      <w:r w:rsidRPr="004E212E">
        <w:tab/>
        <w:t>bemærker, at autoriteten er engageret i værdierne i netværket af EU-agenturer og chartret om mangfoldighed og inklusion og arbejder på en vedtagelse heraf så hurtigt som muligt; bemærker endvidere autoritetens deltagelse i EU-agenturernes netværksarbejdsgruppe om mangfoldighed og inklusion gennem deling af synergier, oplysninger og ressourcer vedrørende mangfoldighed og inklusion; bemærker, at der endvidere blev gennemført en række interne initiativer såsom et nyt karrierewebsted og en video om at arbejde i autoriteten med et særligt emne inden for mangfoldighed og inklusion;</w:t>
      </w:r>
    </w:p>
    <w:p w14:paraId="40190F0B" w14:textId="77777777" w:rsidR="00DA7AC3" w:rsidRPr="004E212E" w:rsidRDefault="00DA7AC3" w:rsidP="00DA7AC3">
      <w:pPr>
        <w:spacing w:after="240"/>
        <w:ind w:left="567" w:hanging="567"/>
        <w:rPr>
          <w:rFonts w:eastAsia="Calibri"/>
          <w:szCs w:val="24"/>
        </w:rPr>
      </w:pPr>
      <w:r w:rsidRPr="004E212E">
        <w:t>18.</w:t>
      </w:r>
      <w:r w:rsidRPr="004E212E">
        <w:tab/>
        <w:t>bemærker, at autoriteten har vedtaget "Guidelines for the Implementation of Aid for Persons with Disabilities" (Retningslinjer for gennemførelse af bistand til personer med handicap) til fremme af socialpolitik og ligebehandling på arbejdspladsen; bemærker endvidere, at autoritetens bygning er udformet i overensstemmelse med de italienske forordninger om tilgængelighed for personer med handicap;</w:t>
      </w:r>
    </w:p>
    <w:p w14:paraId="1C62E93F" w14:textId="77777777" w:rsidR="00DA7AC3" w:rsidRPr="004E212E" w:rsidRDefault="00DA7AC3" w:rsidP="00DA7AC3">
      <w:pPr>
        <w:spacing w:after="240"/>
        <w:ind w:left="567" w:hanging="567"/>
        <w:rPr>
          <w:rFonts w:eastAsia="Calibri"/>
          <w:szCs w:val="24"/>
        </w:rPr>
      </w:pPr>
      <w:r w:rsidRPr="004E212E">
        <w:t>19.</w:t>
      </w:r>
      <w:r w:rsidRPr="004E212E">
        <w:tab/>
        <w:t>bemærker, at der pr. 1. januar 2022 blev gennemført en ny organisationsstruktur til støtte for gennemførelsen af forordning (EU) 2019/1381 og ambitionerne i autoritetens strategi for 2027;</w:t>
      </w:r>
    </w:p>
    <w:p w14:paraId="199AE96F" w14:textId="77777777" w:rsidR="00DA7AC3" w:rsidRPr="004E212E" w:rsidRDefault="00DA7AC3" w:rsidP="00DA7AC3">
      <w:pPr>
        <w:spacing w:after="240"/>
        <w:ind w:left="567" w:hanging="567"/>
        <w:rPr>
          <w:b/>
          <w:i/>
          <w:szCs w:val="24"/>
        </w:rPr>
      </w:pPr>
      <w:r w:rsidRPr="004E212E">
        <w:rPr>
          <w:b/>
          <w:i/>
        </w:rPr>
        <w:t>Forebyggelse og håndtering af interessekonflikter samt gennemsigtighed</w:t>
      </w:r>
    </w:p>
    <w:p w14:paraId="66FA0F1A" w14:textId="77777777" w:rsidR="00DA7AC3" w:rsidRPr="004E212E" w:rsidRDefault="00DA7AC3" w:rsidP="00DA7AC3">
      <w:pPr>
        <w:spacing w:after="240"/>
        <w:ind w:left="567" w:hanging="567"/>
        <w:rPr>
          <w:rFonts w:eastAsia="Calibri"/>
          <w:szCs w:val="24"/>
        </w:rPr>
      </w:pPr>
      <w:r w:rsidRPr="004E212E">
        <w:t>20.</w:t>
      </w:r>
      <w:r w:rsidRPr="004E212E">
        <w:tab/>
        <w:t>bemærker, at autoritetens bestyrelse og operationelle ledelse har undertegnet en erklæring om interessekonflikter, og at den er offentliggjort og tilgængelig på webstedet; bemærker endvidere, at CV'erne for medlemmerne af og suppleanterne til bestyrelsen vil blive offentliggjort inden udgangen af 2023;</w:t>
      </w:r>
    </w:p>
    <w:p w14:paraId="22225919" w14:textId="77777777" w:rsidR="00DA7AC3" w:rsidRPr="004E212E" w:rsidRDefault="00DA7AC3" w:rsidP="00DA7AC3">
      <w:pPr>
        <w:spacing w:after="240"/>
        <w:ind w:left="567" w:hanging="567"/>
        <w:rPr>
          <w:rFonts w:eastAsia="Calibri"/>
          <w:szCs w:val="24"/>
        </w:rPr>
      </w:pPr>
      <w:r w:rsidRPr="004E212E">
        <w:t>21.</w:t>
      </w:r>
      <w:r w:rsidRPr="004E212E">
        <w:tab/>
        <w:t>bemærker, at autoriteten i 2022 afdækkede og behandlede syv interessekonflikter i de årlige interesseerklæringer vedrørende eksterne eksperter; bemærker, at autoriteten forhindrede dem i at deltage i den videnskabelige aktivitet;</w:t>
      </w:r>
    </w:p>
    <w:p w14:paraId="1AC0E934" w14:textId="77777777" w:rsidR="00DA7AC3" w:rsidRPr="004E212E" w:rsidRDefault="00DA7AC3" w:rsidP="00DA7AC3">
      <w:pPr>
        <w:spacing w:after="240"/>
        <w:ind w:left="567" w:hanging="567"/>
        <w:rPr>
          <w:rFonts w:eastAsia="Calibri"/>
          <w:szCs w:val="24"/>
        </w:rPr>
      </w:pPr>
      <w:r w:rsidRPr="004E212E">
        <w:t>22.</w:t>
      </w:r>
      <w:r w:rsidRPr="004E212E">
        <w:tab/>
        <w:t>anerkender, at autoriteten har indført en frivillig adfærdskodeks, i henhold til hvilken bestyrelsesmedlemmerne forpligter sig til at oplyse autoriteten om erhvervsmæssige aktiviteter, der udføres inden for to år efter udløbet af mandatet;</w:t>
      </w:r>
    </w:p>
    <w:p w14:paraId="75BF308D" w14:textId="77777777" w:rsidR="00DA7AC3" w:rsidRPr="004E212E" w:rsidRDefault="00DA7AC3" w:rsidP="00DA7AC3">
      <w:pPr>
        <w:spacing w:after="240"/>
        <w:ind w:left="567" w:hanging="567"/>
        <w:rPr>
          <w:rFonts w:eastAsia="Calibri"/>
          <w:szCs w:val="24"/>
        </w:rPr>
      </w:pPr>
      <w:r w:rsidRPr="004E212E">
        <w:t>23.</w:t>
      </w:r>
      <w:r w:rsidRPr="004E212E">
        <w:tab/>
        <w:t>noterer sig, at autoriteten planlægger at vedtage en ny standardprocedure efter fratrædelse senest i første kvartal af Q1/2024, som vil omfatte kriterierne og proceduren for at afbryde adgangen til fortrolige oplysninger for personale, der forlader tjenesten, overvågnings- og gennemførelseskrav samt gennemsigtighedsstandarder;</w:t>
      </w:r>
    </w:p>
    <w:p w14:paraId="42B6880F" w14:textId="77777777" w:rsidR="00DA7AC3" w:rsidRPr="004E212E" w:rsidRDefault="00DA7AC3" w:rsidP="00DA7AC3">
      <w:pPr>
        <w:spacing w:after="240"/>
        <w:ind w:left="567" w:hanging="567"/>
        <w:rPr>
          <w:rFonts w:eastAsia="Calibri"/>
          <w:szCs w:val="24"/>
        </w:rPr>
      </w:pPr>
      <w:r w:rsidRPr="004E212E">
        <w:t>24.</w:t>
      </w:r>
      <w:r w:rsidRPr="004E212E">
        <w:tab/>
        <w:t>bemærker, at autoriteten i tæt samarbejde med Det Europæiske Kontor for Bekæmpelse af Svig har udviklet og indført en strategi for bekæmpelse af svig, der er ledsaget af tilhørende gennemførelsesbestemmelser og en handlingsplan til forebyggelse af svig og korruption;</w:t>
      </w:r>
    </w:p>
    <w:p w14:paraId="6F8E8495" w14:textId="77777777" w:rsidR="00DA7AC3" w:rsidRPr="004E212E" w:rsidRDefault="00DA7AC3" w:rsidP="00DA7AC3">
      <w:pPr>
        <w:spacing w:after="240"/>
        <w:ind w:left="567" w:hanging="567"/>
        <w:rPr>
          <w:b/>
          <w:i/>
          <w:szCs w:val="24"/>
        </w:rPr>
      </w:pPr>
      <w:r w:rsidRPr="004E212E">
        <w:rPr>
          <w:b/>
          <w:i/>
        </w:rPr>
        <w:t>Øvrige bemærkninger</w:t>
      </w:r>
    </w:p>
    <w:p w14:paraId="49813FDD" w14:textId="77777777" w:rsidR="00DA7AC3" w:rsidRPr="004E212E" w:rsidRDefault="00DA7AC3" w:rsidP="00DA7AC3">
      <w:pPr>
        <w:spacing w:after="240"/>
        <w:ind w:left="567" w:hanging="567"/>
        <w:rPr>
          <w:szCs w:val="24"/>
        </w:rPr>
      </w:pPr>
      <w:r w:rsidRPr="004E212E">
        <w:t>25.</w:t>
      </w:r>
      <w:r w:rsidRPr="004E212E">
        <w:tab/>
        <w:t xml:space="preserve">bemærker, at Den Interne Revisionstjeneste (IAS) i juni 2022 udsendte revisionsrapporten om informationssikkerhed og katastrofeberedskab med det formål at vurdere tilstrækkeligheden af udformningen og gennemførelsen af forvaltningen og </w:t>
      </w:r>
      <w:r w:rsidRPr="004E212E">
        <w:lastRenderedPageBreak/>
        <w:t>udpegede to bemærkninger og tre vigtige bemærkninger om IT-sikkerhedsstyring; bemærker, at autoriteten accepterede IAS's henstillinger og i øjeblikket er i færd med at gennemføre en handlingsplan;</w:t>
      </w:r>
    </w:p>
    <w:p w14:paraId="7E7BE550" w14:textId="77777777" w:rsidR="00DA7AC3" w:rsidRPr="004E212E" w:rsidRDefault="00DA7AC3" w:rsidP="00DA7AC3">
      <w:pPr>
        <w:pStyle w:val="NormalHanging12a"/>
      </w:pPr>
      <w:r w:rsidRPr="004E212E">
        <w:t>26.</w:t>
      </w:r>
      <w:r w:rsidRPr="004E212E">
        <w:tab/>
        <w:t>glæder sig over autoritetens bestræbelser på at øge sin synlighed i offentligheden og sin onlinetilstedeværelse ved for andet år i træk at lancere kampagnen "#EUChooseSafeFood", der blev gennemført i partnerskab med medlemsstaternes kompetente myndigheder, med det formål at forklare videnskaben bag fødevaresikkerhed i Unionen på en tilgængelig måde, samt over tilrettelæggelsen af "ONE Conference – Health, Environment, Society", som skete i samarbejde med de øvrige fire ENVI-agenturer, og som førte til lanceringen af en fælles profil på Instagram med navnet "one health-one environment"; bemærker endvidere, at autoriteten investerede i at gøre sit websted flersproget med kunstig intelligens via Kommissionens eTranslation-widget; bemærker endvidere, at autoriteten i 2022 fortsatte med at investere i udviklingen af sin "OpenEFSA"-portal i overensstemmelse med kravene i forordning (EU) 2019/1381;</w:t>
      </w:r>
    </w:p>
    <w:p w14:paraId="72191AB5" w14:textId="77777777" w:rsidR="00DA7AC3" w:rsidRPr="004E212E" w:rsidRDefault="00DA7AC3" w:rsidP="00DA7AC3">
      <w:pPr>
        <w:spacing w:after="240"/>
        <w:ind w:left="567" w:hanging="567"/>
        <w:rPr>
          <w:rFonts w:eastAsia="Calibri"/>
          <w:szCs w:val="24"/>
        </w:rPr>
      </w:pPr>
      <w:r w:rsidRPr="004E212E">
        <w:t>27.</w:t>
      </w:r>
      <w:r w:rsidRPr="004E212E">
        <w:tab/>
        <w:t>glæder sig over, at autoriteten i de seneste år har været et af de EMAS-certificerede agenturer; noterer sig, at autoriteten afhængigt af indkøbstypen anvender standarder for grønne offentlige indkøb som mindstekrav til udbudsspecifikationer i sine udvælgelses- og/eller tildelingskriterier;</w:t>
      </w:r>
    </w:p>
    <w:p w14:paraId="48227A47" w14:textId="77777777" w:rsidR="00DA7AC3" w:rsidRPr="004E212E" w:rsidRDefault="00DA7AC3" w:rsidP="00DA7AC3">
      <w:pPr>
        <w:spacing w:after="240"/>
        <w:jc w:val="center"/>
      </w:pPr>
      <w:r w:rsidRPr="004E212E">
        <w:t>°</w:t>
      </w:r>
    </w:p>
    <w:p w14:paraId="6DB9DE9D" w14:textId="77777777" w:rsidR="00DA7AC3" w:rsidRPr="004E212E" w:rsidRDefault="00DA7AC3" w:rsidP="00DA7AC3">
      <w:pPr>
        <w:pStyle w:val="NormalCenter12a"/>
      </w:pPr>
      <w:r w:rsidRPr="004E212E">
        <w:t>°</w:t>
      </w:r>
      <w:r w:rsidRPr="004E212E">
        <w:tab/>
        <w:t>°</w:t>
      </w:r>
    </w:p>
    <w:p w14:paraId="0E9E31A9" w14:textId="7B40B548" w:rsidR="00E365E1" w:rsidRPr="004E212E" w:rsidRDefault="00DA7AC3" w:rsidP="00014D1E">
      <w:pPr>
        <w:widowControl/>
        <w:spacing w:after="240"/>
        <w:ind w:left="567" w:hanging="567"/>
      </w:pPr>
      <w:r w:rsidRPr="004E212E">
        <w:t>28.</w:t>
      </w:r>
      <w:r w:rsidRPr="004E212E">
        <w:tab/>
        <w:t xml:space="preserve">henviser med hensyn til de øvrige bemærkninger, der ledsager dechargeafgørelsen, og som er af horisontal karakter, til sin beslutning af </w:t>
      </w:r>
      <w:r w:rsidR="00687FDC">
        <w:t>11. april 2024</w:t>
      </w:r>
      <w:bookmarkStart w:id="8" w:name="_GoBack"/>
      <w:bookmarkEnd w:id="8"/>
      <w:r w:rsidRPr="004E212E">
        <w:rPr>
          <w:rStyle w:val="FootnoteReference"/>
        </w:rPr>
        <w:footnoteReference w:id="13"/>
      </w:r>
      <w:r w:rsidRPr="004E212E">
        <w:t xml:space="preserve"> om agenturernes resultater, økonomiske forvaltning og kontrol.</w:t>
      </w:r>
      <w:bookmarkStart w:id="9" w:name="TextBodyEnd"/>
      <w:bookmarkEnd w:id="9"/>
    </w:p>
    <w:sectPr w:rsidR="00E365E1" w:rsidRPr="004E212E" w:rsidSect="004E212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A9F0D" w14:textId="77777777" w:rsidR="005815D4" w:rsidRPr="004E212E" w:rsidRDefault="005815D4">
      <w:r w:rsidRPr="004E212E">
        <w:separator/>
      </w:r>
    </w:p>
  </w:endnote>
  <w:endnote w:type="continuationSeparator" w:id="0">
    <w:p w14:paraId="394822F6" w14:textId="77777777" w:rsidR="005815D4" w:rsidRPr="004E212E" w:rsidRDefault="005815D4">
      <w:r w:rsidRPr="004E21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D6E3E" w14:textId="77777777" w:rsidR="00DA7AC3" w:rsidRPr="004E212E" w:rsidRDefault="00DA7AC3" w:rsidP="00ED1991">
    <w:pPr>
      <w:pStyle w:val="EPFooter"/>
    </w:pPr>
    <w:r w:rsidRPr="004E212E">
      <w:t>PE</w:t>
    </w:r>
    <w:r w:rsidRPr="004E212E">
      <w:rPr>
        <w:rStyle w:val="HideTWBExt"/>
      </w:rPr>
      <w:t>&lt;NoPE&gt;</w:t>
    </w:r>
    <w:r w:rsidRPr="004E212E">
      <w:t>753.519</w:t>
    </w:r>
    <w:r w:rsidRPr="004E212E">
      <w:rPr>
        <w:rStyle w:val="HideTWBExt"/>
      </w:rPr>
      <w:t>&lt;/NoPE&gt;&lt;Version&gt;</w:t>
    </w:r>
    <w:r w:rsidRPr="004E212E">
      <w:t>v03-00</w:t>
    </w:r>
    <w:r w:rsidRPr="004E212E">
      <w:rPr>
        <w:rStyle w:val="HideTWBExt"/>
      </w:rPr>
      <w:t>&lt;/Version&gt;</w:t>
    </w:r>
    <w:r w:rsidRPr="004E212E">
      <w:tab/>
    </w:r>
    <w:r w:rsidRPr="004E212E">
      <w:fldChar w:fldCharType="begin"/>
    </w:r>
    <w:r w:rsidRPr="004E212E">
      <w:instrText xml:space="preserve"> PAGE  \* MERGEFORMAT </w:instrText>
    </w:r>
    <w:r w:rsidRPr="004E212E">
      <w:fldChar w:fldCharType="separate"/>
    </w:r>
    <w:r w:rsidR="004E212E" w:rsidRPr="004E212E">
      <w:rPr>
        <w:noProof/>
      </w:rPr>
      <w:t>2</w:t>
    </w:r>
    <w:r w:rsidRPr="004E212E">
      <w:fldChar w:fldCharType="end"/>
    </w:r>
    <w:r w:rsidRPr="004E212E">
      <w:t>/</w:t>
    </w:r>
    <w:r w:rsidR="00130CE5">
      <w:fldChar w:fldCharType="begin"/>
    </w:r>
    <w:r w:rsidR="00130CE5">
      <w:instrText xml:space="preserve"> NUMPAGES  \* MERGEFORMAT </w:instrText>
    </w:r>
    <w:r w:rsidR="00130CE5">
      <w:fldChar w:fldCharType="separate"/>
    </w:r>
    <w:r w:rsidR="004E212E" w:rsidRPr="004E212E">
      <w:rPr>
        <w:noProof/>
      </w:rPr>
      <w:t>4</w:t>
    </w:r>
    <w:r w:rsidR="00130CE5">
      <w:rPr>
        <w:noProof/>
      </w:rPr>
      <w:fldChar w:fldCharType="end"/>
    </w:r>
    <w:r w:rsidRPr="004E212E">
      <w:tab/>
    </w:r>
    <w:r w:rsidRPr="004E212E">
      <w:rPr>
        <w:rStyle w:val="HideTWBExt"/>
      </w:rPr>
      <w:t>&lt;PathFdR&gt;</w:t>
    </w:r>
    <w:r w:rsidRPr="004E212E">
      <w:t>RR\1299220DA.docx</w:t>
    </w:r>
    <w:r w:rsidRPr="004E212E">
      <w:rPr>
        <w:rStyle w:val="HideTWBExt"/>
      </w:rPr>
      <w:t>&lt;/PathFdR&gt;</w:t>
    </w:r>
  </w:p>
  <w:p w14:paraId="2E4B2993" w14:textId="77777777" w:rsidR="00DA7AC3" w:rsidRPr="004E212E" w:rsidRDefault="00DA7AC3" w:rsidP="00ED1991">
    <w:pPr>
      <w:pStyle w:val="EPFooter2"/>
    </w:pPr>
    <w:r w:rsidRPr="004E212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E0B4" w14:textId="77777777" w:rsidR="00DA7AC3" w:rsidRPr="004E212E" w:rsidRDefault="00DA7AC3" w:rsidP="00ED199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98AAF" w14:textId="77777777" w:rsidR="00DA7AC3" w:rsidRPr="004E212E" w:rsidRDefault="00DA7AC3" w:rsidP="00ED1991">
    <w:pPr>
      <w:pStyle w:val="EPFooter"/>
    </w:pPr>
    <w:r w:rsidRPr="004E212E">
      <w:rPr>
        <w:rStyle w:val="HideTWBExt"/>
      </w:rPr>
      <w:t>&lt;PathFdR&gt;</w:t>
    </w:r>
    <w:r w:rsidRPr="004E212E">
      <w:t>RR\1299220DA.docx</w:t>
    </w:r>
    <w:r w:rsidRPr="004E212E">
      <w:rPr>
        <w:rStyle w:val="HideTWBExt"/>
      </w:rPr>
      <w:t>&lt;/PathFdR&gt;</w:t>
    </w:r>
    <w:r w:rsidRPr="004E212E">
      <w:tab/>
    </w:r>
    <w:r w:rsidRPr="004E212E">
      <w:tab/>
      <w:t>PE</w:t>
    </w:r>
    <w:r w:rsidRPr="004E212E">
      <w:rPr>
        <w:rStyle w:val="HideTWBExt"/>
      </w:rPr>
      <w:t>&lt;NoPE&gt;</w:t>
    </w:r>
    <w:r w:rsidRPr="004E212E">
      <w:t>753.519</w:t>
    </w:r>
    <w:r w:rsidRPr="004E212E">
      <w:rPr>
        <w:rStyle w:val="HideTWBExt"/>
      </w:rPr>
      <w:t>&lt;/NoPE&gt;&lt;Version&gt;</w:t>
    </w:r>
    <w:r w:rsidRPr="004E212E">
      <w:t>v03-00</w:t>
    </w:r>
    <w:r w:rsidRPr="004E212E">
      <w:rPr>
        <w:rStyle w:val="HideTWBExt"/>
      </w:rPr>
      <w:t>&lt;/Version&gt;</w:t>
    </w:r>
  </w:p>
  <w:p w14:paraId="6C2A296C" w14:textId="77777777" w:rsidR="00DA7AC3" w:rsidRPr="004E212E" w:rsidRDefault="00DA7AC3" w:rsidP="00ED1991">
    <w:pPr>
      <w:pStyle w:val="EPFooter2"/>
    </w:pPr>
    <w:r w:rsidRPr="004E212E">
      <w:t>DA</w:t>
    </w:r>
    <w:r w:rsidRPr="004E212E">
      <w:tab/>
    </w:r>
    <w:r w:rsidRPr="004E212E">
      <w:rPr>
        <w:b w:val="0"/>
        <w:i/>
        <w:color w:val="C0C0C0"/>
        <w:sz w:val="22"/>
      </w:rPr>
      <w:t>Forenet i mangfoldighed</w:t>
    </w:r>
    <w:r w:rsidRPr="004E212E">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0C98E" w14:textId="77777777" w:rsidR="00064002" w:rsidRPr="004E212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0F23" w14:textId="77777777" w:rsidR="00064002" w:rsidRPr="004E212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64EB3" w14:textId="77777777" w:rsidR="00064002" w:rsidRPr="004E21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61BE4" w14:textId="77777777" w:rsidR="005815D4" w:rsidRPr="004E212E" w:rsidRDefault="005815D4">
      <w:r w:rsidRPr="004E212E">
        <w:separator/>
      </w:r>
    </w:p>
  </w:footnote>
  <w:footnote w:type="continuationSeparator" w:id="0">
    <w:p w14:paraId="705B2746" w14:textId="77777777" w:rsidR="005815D4" w:rsidRPr="004E212E" w:rsidRDefault="005815D4">
      <w:r w:rsidRPr="004E212E">
        <w:continuationSeparator/>
      </w:r>
    </w:p>
  </w:footnote>
  <w:footnote w:id="1">
    <w:p w14:paraId="5D4DAF9C" w14:textId="77777777" w:rsidR="00DA7AC3" w:rsidRPr="0067307A" w:rsidRDefault="00DA7AC3" w:rsidP="004E212E">
      <w:pPr>
        <w:pStyle w:val="FootnoteText"/>
        <w:ind w:left="567" w:hanging="567"/>
        <w:rPr>
          <w:sz w:val="24"/>
        </w:rPr>
      </w:pPr>
      <w:r w:rsidRPr="004E212E">
        <w:rPr>
          <w:rStyle w:val="FootnoteReference"/>
          <w:sz w:val="24"/>
          <w:lang w:val="da-DK"/>
        </w:rPr>
        <w:footnoteRef/>
      </w:r>
      <w:r w:rsidR="004E212E" w:rsidRPr="0067307A">
        <w:rPr>
          <w:sz w:val="24"/>
        </w:rPr>
        <w:t xml:space="preserve"> </w:t>
      </w:r>
      <w:r w:rsidR="004E212E" w:rsidRPr="0067307A">
        <w:rPr>
          <w:sz w:val="24"/>
        </w:rPr>
        <w:tab/>
      </w:r>
      <w:r w:rsidRPr="0067307A">
        <w:rPr>
          <w:sz w:val="24"/>
        </w:rPr>
        <w:t>EUT C, C/2023/594, 27.10 2023.</w:t>
      </w:r>
    </w:p>
  </w:footnote>
  <w:footnote w:id="2">
    <w:p w14:paraId="0856E831" w14:textId="77777777" w:rsidR="00DA7AC3" w:rsidRPr="0067307A" w:rsidRDefault="00DA7AC3" w:rsidP="004E212E">
      <w:pPr>
        <w:pStyle w:val="FootnoteText"/>
        <w:ind w:left="567" w:hanging="567"/>
        <w:rPr>
          <w:sz w:val="24"/>
        </w:rPr>
      </w:pPr>
      <w:r w:rsidRPr="004E212E">
        <w:rPr>
          <w:rStyle w:val="FootnoteReference"/>
          <w:sz w:val="24"/>
          <w:lang w:val="da-DK"/>
        </w:rPr>
        <w:footnoteRef/>
      </w:r>
      <w:r w:rsidR="004E212E" w:rsidRPr="0067307A">
        <w:rPr>
          <w:sz w:val="24"/>
        </w:rPr>
        <w:t xml:space="preserve"> </w:t>
      </w:r>
      <w:r w:rsidR="004E212E" w:rsidRPr="0067307A">
        <w:rPr>
          <w:sz w:val="24"/>
        </w:rPr>
        <w:tab/>
      </w:r>
      <w:r w:rsidRPr="0067307A">
        <w:rPr>
          <w:sz w:val="24"/>
        </w:rPr>
        <w:t>EUT C, C/2023/112, 12.10 2023.</w:t>
      </w:r>
    </w:p>
  </w:footnote>
  <w:footnote w:id="3">
    <w:p w14:paraId="091649B0" w14:textId="77777777" w:rsidR="00DA7AC3" w:rsidRPr="004E212E" w:rsidRDefault="00DA7AC3" w:rsidP="004E212E">
      <w:pPr>
        <w:pStyle w:val="FootnoteText"/>
        <w:ind w:left="567" w:hanging="567"/>
        <w:rPr>
          <w:sz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EUT L 193 af 30.7.2018, s. 1.</w:t>
      </w:r>
    </w:p>
  </w:footnote>
  <w:footnote w:id="4">
    <w:p w14:paraId="3715AD05" w14:textId="77777777" w:rsidR="00DA7AC3" w:rsidRPr="004E212E" w:rsidRDefault="00DA7AC3" w:rsidP="004E212E">
      <w:pPr>
        <w:pStyle w:val="FootnoteText"/>
        <w:ind w:left="567" w:hanging="567"/>
        <w:rPr>
          <w:sz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EFT L 31 af 1.2.2002, s. 1.</w:t>
      </w:r>
    </w:p>
  </w:footnote>
  <w:footnote w:id="5">
    <w:p w14:paraId="559B689D" w14:textId="77777777" w:rsidR="00DA7AC3" w:rsidRPr="004E212E" w:rsidRDefault="00DA7AC3" w:rsidP="004E212E">
      <w:pPr>
        <w:pStyle w:val="FootnoteText"/>
        <w:ind w:left="567" w:hanging="567"/>
        <w:rPr>
          <w:sz w:val="24"/>
          <w:szCs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EUT L 122 af 10.5.2019, s. 1.</w:t>
      </w:r>
    </w:p>
  </w:footnote>
  <w:footnote w:id="6">
    <w:p w14:paraId="46093A08" w14:textId="77777777" w:rsidR="00DA7AC3" w:rsidRPr="004E212E" w:rsidRDefault="00DA7AC3" w:rsidP="004E212E">
      <w:pPr>
        <w:pStyle w:val="FootnoteText"/>
        <w:ind w:left="567" w:hanging="567"/>
        <w:rPr>
          <w:sz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EUT C, C/2023/594, 27.10 2023.</w:t>
      </w:r>
    </w:p>
  </w:footnote>
  <w:footnote w:id="7">
    <w:p w14:paraId="6B042D6E" w14:textId="77777777" w:rsidR="00DA7AC3" w:rsidRPr="0067307A" w:rsidRDefault="00DA7AC3" w:rsidP="004E212E">
      <w:pPr>
        <w:pStyle w:val="FootnoteText"/>
        <w:ind w:left="567" w:hanging="567"/>
        <w:rPr>
          <w:sz w:val="24"/>
        </w:rPr>
      </w:pPr>
      <w:r w:rsidRPr="004E212E">
        <w:rPr>
          <w:rStyle w:val="FootnoteReference"/>
          <w:sz w:val="24"/>
          <w:lang w:val="da-DK"/>
        </w:rPr>
        <w:footnoteRef/>
      </w:r>
      <w:r w:rsidR="004E212E" w:rsidRPr="0067307A">
        <w:rPr>
          <w:sz w:val="24"/>
        </w:rPr>
        <w:t xml:space="preserve"> </w:t>
      </w:r>
      <w:r w:rsidR="004E212E" w:rsidRPr="0067307A">
        <w:rPr>
          <w:sz w:val="24"/>
        </w:rPr>
        <w:tab/>
      </w:r>
      <w:r w:rsidRPr="0067307A">
        <w:rPr>
          <w:sz w:val="24"/>
        </w:rPr>
        <w:t>EUT C, C/2023/112, 12.10 2023.</w:t>
      </w:r>
    </w:p>
  </w:footnote>
  <w:footnote w:id="8">
    <w:p w14:paraId="1A4FBDB7" w14:textId="77777777" w:rsidR="00DA7AC3" w:rsidRPr="0067307A" w:rsidRDefault="00DA7AC3" w:rsidP="004E212E">
      <w:pPr>
        <w:pStyle w:val="FootnoteText"/>
        <w:ind w:left="567" w:hanging="567"/>
        <w:rPr>
          <w:sz w:val="24"/>
        </w:rPr>
      </w:pPr>
      <w:r w:rsidRPr="004E212E">
        <w:rPr>
          <w:rStyle w:val="FootnoteReference"/>
          <w:sz w:val="24"/>
          <w:lang w:val="da-DK"/>
        </w:rPr>
        <w:footnoteRef/>
      </w:r>
      <w:r w:rsidR="004E212E" w:rsidRPr="0067307A">
        <w:rPr>
          <w:sz w:val="24"/>
        </w:rPr>
        <w:t xml:space="preserve"> </w:t>
      </w:r>
      <w:r w:rsidR="004E212E" w:rsidRPr="0067307A">
        <w:rPr>
          <w:sz w:val="24"/>
        </w:rPr>
        <w:tab/>
      </w:r>
      <w:r w:rsidRPr="0067307A">
        <w:rPr>
          <w:sz w:val="24"/>
        </w:rPr>
        <w:t>EUT L 193 af 30.7.2018, s. 1.</w:t>
      </w:r>
    </w:p>
  </w:footnote>
  <w:footnote w:id="9">
    <w:p w14:paraId="002DC690" w14:textId="77777777" w:rsidR="00DA7AC3" w:rsidRPr="004E212E" w:rsidRDefault="00DA7AC3" w:rsidP="004E212E">
      <w:pPr>
        <w:pStyle w:val="FootnoteText"/>
        <w:ind w:left="567" w:hanging="567"/>
        <w:rPr>
          <w:sz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EFT L 31 af 1.2.2002, s. 1.</w:t>
      </w:r>
    </w:p>
  </w:footnote>
  <w:footnote w:id="10">
    <w:p w14:paraId="772734D0" w14:textId="77777777" w:rsidR="00DA7AC3" w:rsidRPr="004E212E" w:rsidRDefault="00DA7AC3" w:rsidP="004E212E">
      <w:pPr>
        <w:pStyle w:val="FootnoteText"/>
        <w:ind w:left="567" w:hanging="567"/>
        <w:rPr>
          <w:sz w:val="24"/>
          <w:szCs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EUT L 122 af 10.5.2019, s. 1.</w:t>
      </w:r>
    </w:p>
  </w:footnote>
  <w:footnote w:id="11">
    <w:p w14:paraId="3621F9BD" w14:textId="0E55BAC3" w:rsidR="00DA7AC3" w:rsidRPr="004E212E" w:rsidRDefault="00DA7AC3" w:rsidP="004E212E">
      <w:pPr>
        <w:pStyle w:val="FootnoteText"/>
        <w:ind w:left="567" w:hanging="567"/>
        <w:rPr>
          <w:rFonts w:eastAsia="Calibri"/>
          <w:sz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 xml:space="preserve">EUT C 178 af </w:t>
      </w:r>
      <w:r w:rsidR="00AA728A">
        <w:rPr>
          <w:sz w:val="24"/>
          <w:lang w:val="da-DK"/>
        </w:rPr>
        <w:t>29.4.2022</w:t>
      </w:r>
      <w:r w:rsidRPr="004E212E">
        <w:rPr>
          <w:sz w:val="24"/>
          <w:lang w:val="da-DK"/>
        </w:rPr>
        <w:t>, s. 1.</w:t>
      </w:r>
    </w:p>
  </w:footnote>
  <w:footnote w:id="12">
    <w:p w14:paraId="5076985B" w14:textId="77777777" w:rsidR="00DA7AC3" w:rsidRPr="004E212E" w:rsidRDefault="00DA7AC3" w:rsidP="004E212E">
      <w:pPr>
        <w:pStyle w:val="FootnoteText"/>
        <w:ind w:left="567" w:hanging="567"/>
        <w:rPr>
          <w:sz w:val="24"/>
          <w:lang w:val="da-DK"/>
        </w:rPr>
      </w:pPr>
      <w:r w:rsidRPr="004E212E">
        <w:rPr>
          <w:rStyle w:val="FootnoteReference"/>
          <w:sz w:val="24"/>
          <w:lang w:val="da-DK"/>
        </w:rPr>
        <w:footnoteRef/>
      </w:r>
      <w:r w:rsidR="004E212E" w:rsidRPr="004E212E">
        <w:rPr>
          <w:sz w:val="24"/>
          <w:lang w:val="da-DK"/>
        </w:rPr>
        <w:t xml:space="preserve"> </w:t>
      </w:r>
      <w:r w:rsidR="004E212E" w:rsidRPr="004E212E">
        <w:rPr>
          <w:sz w:val="24"/>
          <w:lang w:val="da-DK"/>
        </w:rPr>
        <w:tab/>
      </w:r>
      <w:r w:rsidRPr="004E212E">
        <w:rPr>
          <w:sz w:val="24"/>
          <w:lang w:val="da-DK"/>
        </w:rPr>
        <w:t>Europa-Parlamentets og Rådets forordning (EU) 2019/1381 af 20. juni 2019 om åbenhed og bæredygtighed i EU's risikovurdering i fødevarekæden og om ændring af forordning (EF) nr. 178/2002, (EF) nr. 1829/2003, (EF) nr. 1831/2003, (EF) nr. 2065/2003, (EF) nr. 1935/2004, (EF) nr. 1331/2008, (EF) nr. 1107/2009, (EU) 2015/2283 og direktiv 2001/18/EF (EUT L 231 af 6.9.2019, s. 1).</w:t>
      </w:r>
    </w:p>
  </w:footnote>
  <w:footnote w:id="13">
    <w:p w14:paraId="70BFCCF2" w14:textId="00950359" w:rsidR="00DA7AC3" w:rsidRPr="004E212E" w:rsidRDefault="00DA7AC3" w:rsidP="004E212E">
      <w:pPr>
        <w:pStyle w:val="FootnoteText"/>
        <w:ind w:left="567" w:hanging="567"/>
        <w:rPr>
          <w:sz w:val="24"/>
          <w:szCs w:val="24"/>
          <w:lang w:val="da-DK"/>
        </w:rPr>
      </w:pPr>
      <w:r w:rsidRPr="004E212E">
        <w:rPr>
          <w:rStyle w:val="FootnoteReference"/>
          <w:sz w:val="24"/>
          <w:szCs w:val="24"/>
          <w:lang w:val="da-DK"/>
        </w:rPr>
        <w:footnoteRef/>
      </w:r>
      <w:r w:rsidR="004E212E" w:rsidRPr="004E212E">
        <w:rPr>
          <w:sz w:val="24"/>
          <w:lang w:val="da-DK"/>
        </w:rPr>
        <w:t xml:space="preserve"> </w:t>
      </w:r>
      <w:r w:rsidR="004E212E" w:rsidRPr="004E212E">
        <w:rPr>
          <w:sz w:val="24"/>
          <w:lang w:val="da-DK"/>
        </w:rPr>
        <w:tab/>
      </w:r>
      <w:r w:rsidRPr="004E212E">
        <w:rPr>
          <w:sz w:val="24"/>
          <w:lang w:val="da-DK"/>
        </w:rPr>
        <w:t>Vedtagne tekster, P9_TA(2024)0</w:t>
      </w:r>
      <w:r w:rsidR="00EC0F3D">
        <w:rPr>
          <w:sz w:val="24"/>
          <w:lang w:val="da-DK"/>
        </w:rPr>
        <w:t>280</w:t>
      </w:r>
      <w:r w:rsidRPr="004E212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9556D" w14:textId="77777777" w:rsidR="00DA7AC3" w:rsidRPr="004E212E" w:rsidRDefault="00DA7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51EE8" w14:textId="77777777" w:rsidR="00DA7AC3" w:rsidRPr="004E212E" w:rsidRDefault="00DA7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0788" w14:textId="77777777" w:rsidR="00DA7AC3" w:rsidRPr="004E212E" w:rsidRDefault="00DA7A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90BE" w14:textId="77777777" w:rsidR="00064002" w:rsidRPr="004E212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DC920" w14:textId="77777777" w:rsidR="00064002" w:rsidRPr="004E212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7B2C" w14:textId="77777777" w:rsidR="00064002" w:rsidRPr="004E21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DA"/>
    <w:docVar w:name="dvnumam" w:val="0"/>
    <w:docVar w:name="dvpe" w:val="753.519"/>
    <w:docVar w:name="dvrapporteur" w:val="Ordfører: "/>
    <w:docVar w:name="dvtitre" w:val="Europa-Parlamentets afgørelse af xx.xx 2024 om decharge for gennemførelsen af budgettet for Den Europæiske Fødevaresikkerhedsautoritet for regnskabsåret 2022(2023/2151(DEC))"/>
  </w:docVars>
  <w:rsids>
    <w:rsidRoot w:val="005815D4"/>
    <w:rsid w:val="00002272"/>
    <w:rsid w:val="00014D1E"/>
    <w:rsid w:val="000536CD"/>
    <w:rsid w:val="00064002"/>
    <w:rsid w:val="000677B9"/>
    <w:rsid w:val="000831BA"/>
    <w:rsid w:val="000A42CC"/>
    <w:rsid w:val="000E7DD9"/>
    <w:rsid w:val="0010095E"/>
    <w:rsid w:val="00125B37"/>
    <w:rsid w:val="00130CE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12E"/>
    <w:rsid w:val="0050519A"/>
    <w:rsid w:val="005072A1"/>
    <w:rsid w:val="00514517"/>
    <w:rsid w:val="00545827"/>
    <w:rsid w:val="00560270"/>
    <w:rsid w:val="005815D4"/>
    <w:rsid w:val="005C2568"/>
    <w:rsid w:val="006037C0"/>
    <w:rsid w:val="006631B6"/>
    <w:rsid w:val="0067307A"/>
    <w:rsid w:val="00680577"/>
    <w:rsid w:val="00687FD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28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4D7"/>
    <w:rsid w:val="00CF071A"/>
    <w:rsid w:val="00D058B8"/>
    <w:rsid w:val="00D50D7C"/>
    <w:rsid w:val="00D56C11"/>
    <w:rsid w:val="00D834A0"/>
    <w:rsid w:val="00D872DF"/>
    <w:rsid w:val="00D91E21"/>
    <w:rsid w:val="00DA7AC3"/>
    <w:rsid w:val="00DA7FCD"/>
    <w:rsid w:val="00E365E1"/>
    <w:rsid w:val="00E820A4"/>
    <w:rsid w:val="00EB006A"/>
    <w:rsid w:val="00EB4772"/>
    <w:rsid w:val="00EC0F3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4E50D"/>
  <w15:chartTrackingRefBased/>
  <w15:docId w15:val="{99EC9BFF-223F-4CCD-B102-205765EC5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7AC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A7AC3"/>
    <w:pPr>
      <w:spacing w:before="480" w:after="240"/>
    </w:pPr>
  </w:style>
  <w:style w:type="paragraph" w:customStyle="1" w:styleId="PageHeading">
    <w:name w:val="PageHeading"/>
    <w:basedOn w:val="Normal"/>
    <w:rsid w:val="00DA7AC3"/>
    <w:pPr>
      <w:keepNext/>
      <w:spacing w:after="480"/>
      <w:jc w:val="center"/>
    </w:pPr>
    <w:rPr>
      <w:rFonts w:ascii="Arial" w:hAnsi="Arial" w:cs="Arial"/>
      <w:b/>
    </w:rPr>
  </w:style>
  <w:style w:type="paragraph" w:customStyle="1" w:styleId="NormalBold">
    <w:name w:val="NormalBold"/>
    <w:basedOn w:val="Normal"/>
    <w:rsid w:val="00DA7AC3"/>
    <w:rPr>
      <w:b/>
    </w:rPr>
  </w:style>
  <w:style w:type="paragraph" w:customStyle="1" w:styleId="NormalHanging12a">
    <w:name w:val="NormalHanging12a"/>
    <w:basedOn w:val="Normal"/>
    <w:link w:val="NormalHanging12aChar"/>
    <w:rsid w:val="00DA7AC3"/>
    <w:pPr>
      <w:spacing w:after="240"/>
      <w:ind w:left="567" w:hanging="567"/>
    </w:pPr>
  </w:style>
  <w:style w:type="paragraph" w:customStyle="1" w:styleId="NormalCenter12a">
    <w:name w:val="NormalCenter12a"/>
    <w:basedOn w:val="Normal"/>
    <w:rsid w:val="00DA7AC3"/>
    <w:pPr>
      <w:spacing w:after="240"/>
      <w:jc w:val="center"/>
    </w:pPr>
  </w:style>
  <w:style w:type="paragraph" w:styleId="Header">
    <w:name w:val="header"/>
    <w:basedOn w:val="Normal"/>
    <w:link w:val="HeaderChar"/>
    <w:rsid w:val="00DA7AC3"/>
    <w:pPr>
      <w:tabs>
        <w:tab w:val="center" w:pos="4513"/>
        <w:tab w:val="right" w:pos="9026"/>
      </w:tabs>
    </w:pPr>
  </w:style>
  <w:style w:type="character" w:customStyle="1" w:styleId="HeaderChar">
    <w:name w:val="Header Char"/>
    <w:basedOn w:val="DefaultParagraphFont"/>
    <w:link w:val="Header"/>
    <w:rsid w:val="00DA7AC3"/>
    <w:rPr>
      <w:sz w:val="24"/>
      <w:lang w:val="da-DK"/>
    </w:rPr>
  </w:style>
  <w:style w:type="paragraph" w:customStyle="1" w:styleId="EPFooter">
    <w:name w:val="EPFooter"/>
    <w:basedOn w:val="Normal"/>
    <w:rsid w:val="00DA7AC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A7AC3"/>
    <w:rPr>
      <w:sz w:val="24"/>
      <w:lang w:val="da-DK"/>
    </w:rPr>
  </w:style>
  <w:style w:type="paragraph" w:styleId="BalloonText">
    <w:name w:val="Balloon Text"/>
    <w:basedOn w:val="Normal"/>
    <w:link w:val="BalloonTextChar"/>
    <w:rsid w:val="00D50D7C"/>
    <w:rPr>
      <w:rFonts w:ascii="Segoe UI" w:hAnsi="Segoe UI" w:cs="Segoe UI"/>
      <w:sz w:val="18"/>
      <w:szCs w:val="18"/>
    </w:rPr>
  </w:style>
  <w:style w:type="character" w:customStyle="1" w:styleId="BalloonTextChar">
    <w:name w:val="Balloon Text Char"/>
    <w:basedOn w:val="DefaultParagraphFont"/>
    <w:link w:val="BalloonText"/>
    <w:rsid w:val="00D50D7C"/>
    <w:rPr>
      <w:rFonts w:ascii="Segoe UI" w:hAnsi="Segoe UI" w:cs="Segoe UI"/>
      <w:sz w:val="18"/>
      <w:szCs w:val="18"/>
      <w:lang w:val="da-DK"/>
    </w:rPr>
  </w:style>
  <w:style w:type="character" w:styleId="CommentReference">
    <w:name w:val="annotation reference"/>
    <w:basedOn w:val="DefaultParagraphFont"/>
    <w:rsid w:val="00CF04D7"/>
    <w:rPr>
      <w:sz w:val="16"/>
      <w:szCs w:val="16"/>
    </w:rPr>
  </w:style>
  <w:style w:type="paragraph" w:styleId="CommentText">
    <w:name w:val="annotation text"/>
    <w:basedOn w:val="Normal"/>
    <w:link w:val="CommentTextChar"/>
    <w:rsid w:val="00CF04D7"/>
    <w:rPr>
      <w:sz w:val="20"/>
    </w:rPr>
  </w:style>
  <w:style w:type="character" w:customStyle="1" w:styleId="CommentTextChar">
    <w:name w:val="Comment Text Char"/>
    <w:basedOn w:val="DefaultParagraphFont"/>
    <w:link w:val="CommentText"/>
    <w:rsid w:val="00CF04D7"/>
    <w:rPr>
      <w:lang w:val="da-DK"/>
    </w:rPr>
  </w:style>
  <w:style w:type="paragraph" w:styleId="CommentSubject">
    <w:name w:val="annotation subject"/>
    <w:basedOn w:val="CommentText"/>
    <w:next w:val="CommentText"/>
    <w:link w:val="CommentSubjectChar"/>
    <w:rsid w:val="00CF04D7"/>
    <w:rPr>
      <w:b/>
      <w:bCs/>
    </w:rPr>
  </w:style>
  <w:style w:type="character" w:customStyle="1" w:styleId="CommentSubjectChar">
    <w:name w:val="Comment Subject Char"/>
    <w:basedOn w:val="CommentTextChar"/>
    <w:link w:val="CommentSubject"/>
    <w:rsid w:val="00CF04D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AA5BA-BED8-4B9E-B8B7-CCF84F8D1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2546</Words>
  <Characters>16480</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2024-04-11T15:15:00Z</dcterms:created>
  <dcterms:modified xsi:type="dcterms:W3CDTF">2024-04-11T15:15:00Z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A9-0129/2024</vt:lpwstr>
  </property>
  <property fmtid="{D5CDD505-2E9C-101B-9397-08002B2CF9AE}" pid="4" name="&lt;Type&gt;">
    <vt:lpwstr>RR</vt:lpwstr>
  </property>
</Properties>
</file>