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3676" w:rsidTr="0010095E">
        <w:trPr>
          <w:trHeight w:hRule="exact" w:val="1418"/>
        </w:trPr>
        <w:tc>
          <w:tcPr>
            <w:tcW w:w="6804" w:type="dxa"/>
            <w:shd w:val="clear" w:color="auto" w:fill="auto"/>
            <w:vAlign w:val="center"/>
          </w:tcPr>
          <w:p w:rsidR="00751A4A" w:rsidRPr="00103676" w:rsidRDefault="00D6124B" w:rsidP="0010095E">
            <w:pPr>
              <w:pStyle w:val="EPName"/>
            </w:pPr>
            <w:bookmarkStart w:id="0" w:name="_GoBack"/>
            <w:bookmarkEnd w:id="0"/>
            <w:r w:rsidRPr="00103676">
              <w:t>Ευρωπαϊκό Κοινοβούλιο</w:t>
            </w:r>
          </w:p>
          <w:p w:rsidR="00751A4A" w:rsidRPr="00103676" w:rsidRDefault="00817416" w:rsidP="00756632">
            <w:pPr>
              <w:pStyle w:val="EPTerm"/>
              <w:rPr>
                <w:rStyle w:val="HideTWBExt"/>
                <w:noProof w:val="0"/>
                <w:vanish w:val="0"/>
                <w:color w:val="auto"/>
              </w:rPr>
            </w:pPr>
            <w:r w:rsidRPr="00103676">
              <w:t>2019-2024</w:t>
            </w:r>
          </w:p>
        </w:tc>
        <w:tc>
          <w:tcPr>
            <w:tcW w:w="2268" w:type="dxa"/>
            <w:shd w:val="clear" w:color="auto" w:fill="auto"/>
          </w:tcPr>
          <w:p w:rsidR="00751A4A" w:rsidRPr="00103676" w:rsidRDefault="00187494" w:rsidP="0010095E">
            <w:pPr>
              <w:pStyle w:val="EPLogo"/>
            </w:pPr>
            <w:r w:rsidRPr="001036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3676" w:rsidRDefault="00D058B8" w:rsidP="004C5D52">
      <w:pPr>
        <w:pStyle w:val="LineTop"/>
      </w:pPr>
    </w:p>
    <w:p w:rsidR="00680577" w:rsidRPr="00103676" w:rsidRDefault="00D6124B" w:rsidP="00680577">
      <w:pPr>
        <w:pStyle w:val="EPBodyTA1"/>
      </w:pPr>
      <w:r w:rsidRPr="00103676">
        <w:t>ΚΕΙΜΕΝΑ ΠΟΥ ΕΓΚΡΙΘΗΚΑΝ</w:t>
      </w:r>
    </w:p>
    <w:p w:rsidR="00D058B8" w:rsidRPr="00103676" w:rsidRDefault="00D058B8" w:rsidP="00D058B8">
      <w:pPr>
        <w:pStyle w:val="LineBottom"/>
      </w:pPr>
    </w:p>
    <w:p w:rsidR="00D6124B" w:rsidRPr="00103676" w:rsidRDefault="00D6124B" w:rsidP="00D6124B">
      <w:pPr>
        <w:pStyle w:val="ATHeading1"/>
      </w:pPr>
      <w:bookmarkStart w:id="1" w:name="TANumber"/>
      <w:r w:rsidRPr="00103676">
        <w:t>P9_TA(2024)</w:t>
      </w:r>
      <w:bookmarkEnd w:id="1"/>
      <w:r w:rsidR="001A16CD" w:rsidRPr="00103676">
        <w:t>0</w:t>
      </w:r>
      <w:r w:rsidR="001A16CD">
        <w:t>250</w:t>
      </w:r>
    </w:p>
    <w:p w:rsidR="00D6124B" w:rsidRPr="00103676" w:rsidRDefault="00D6124B" w:rsidP="00D6124B">
      <w:pPr>
        <w:pStyle w:val="ATHeading2"/>
      </w:pPr>
      <w:bookmarkStart w:id="2" w:name="title"/>
      <w:r w:rsidRPr="00103676">
        <w:t>Απαλλαγή 2022: Ευρωπαϊκή Αρχή για την Ασφάλεια των Τροφίμων</w:t>
      </w:r>
      <w:bookmarkEnd w:id="2"/>
    </w:p>
    <w:p w:rsidR="00D6124B" w:rsidRPr="00103676" w:rsidRDefault="00D6124B" w:rsidP="00D6124B">
      <w:pPr>
        <w:rPr>
          <w:i/>
          <w:vanish/>
        </w:rPr>
      </w:pPr>
      <w:r w:rsidRPr="00103676">
        <w:rPr>
          <w:i/>
        </w:rPr>
        <w:fldChar w:fldCharType="begin"/>
      </w:r>
      <w:r w:rsidRPr="00103676">
        <w:rPr>
          <w:i/>
        </w:rPr>
        <w:instrText xml:space="preserve"> TC"(</w:instrText>
      </w:r>
      <w:bookmarkStart w:id="3" w:name="DocNumber"/>
      <w:r w:rsidRPr="00103676">
        <w:rPr>
          <w:i/>
        </w:rPr>
        <w:instrText>A9-0129/2024</w:instrText>
      </w:r>
      <w:bookmarkEnd w:id="3"/>
      <w:r w:rsidRPr="00103676">
        <w:rPr>
          <w:i/>
        </w:rPr>
        <w:instrText xml:space="preserve"> - Εισηγητής: </w:instrText>
      </w:r>
      <w:proofErr w:type="spellStart"/>
      <w:r w:rsidRPr="00103676">
        <w:rPr>
          <w:i/>
        </w:rPr>
        <w:instrText>Petri</w:instrText>
      </w:r>
      <w:proofErr w:type="spellEnd"/>
      <w:r w:rsidRPr="00103676">
        <w:rPr>
          <w:i/>
        </w:rPr>
        <w:instrText xml:space="preserve"> </w:instrText>
      </w:r>
      <w:proofErr w:type="spellStart"/>
      <w:r w:rsidRPr="00103676">
        <w:rPr>
          <w:i/>
        </w:rPr>
        <w:instrText>Sarvamaa</w:instrText>
      </w:r>
      <w:proofErr w:type="spellEnd"/>
      <w:r w:rsidRPr="00103676">
        <w:rPr>
          <w:i/>
        </w:rPr>
        <w:instrText xml:space="preserve">)"\l3 \n&gt; \* MERGEFORMAT </w:instrText>
      </w:r>
      <w:r w:rsidRPr="00103676">
        <w:rPr>
          <w:i/>
        </w:rPr>
        <w:fldChar w:fldCharType="end"/>
      </w:r>
    </w:p>
    <w:p w:rsidR="00D6124B" w:rsidRPr="00103676" w:rsidRDefault="00D6124B" w:rsidP="00D6124B">
      <w:pPr>
        <w:rPr>
          <w:vanish/>
        </w:rPr>
      </w:pPr>
      <w:bookmarkStart w:id="4" w:name="Commission"/>
      <w:r w:rsidRPr="00103676">
        <w:rPr>
          <w:vanish/>
        </w:rPr>
        <w:t>Επιτροπή Ελέγχου του Προϋπολογισμού</w:t>
      </w:r>
      <w:bookmarkEnd w:id="4"/>
    </w:p>
    <w:p w:rsidR="00D6124B" w:rsidRPr="00103676" w:rsidRDefault="00D6124B" w:rsidP="00D6124B">
      <w:pPr>
        <w:rPr>
          <w:vanish/>
        </w:rPr>
      </w:pPr>
      <w:bookmarkStart w:id="5" w:name="PE"/>
      <w:r w:rsidRPr="00103676">
        <w:rPr>
          <w:vanish/>
        </w:rPr>
        <w:t>PE753.519</w:t>
      </w:r>
      <w:bookmarkEnd w:id="5"/>
    </w:p>
    <w:p w:rsidR="00D6124B" w:rsidRPr="00103676" w:rsidRDefault="00BE0BFB" w:rsidP="00D6124B">
      <w:pPr>
        <w:pStyle w:val="ATHeading3"/>
      </w:pPr>
      <w:bookmarkStart w:id="6" w:name="Sujet"/>
      <w:r>
        <w:t xml:space="preserve">1. </w:t>
      </w:r>
      <w:r w:rsidR="00D6124B" w:rsidRPr="00103676">
        <w:t xml:space="preserve">Απόφαση του Ευρωπαϊκού Κοινοβουλίου </w:t>
      </w:r>
      <w:r w:rsidR="00F25AD6">
        <w:t xml:space="preserve">της 11ης Απριλίου 2024 </w:t>
      </w:r>
      <w:r w:rsidR="00D6124B" w:rsidRPr="00103676">
        <w:t>σχετικά με την απαλλαγή όσον αφορά την εκτέλεση του προϋπολογισμού της Ευρωπαϊκής Αρχής για την Ασφάλεια των Τροφίμων για το οικονομικό έτος 2022</w:t>
      </w:r>
      <w:bookmarkEnd w:id="6"/>
      <w:r w:rsidR="00D6124B" w:rsidRPr="00103676">
        <w:t xml:space="preserve"> </w:t>
      </w:r>
      <w:bookmarkStart w:id="7" w:name="References"/>
      <w:r w:rsidR="00D6124B" w:rsidRPr="00103676">
        <w:t>(2023/2151(DEC))</w:t>
      </w:r>
      <w:bookmarkEnd w:id="7"/>
    </w:p>
    <w:p w:rsidR="005126B7" w:rsidRPr="00103676" w:rsidRDefault="005126B7" w:rsidP="005126B7">
      <w:pPr>
        <w:pStyle w:val="EPComma"/>
      </w:pPr>
      <w:bookmarkStart w:id="8" w:name="TextBodyBegin"/>
      <w:bookmarkEnd w:id="8"/>
      <w:r w:rsidRPr="00103676">
        <w:rPr>
          <w:i/>
          <w:iCs/>
        </w:rPr>
        <w:t>Το Ευρωπαϊκό Κοινοβούλιο</w:t>
      </w:r>
      <w:r w:rsidRPr="00103676">
        <w:t>,</w:t>
      </w:r>
    </w:p>
    <w:p w:rsidR="005126B7" w:rsidRPr="00103676" w:rsidRDefault="005126B7" w:rsidP="005126B7">
      <w:pPr>
        <w:pStyle w:val="NormalHanging12a"/>
      </w:pPr>
      <w:r w:rsidRPr="00103676">
        <w:t>–</w:t>
      </w:r>
      <w:r w:rsidRPr="00103676">
        <w:tab/>
        <w:t>έχοντας υπόψη τους οριστικούς ετήσιους λογαριασμούς της Ευρωπαϊκής Αρχής για την Ασφάλεια των Τροφίμων για το οικονομικό έτος 2022,</w:t>
      </w:r>
    </w:p>
    <w:p w:rsidR="005126B7" w:rsidRPr="00103676" w:rsidRDefault="005126B7" w:rsidP="005126B7">
      <w:pPr>
        <w:pStyle w:val="NormalHanging12a"/>
      </w:pPr>
      <w:r w:rsidRPr="00103676">
        <w:t>–</w:t>
      </w:r>
      <w:r w:rsidRPr="0010367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103676">
        <w:rPr>
          <w:rStyle w:val="FootnoteReference"/>
        </w:rPr>
        <w:footnoteReference w:id="1"/>
      </w:r>
      <w:r w:rsidRPr="00103676">
        <w:t>,</w:t>
      </w:r>
    </w:p>
    <w:p w:rsidR="005126B7" w:rsidRPr="00103676" w:rsidRDefault="005126B7" w:rsidP="005126B7">
      <w:pPr>
        <w:pStyle w:val="NormalHanging12a"/>
      </w:pPr>
      <w:r w:rsidRPr="00103676">
        <w:t>–</w:t>
      </w:r>
      <w:r w:rsidRPr="00103676">
        <w:tab/>
        <w:t>έχοντας υπόψη τη δήλωση αξιοπιστίας</w:t>
      </w:r>
      <w:r w:rsidRPr="00103676">
        <w:rPr>
          <w:rStyle w:val="FootnoteReference"/>
        </w:rPr>
        <w:footnoteReference w:id="2"/>
      </w:r>
      <w:r w:rsidRPr="00103676">
        <w:t xml:space="preserve"> η οποία βεβαιώνει την ακρίβεια των λογαριασμών και τη νομιμότητα και κανονικότητα των σχετικών πράξεων, την οποία </w:t>
      </w:r>
      <w:proofErr w:type="spellStart"/>
      <w:r w:rsidRPr="00103676">
        <w:t>ενεχείρισε</w:t>
      </w:r>
      <w:proofErr w:type="spellEnd"/>
      <w:r w:rsidRPr="00103676">
        <w:t xml:space="preserve"> το Ελεγκτικό Συνέδριο για το οικονομικό έτος 2022, σύμφωνα με το άρθρο 287 της Συνθήκης για τη λειτουργία της Ευρωπαϊκής Ένωσης,</w:t>
      </w:r>
    </w:p>
    <w:p w:rsidR="005126B7" w:rsidRPr="00103676" w:rsidRDefault="005126B7" w:rsidP="005126B7">
      <w:pPr>
        <w:pStyle w:val="NormalHanging12a"/>
      </w:pPr>
      <w:r w:rsidRPr="00103676">
        <w:t>–</w:t>
      </w:r>
      <w:r w:rsidRPr="00103676">
        <w:tab/>
        <w:t>έχοντας υπόψη τη σύσταση του Συμβουλίου, της 22ας Φεβρουαρίου 2024, σχετικά με τη χορήγηση απαλλαγής στην Αρχή όσον αφορά την εκτέλεση του προϋπολογισμού για το οικονομικό έτος 2022 (</w:t>
      </w:r>
      <w:r w:rsidR="005B0179" w:rsidRPr="00103676">
        <w:t>0</w:t>
      </w:r>
      <w:r w:rsidR="005B0179">
        <w:t>6180</w:t>
      </w:r>
      <w:r w:rsidRPr="00103676">
        <w:t>/2024 – C9</w:t>
      </w:r>
      <w:r w:rsidRPr="00103676">
        <w:noBreakHyphen/>
      </w:r>
      <w:r w:rsidR="005B0179" w:rsidRPr="00103676">
        <w:t>00</w:t>
      </w:r>
      <w:r w:rsidR="005B0179">
        <w:t>89</w:t>
      </w:r>
      <w:r w:rsidRPr="00103676">
        <w:t>/2024),</w:t>
      </w:r>
    </w:p>
    <w:p w:rsidR="005126B7" w:rsidRPr="00103676" w:rsidRDefault="005126B7" w:rsidP="005126B7">
      <w:pPr>
        <w:pStyle w:val="NormalHanging12a"/>
      </w:pPr>
      <w:r w:rsidRPr="00103676">
        <w:t>–</w:t>
      </w:r>
      <w:r w:rsidRPr="00103676">
        <w:tab/>
        <w:t>έχοντας υπόψη το άρθρο 319 της Συνθήκης για τη λειτουργία της Ευρωπαϊκής Ένωσης,</w:t>
      </w:r>
    </w:p>
    <w:p w:rsidR="005126B7" w:rsidRPr="00103676" w:rsidRDefault="005126B7" w:rsidP="005126B7">
      <w:pPr>
        <w:pStyle w:val="NormalHanging12a"/>
      </w:pPr>
      <w:r w:rsidRPr="00103676">
        <w:t>–</w:t>
      </w:r>
      <w:r w:rsidRPr="00103676">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103676">
        <w:rPr>
          <w:rStyle w:val="FootnoteReference"/>
        </w:rPr>
        <w:footnoteReference w:id="3"/>
      </w:r>
      <w:r w:rsidRPr="00103676">
        <w:t>, και ιδίως το άρθρο 70,</w:t>
      </w:r>
    </w:p>
    <w:p w:rsidR="005126B7" w:rsidRPr="00103676" w:rsidRDefault="005126B7" w:rsidP="005126B7">
      <w:pPr>
        <w:pStyle w:val="NormalHanging12a"/>
      </w:pPr>
      <w:r w:rsidRPr="00103676">
        <w:lastRenderedPageBreak/>
        <w:t>–</w:t>
      </w:r>
      <w:r w:rsidRPr="00103676">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103676">
        <w:rPr>
          <w:rStyle w:val="FootnoteReference"/>
        </w:rPr>
        <w:footnoteReference w:id="4"/>
      </w:r>
      <w:r w:rsidRPr="00103676">
        <w:t>, και ιδίως το άρθρο 44,</w:t>
      </w:r>
    </w:p>
    <w:p w:rsidR="005126B7" w:rsidRPr="00103676" w:rsidRDefault="005126B7" w:rsidP="005126B7">
      <w:pPr>
        <w:pStyle w:val="NormalHanging12a"/>
      </w:pPr>
      <w:r w:rsidRPr="00103676">
        <w:t>–</w:t>
      </w:r>
      <w:r w:rsidRPr="00103676">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103676">
        <w:rPr>
          <w:rStyle w:val="FootnoteReference"/>
        </w:rPr>
        <w:footnoteReference w:id="5"/>
      </w:r>
      <w:r w:rsidRPr="00103676">
        <w:t>, και ιδίως το άρθρο 105,</w:t>
      </w:r>
    </w:p>
    <w:p w:rsidR="005126B7" w:rsidRPr="00103676" w:rsidRDefault="005126B7" w:rsidP="005126B7">
      <w:pPr>
        <w:pStyle w:val="NormalHanging12a"/>
      </w:pPr>
      <w:r w:rsidRPr="00103676">
        <w:t>–</w:t>
      </w:r>
      <w:r w:rsidRPr="00103676">
        <w:tab/>
        <w:t>έχοντας υπόψη το άρθρο 100 και το παράρτημα V του Κανονισμού του,</w:t>
      </w:r>
    </w:p>
    <w:p w:rsidR="005126B7" w:rsidRPr="00103676" w:rsidRDefault="005126B7" w:rsidP="005126B7">
      <w:pPr>
        <w:pStyle w:val="NormalHanging12a"/>
      </w:pPr>
      <w:r w:rsidRPr="00103676">
        <w:t>–</w:t>
      </w:r>
      <w:r w:rsidRPr="00103676">
        <w:tab/>
        <w:t>έχοντας υπόψη τη γνωμοδότηση της Επιτροπής Περιβάλλοντος, Δημόσιας Υγείας και Ασφάλειας των Τροφίμων,</w:t>
      </w:r>
    </w:p>
    <w:p w:rsidR="005126B7" w:rsidRPr="00103676" w:rsidRDefault="005126B7" w:rsidP="005126B7">
      <w:pPr>
        <w:pStyle w:val="NormalHanging12a"/>
      </w:pPr>
      <w:r w:rsidRPr="00103676">
        <w:t>–</w:t>
      </w:r>
      <w:r w:rsidRPr="00103676">
        <w:tab/>
        <w:t>έχοντας υπόψη την έκθεση της Επιτροπής Ελέγχου του Προϋπολογισμού (A9-0129/2024),</w:t>
      </w:r>
    </w:p>
    <w:p w:rsidR="005126B7" w:rsidRPr="00103676" w:rsidRDefault="001A16CD" w:rsidP="001A16CD">
      <w:pPr>
        <w:pStyle w:val="NormalHanging12a"/>
        <w:ind w:hanging="570"/>
      </w:pPr>
      <w:r w:rsidRPr="00103676">
        <w:t>1.</w:t>
      </w:r>
      <w:r w:rsidRPr="00103676">
        <w:tab/>
      </w:r>
      <w:r w:rsidR="005126B7" w:rsidRPr="00103676">
        <w:t>χορηγεί απαλλαγή στον διευθύνοντα σύμβουλο της Ευρωπαϊκής Αρχής για την Ασφάλεια των Τροφίμων όσον αφορά την εκτέλεση του προϋπολογισμού της Αρχής για το οικονομικό έτος 2022·</w:t>
      </w:r>
    </w:p>
    <w:p w:rsidR="005126B7" w:rsidRPr="00103676" w:rsidRDefault="001A16CD" w:rsidP="001A16CD">
      <w:pPr>
        <w:pStyle w:val="NormalHanging12a"/>
        <w:ind w:hanging="570"/>
      </w:pPr>
      <w:r w:rsidRPr="00103676">
        <w:t>2.</w:t>
      </w:r>
      <w:r w:rsidRPr="00103676">
        <w:tab/>
      </w:r>
      <w:r w:rsidR="005126B7" w:rsidRPr="00103676">
        <w:t>εκθέτει τις παρατηρήσεις του στο ψήφισμα που ακολουθεί·</w:t>
      </w:r>
    </w:p>
    <w:p w:rsidR="005126B7" w:rsidRPr="00103676" w:rsidRDefault="001A16CD" w:rsidP="001A16CD">
      <w:pPr>
        <w:pStyle w:val="NormalHanging12a"/>
        <w:ind w:hanging="570"/>
      </w:pPr>
      <w:r w:rsidRPr="00103676">
        <w:t>3.</w:t>
      </w:r>
      <w:r w:rsidRPr="00103676">
        <w:tab/>
      </w:r>
      <w:r w:rsidR="005126B7" w:rsidRPr="00103676">
        <w:t xml:space="preserve">αναθέτει στην Πρόεδρό του να διαβιβάσει την παρούσα απόφαση και το ψήφισμα που αποτελεί αναπόσπαστο μέρος της στον διευθύνοντα σύμβουλο της Ευρωπαϊκής Αρχής για την Ασφάλεια των Τροφίμων, στο Συμβούλιο, στην Επιτροπή και στο Ελεγκτικό Συνέδριο, και να μεριμνήσει για τη δημοσίευσή τους στην </w:t>
      </w:r>
      <w:r w:rsidR="005126B7" w:rsidRPr="00103676">
        <w:rPr>
          <w:i/>
          <w:iCs/>
        </w:rPr>
        <w:t>Επίσημη Εφημερίδα της Ευρωπαϊκής Ένωσης</w:t>
      </w:r>
      <w:r w:rsidR="005126B7" w:rsidRPr="00103676">
        <w:t xml:space="preserve"> (σειρά L).</w:t>
      </w:r>
    </w:p>
    <w:p w:rsidR="005126B7" w:rsidRPr="00103676" w:rsidRDefault="005126B7" w:rsidP="005126B7"/>
    <w:p w:rsidR="005126B7" w:rsidRPr="00103676" w:rsidRDefault="005126B7" w:rsidP="005126B7">
      <w:pPr>
        <w:widowControl/>
        <w:rPr>
          <w:rFonts w:ascii="Arial" w:hAnsi="Arial" w:cs="Arial"/>
          <w:b/>
        </w:rPr>
        <w:sectPr w:rsidR="005126B7" w:rsidRPr="00103676" w:rsidSect="0010367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126B7" w:rsidRPr="00103676" w:rsidRDefault="00BE0BFB" w:rsidP="00F25AD6">
      <w:pPr>
        <w:pStyle w:val="ATHeading3"/>
      </w:pPr>
      <w:r>
        <w:t xml:space="preserve">2. Απόφαση του Ευρωπαϊκού Κοινοβουλίου </w:t>
      </w:r>
      <w:r w:rsidR="00F25AD6">
        <w:t xml:space="preserve">της 11ης Απριλίου 2024 </w:t>
      </w:r>
      <w:r w:rsidR="005126B7" w:rsidRPr="00103676">
        <w:t>σχετικά με το κλείσιμο των λογαριασμών της Ευρωπαϊκής Αρχής για την Ασφάλεια των Τροφίμων για το οικονομικό έτος 2022</w:t>
      </w:r>
      <w:r>
        <w:t xml:space="preserve"> </w:t>
      </w:r>
      <w:r w:rsidR="005126B7" w:rsidRPr="00103676">
        <w:t>(2023/2151(DEC))</w:t>
      </w:r>
    </w:p>
    <w:p w:rsidR="005126B7" w:rsidRPr="00103676" w:rsidRDefault="005126B7" w:rsidP="005126B7">
      <w:pPr>
        <w:pStyle w:val="EPComma"/>
      </w:pPr>
      <w:r w:rsidRPr="00103676">
        <w:rPr>
          <w:i/>
          <w:iCs/>
        </w:rPr>
        <w:t>Το Ευρωπαϊκό Κοινοβούλιο</w:t>
      </w:r>
      <w:r w:rsidRPr="00103676">
        <w:t>,</w:t>
      </w:r>
    </w:p>
    <w:p w:rsidR="005126B7" w:rsidRPr="00103676" w:rsidRDefault="005126B7" w:rsidP="005126B7">
      <w:pPr>
        <w:pStyle w:val="NormalHanging12a"/>
      </w:pPr>
      <w:r w:rsidRPr="00103676">
        <w:t>–</w:t>
      </w:r>
      <w:r w:rsidRPr="00103676">
        <w:tab/>
        <w:t>έχοντας υπόψη τους οριστικούς ετήσιους λογαριασμούς της Ευρωπαϊκής Αρχής για την Ασφάλεια των Τροφίμων για το οικονομικό έτος 2022,</w:t>
      </w:r>
    </w:p>
    <w:p w:rsidR="005126B7" w:rsidRPr="00103676" w:rsidRDefault="005126B7" w:rsidP="005126B7">
      <w:pPr>
        <w:pStyle w:val="NormalHanging12a"/>
      </w:pPr>
      <w:r w:rsidRPr="00103676">
        <w:t>–</w:t>
      </w:r>
      <w:r w:rsidRPr="00103676">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103676">
        <w:rPr>
          <w:rStyle w:val="FootnoteReference"/>
        </w:rPr>
        <w:footnoteReference w:id="6"/>
      </w:r>
      <w:r w:rsidRPr="00103676">
        <w:t>,</w:t>
      </w:r>
    </w:p>
    <w:p w:rsidR="005126B7" w:rsidRPr="00103676" w:rsidRDefault="005126B7" w:rsidP="005126B7">
      <w:pPr>
        <w:pStyle w:val="NormalHanging12a"/>
      </w:pPr>
      <w:r w:rsidRPr="00103676">
        <w:t>–</w:t>
      </w:r>
      <w:r w:rsidRPr="00103676">
        <w:tab/>
        <w:t>έχοντας υπόψη τη δήλωση αξιοπιστίας</w:t>
      </w:r>
      <w:r w:rsidRPr="00103676">
        <w:rPr>
          <w:rStyle w:val="FootnoteReference"/>
        </w:rPr>
        <w:footnoteReference w:id="7"/>
      </w:r>
      <w:r w:rsidRPr="00103676">
        <w:t xml:space="preserve"> η οποία βεβαιώνει την ακρίβεια των λογαριασμών και τη νομιμότητα και κανονικότητα των σχετικών πράξεων, την οποία </w:t>
      </w:r>
      <w:proofErr w:type="spellStart"/>
      <w:r w:rsidRPr="00103676">
        <w:t>ενεχείρισε</w:t>
      </w:r>
      <w:proofErr w:type="spellEnd"/>
      <w:r w:rsidRPr="00103676">
        <w:t xml:space="preserve"> το Ελεγκτικό Συνέδριο για το οικονομικό έτος 2022, σύμφωνα με το άρθρο 287 της Συνθήκης για τη λειτουργία της Ευρωπαϊκής Ένωσης,</w:t>
      </w:r>
    </w:p>
    <w:p w:rsidR="005126B7" w:rsidRPr="00103676" w:rsidRDefault="005126B7" w:rsidP="005126B7">
      <w:pPr>
        <w:pStyle w:val="NormalHanging12a"/>
      </w:pPr>
      <w:r w:rsidRPr="00103676">
        <w:t>–</w:t>
      </w:r>
      <w:r w:rsidRPr="00103676">
        <w:tab/>
        <w:t>έχοντας υπόψη τη σύσταση του Συμβουλίου, της 22ας Φεβρουαρίου 2024, σχετικά με τη χορήγηση απαλλαγής στην Αρχή όσον αφορά την εκτέλεση του προϋπολογισμού για το οικονομικό έτος 2022 (</w:t>
      </w:r>
      <w:r w:rsidR="005B0179" w:rsidRPr="00103676">
        <w:t>0</w:t>
      </w:r>
      <w:r w:rsidR="005B0179">
        <w:t>6180</w:t>
      </w:r>
      <w:r w:rsidRPr="00103676">
        <w:t>/2024 – C9</w:t>
      </w:r>
      <w:r w:rsidRPr="00103676">
        <w:noBreakHyphen/>
        <w:t>00</w:t>
      </w:r>
      <w:r w:rsidR="005B0179">
        <w:t>89</w:t>
      </w:r>
      <w:r w:rsidRPr="00103676">
        <w:t>/2024),</w:t>
      </w:r>
    </w:p>
    <w:p w:rsidR="005126B7" w:rsidRPr="00103676" w:rsidRDefault="005126B7" w:rsidP="005126B7">
      <w:pPr>
        <w:pStyle w:val="NormalHanging12a"/>
      </w:pPr>
      <w:r w:rsidRPr="00103676">
        <w:t>–</w:t>
      </w:r>
      <w:r w:rsidRPr="00103676">
        <w:tab/>
        <w:t>έχοντας υπόψη το άρθρο 319 της Συνθήκης για τη λειτουργία της Ευρωπαϊκής Ένωσης,</w:t>
      </w:r>
    </w:p>
    <w:p w:rsidR="005126B7" w:rsidRPr="00103676" w:rsidRDefault="005126B7" w:rsidP="005126B7">
      <w:pPr>
        <w:pStyle w:val="NormalHanging12a"/>
      </w:pPr>
      <w:r w:rsidRPr="00103676">
        <w:t>–</w:t>
      </w:r>
      <w:r w:rsidRPr="00103676">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103676">
        <w:rPr>
          <w:rStyle w:val="FootnoteReference"/>
        </w:rPr>
        <w:footnoteReference w:id="8"/>
      </w:r>
      <w:r w:rsidRPr="00103676">
        <w:t>, και ιδίως το άρθρο 70,</w:t>
      </w:r>
    </w:p>
    <w:p w:rsidR="005126B7" w:rsidRPr="00103676" w:rsidRDefault="005126B7" w:rsidP="005126B7">
      <w:pPr>
        <w:pStyle w:val="NormalHanging12a"/>
      </w:pPr>
      <w:r w:rsidRPr="00103676">
        <w:t>–</w:t>
      </w:r>
      <w:r w:rsidRPr="00103676">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103676">
        <w:rPr>
          <w:rStyle w:val="FootnoteReference"/>
        </w:rPr>
        <w:footnoteReference w:id="9"/>
      </w:r>
      <w:r w:rsidRPr="00103676">
        <w:t>, και ιδίως το άρθρο 44,</w:t>
      </w:r>
    </w:p>
    <w:p w:rsidR="005126B7" w:rsidRPr="00103676" w:rsidRDefault="005126B7" w:rsidP="005126B7">
      <w:pPr>
        <w:pStyle w:val="NormalHanging12a"/>
      </w:pPr>
      <w:r w:rsidRPr="00103676">
        <w:t>–</w:t>
      </w:r>
      <w:r w:rsidRPr="00103676">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103676">
        <w:rPr>
          <w:rStyle w:val="FootnoteReference"/>
        </w:rPr>
        <w:footnoteReference w:id="10"/>
      </w:r>
      <w:r w:rsidRPr="00103676">
        <w:t>, και ιδίως το άρθρο 105,</w:t>
      </w:r>
    </w:p>
    <w:p w:rsidR="005126B7" w:rsidRPr="00103676" w:rsidRDefault="005126B7" w:rsidP="005126B7">
      <w:pPr>
        <w:pStyle w:val="NormalHanging12a"/>
      </w:pPr>
      <w:r w:rsidRPr="00103676">
        <w:t>–</w:t>
      </w:r>
      <w:r w:rsidRPr="00103676">
        <w:tab/>
        <w:t>έχοντας υπόψη το άρθρο 100 και το παράρτημα V του Κανονισμού του,</w:t>
      </w:r>
    </w:p>
    <w:p w:rsidR="005126B7" w:rsidRPr="00103676" w:rsidRDefault="005126B7" w:rsidP="005126B7">
      <w:pPr>
        <w:pStyle w:val="NormalHanging12a"/>
      </w:pPr>
      <w:r w:rsidRPr="00103676">
        <w:t>–</w:t>
      </w:r>
      <w:r w:rsidRPr="00103676">
        <w:tab/>
        <w:t>έχοντας υπόψη τη γνωμοδότηση της Επιτροπής Περιβάλλοντος, Δημόσιας Υγείας και Ασφάλειας των Τροφίμων,</w:t>
      </w:r>
    </w:p>
    <w:p w:rsidR="005126B7" w:rsidRPr="00103676" w:rsidRDefault="005126B7" w:rsidP="005126B7">
      <w:pPr>
        <w:pStyle w:val="NormalHanging12a"/>
      </w:pPr>
      <w:r w:rsidRPr="00103676">
        <w:t>–</w:t>
      </w:r>
      <w:r w:rsidRPr="00103676">
        <w:tab/>
        <w:t>έχοντας υπόψη την έκθεση της Επιτροπής Ελέγχου του Προϋπολογισμού (A9-0129/2024),</w:t>
      </w:r>
    </w:p>
    <w:p w:rsidR="005126B7" w:rsidRPr="00103676" w:rsidRDefault="001A16CD" w:rsidP="001A16CD">
      <w:pPr>
        <w:pStyle w:val="NormalHanging12a"/>
        <w:ind w:hanging="570"/>
      </w:pPr>
      <w:r w:rsidRPr="00103676">
        <w:t>1.</w:t>
      </w:r>
      <w:r w:rsidRPr="00103676">
        <w:tab/>
      </w:r>
      <w:r w:rsidR="005126B7" w:rsidRPr="00103676">
        <w:t>εγκρίνει το κλείσιμο των λογαριασμών της Ευρωπαϊκής Αρχής για την Ασφάλεια των Τροφίμων για το οικονομικό έτος 2022·</w:t>
      </w:r>
    </w:p>
    <w:p w:rsidR="005126B7" w:rsidRPr="00103676" w:rsidRDefault="001A16CD" w:rsidP="001A16CD">
      <w:pPr>
        <w:pStyle w:val="NormalHanging12a"/>
        <w:ind w:hanging="570"/>
      </w:pPr>
      <w:r w:rsidRPr="00103676">
        <w:t>2.</w:t>
      </w:r>
      <w:r w:rsidRPr="00103676">
        <w:tab/>
      </w:r>
      <w:r w:rsidR="005126B7" w:rsidRPr="00103676">
        <w:t xml:space="preserve">αναθέτει στην Πρόεδρό του να διαβιβάσει την παρούσα απόφαση στον διευθύνοντα σύμβουλο της Ευρωπαϊκής Αρχής για την Ασφάλεια των Τροφίμων, στο Συμβούλιο, στην Επιτροπή και στο Ελεγκτικό Συνέδριο, και να μεριμνήσει για τη δημοσίευσή της στην </w:t>
      </w:r>
      <w:r w:rsidR="005126B7" w:rsidRPr="00103676">
        <w:rPr>
          <w:i/>
          <w:iCs/>
        </w:rPr>
        <w:t>Επίσημη Εφημερίδα της Ευρωπαϊκής Ένωσης</w:t>
      </w:r>
      <w:r w:rsidR="005126B7" w:rsidRPr="00103676">
        <w:t xml:space="preserve"> (σειρά L).</w:t>
      </w:r>
    </w:p>
    <w:p w:rsidR="005126B7" w:rsidRPr="00103676" w:rsidRDefault="005126B7" w:rsidP="005126B7"/>
    <w:p w:rsidR="005126B7" w:rsidRPr="00103676" w:rsidRDefault="005126B7" w:rsidP="005126B7">
      <w:pPr>
        <w:widowControl/>
        <w:rPr>
          <w:rFonts w:ascii="Arial" w:hAnsi="Arial" w:cs="Arial"/>
          <w:b/>
        </w:rPr>
        <w:sectPr w:rsidR="005126B7" w:rsidRPr="00103676" w:rsidSect="00103676">
          <w:footnotePr>
            <w:numRestart w:val="eachPage"/>
          </w:footnotePr>
          <w:endnotePr>
            <w:numFmt w:val="decimal"/>
          </w:endnotePr>
          <w:pgSz w:w="11906" w:h="16838"/>
          <w:pgMar w:top="1134" w:right="1418" w:bottom="1418" w:left="1418" w:header="567" w:footer="567" w:gutter="0"/>
          <w:cols w:space="720"/>
          <w:docGrid w:linePitch="326"/>
        </w:sectPr>
      </w:pPr>
    </w:p>
    <w:p w:rsidR="005126B7" w:rsidRPr="00103676" w:rsidRDefault="00BE0BFB" w:rsidP="00F25AD6">
      <w:pPr>
        <w:pStyle w:val="ATHeading3"/>
      </w:pPr>
      <w:r>
        <w:t xml:space="preserve">3. Ψήφισμα του Ευρωπαϊκού Κοινοβουλίου </w:t>
      </w:r>
      <w:r w:rsidR="00F25AD6">
        <w:t xml:space="preserve">της 11ης Απριλίου 2024 </w:t>
      </w:r>
      <w:r w:rsidR="005126B7" w:rsidRPr="00103676">
        <w:t>με τις παρατηρήσεις που αποτελούν αναπόσπαστο μέρος της απόφασης σχετικά με την απαλλαγή όσον αφορά την εκτέλεση του προϋπολογισμού της Ευρωπαϊκής Αρχής για την Ασφάλεια των Τροφίμων για το οικονομικό έτος 2022</w:t>
      </w:r>
      <w:r>
        <w:t xml:space="preserve"> </w:t>
      </w:r>
      <w:r w:rsidR="005126B7" w:rsidRPr="00103676">
        <w:t>(2023/2151(DEC))</w:t>
      </w:r>
    </w:p>
    <w:p w:rsidR="005126B7" w:rsidRPr="00103676" w:rsidRDefault="005126B7" w:rsidP="005126B7">
      <w:pPr>
        <w:pStyle w:val="EPComma"/>
      </w:pPr>
      <w:r w:rsidRPr="00103676">
        <w:rPr>
          <w:i/>
          <w:iCs/>
        </w:rPr>
        <w:t>Το Ευρωπαϊκό Κοινοβούλιο</w:t>
      </w:r>
      <w:r w:rsidRPr="00103676">
        <w:t>,</w:t>
      </w:r>
    </w:p>
    <w:p w:rsidR="005126B7" w:rsidRPr="00103676" w:rsidRDefault="005126B7" w:rsidP="005126B7">
      <w:pPr>
        <w:pStyle w:val="NormalHanging12a"/>
      </w:pPr>
      <w:r w:rsidRPr="00103676">
        <w:t>–</w:t>
      </w:r>
      <w:r w:rsidRPr="00103676">
        <w:tab/>
        <w:t>έχοντας υπόψη την απόφασή του σχετικά με την απαλλαγή όσον αφορά την εκτέλεση του προϋπολογισμού της Ευρωπαϊκής Αρχής για την Ασφάλεια των Τροφίμων για το οικονομικό έτος 2022,</w:t>
      </w:r>
    </w:p>
    <w:p w:rsidR="005126B7" w:rsidRPr="00103676" w:rsidRDefault="005126B7" w:rsidP="005126B7">
      <w:pPr>
        <w:pStyle w:val="NormalHanging12a"/>
      </w:pPr>
      <w:r w:rsidRPr="00103676">
        <w:t>–</w:t>
      </w:r>
      <w:r w:rsidRPr="00103676">
        <w:tab/>
        <w:t>έχοντας υπόψη το άρθρο 100 και το παράρτημα V του Κανονισμού του,</w:t>
      </w:r>
    </w:p>
    <w:p w:rsidR="005126B7" w:rsidRPr="00103676" w:rsidRDefault="005126B7" w:rsidP="005126B7">
      <w:pPr>
        <w:pStyle w:val="NormalHanging12a"/>
      </w:pPr>
      <w:r w:rsidRPr="00103676">
        <w:t>–</w:t>
      </w:r>
      <w:r w:rsidRPr="00103676">
        <w:tab/>
        <w:t>έχοντας υπόψη τη γνωμοδότηση της Επιτροπής Περιβάλλοντος, Δημόσιας Υγείας και Ασφάλειας των Τροφίμων,</w:t>
      </w:r>
    </w:p>
    <w:p w:rsidR="005126B7" w:rsidRPr="00103676" w:rsidRDefault="005126B7" w:rsidP="005126B7">
      <w:pPr>
        <w:pStyle w:val="NormalHanging12a"/>
      </w:pPr>
      <w:r w:rsidRPr="00103676">
        <w:t>–</w:t>
      </w:r>
      <w:r w:rsidRPr="00103676">
        <w:tab/>
        <w:t>έχοντας υπόψη την έκθεση της Επιτροπής Ελέγχου του Προϋπολογισμού (A9-0129/2024),</w:t>
      </w:r>
    </w:p>
    <w:p w:rsidR="005126B7" w:rsidRPr="00103676" w:rsidRDefault="005126B7" w:rsidP="005126B7">
      <w:pPr>
        <w:autoSpaceDE w:val="0"/>
        <w:autoSpaceDN w:val="0"/>
        <w:adjustRightInd w:val="0"/>
        <w:spacing w:after="240"/>
        <w:ind w:left="567" w:hanging="567"/>
        <w:rPr>
          <w:rFonts w:eastAsia="Calibri"/>
          <w:szCs w:val="24"/>
        </w:rPr>
      </w:pPr>
      <w:r w:rsidRPr="00103676">
        <w:t>Α.</w:t>
      </w:r>
      <w:r w:rsidRPr="00103676">
        <w:tab/>
        <w:t>λαμβάνοντας υπόψη ότι, σύμφωνα με την κατάσταση εσόδων και δαπανών της</w:t>
      </w:r>
      <w:r w:rsidRPr="00103676">
        <w:rPr>
          <w:rFonts w:eastAsia="Calibri"/>
          <w:szCs w:val="24"/>
          <w:vertAlign w:val="superscript"/>
        </w:rPr>
        <w:footnoteReference w:id="11"/>
      </w:r>
      <w:r w:rsidRPr="00103676">
        <w:t>, ο οριστικός προϋπολογισμός της Ευρωπαϊκής Αρχής για την Ασφάλεια των Τροφίμων (</w:t>
      </w:r>
      <w:r w:rsidR="003E77CE">
        <w:t>η «</w:t>
      </w:r>
      <w:r w:rsidRPr="00103676">
        <w:t>Αρχή</w:t>
      </w:r>
      <w:r w:rsidR="003E77CE">
        <w:t>»</w:t>
      </w:r>
      <w:r w:rsidRPr="00103676">
        <w:t>) για το οικονομικό έτος 2022 ανήλθε σε 149 841 816,93 EUR, ποσό που αντιστοιχεί σε αύξηση κατά 15,99 % σε σύγκριση με το 2021· λαμβάνοντας υπόψη ότι ο προϋπολογισμός της Αρχής προέρχεται κυρίως από τον προϋπολογισμό της Ένωσης·</w:t>
      </w:r>
    </w:p>
    <w:p w:rsidR="005126B7" w:rsidRPr="00103676" w:rsidRDefault="005126B7" w:rsidP="005126B7">
      <w:pPr>
        <w:spacing w:after="240"/>
        <w:ind w:left="567" w:hanging="567"/>
        <w:rPr>
          <w:szCs w:val="24"/>
        </w:rPr>
      </w:pPr>
      <w:r w:rsidRPr="00103676">
        <w:t>Β.</w:t>
      </w:r>
      <w:r w:rsidRPr="00103676">
        <w:tab/>
        <w:t>λαμβάνοντας υπόψη ότι το Ελεγκτικό Συνέδριο, στην έκθεσή του για τους ετήσιους λογαριασμούς της Αρχής για το οικονομικό έτος 2022 («έκθεση του Ελεγκτικού Συνεδρίου»), δήλωσε ότι αποκόμισε εύλογη βεβαιότητα ότι οι ετήσιοι λογαριασμοί της Αρχής είναι αξιόπιστοι και ότι οι πράξεις στις οποίες βασίζονται είναι νόμιμες και κανονικές·</w:t>
      </w:r>
    </w:p>
    <w:p w:rsidR="005126B7" w:rsidRPr="00103676" w:rsidRDefault="005126B7" w:rsidP="005126B7">
      <w:pPr>
        <w:widowControl/>
        <w:spacing w:after="240"/>
        <w:ind w:left="567" w:hanging="567"/>
        <w:rPr>
          <w:szCs w:val="24"/>
        </w:rPr>
      </w:pPr>
      <w:r w:rsidRPr="00103676">
        <w:t>Γ.</w:t>
      </w:r>
      <w:r w:rsidRPr="00103676">
        <w:tab/>
        <w:t>λαμβάνοντας υπόψη ότι, όσον αφορά τον τομέα σύναψης συμβάσεων της Αρχής, δεν αναφέρθηκαν για το 2022 ζητήματα που να απαιτούν διορθωτικές ενέργειες ούτε υπάρχουν εν εξελίξει ή εκκρεμή διορθωτικά μέτρα από ελέγχους και αξιολογήσεις προηγούμενων ετών·</w:t>
      </w:r>
    </w:p>
    <w:p w:rsidR="005126B7" w:rsidRPr="00103676" w:rsidRDefault="005126B7" w:rsidP="005126B7">
      <w:pPr>
        <w:widowControl/>
        <w:spacing w:after="240"/>
        <w:ind w:left="567" w:hanging="567"/>
        <w:rPr>
          <w:szCs w:val="24"/>
        </w:rPr>
      </w:pPr>
      <w:r w:rsidRPr="00103676">
        <w:t>Δ.</w:t>
      </w:r>
      <w:r w:rsidRPr="00103676">
        <w:tab/>
        <w:t>λαμβάνοντας υπόψη ότι, όσον αφορά τα συστήματα εσωτερικού ελέγχου της Αρχής, δεν αναφέρθηκαν για το 2022 ζητήματα που να απαιτούν διορθωτικές ενέργειες ούτε υπάρχουν εν εξελίξει ή εκκρεμή διορθωτικά μέτρα από ελέγχους και αξιολογήσεις προηγούμενων ετών·</w:t>
      </w:r>
    </w:p>
    <w:p w:rsidR="005126B7" w:rsidRPr="00103676" w:rsidRDefault="005126B7" w:rsidP="005126B7">
      <w:pPr>
        <w:spacing w:after="240"/>
        <w:ind w:left="567" w:hanging="567"/>
        <w:rPr>
          <w:b/>
          <w:i/>
          <w:szCs w:val="24"/>
        </w:rPr>
      </w:pPr>
      <w:r w:rsidRPr="00103676">
        <w:rPr>
          <w:b/>
          <w:i/>
        </w:rPr>
        <w:t>Δημοσιονομική και χρηματοοικονομική διαχείριση</w:t>
      </w:r>
    </w:p>
    <w:p w:rsidR="005126B7" w:rsidRPr="001A16CD" w:rsidRDefault="001A16CD" w:rsidP="001A16CD">
      <w:pPr>
        <w:spacing w:after="240"/>
        <w:ind w:left="567" w:hanging="573"/>
        <w:rPr>
          <w:szCs w:val="24"/>
        </w:rPr>
      </w:pPr>
      <w:r w:rsidRPr="00343928">
        <w:rPr>
          <w:szCs w:val="24"/>
        </w:rPr>
        <w:t>1.</w:t>
      </w:r>
      <w:r w:rsidRPr="00343928">
        <w:rPr>
          <w:szCs w:val="24"/>
        </w:rPr>
        <w:tab/>
      </w:r>
      <w:r w:rsidR="005126B7" w:rsidRPr="00103676">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99,95 %, το οποίο συνιστά ελαφριά μείωση κατά 0,04 % σε σύγκριση με το 2021· σημειώνει επίσης ότι το ποσοστό εκτέλεσης των πιστώσεων πληρωμών του τρέχοντος έτους ήταν 89,77 %, που συνιστά αύξηση κατά 0,92 % σε σύγκριση με το 2021·</w:t>
      </w:r>
    </w:p>
    <w:p w:rsidR="005126B7" w:rsidRPr="00103676" w:rsidRDefault="001A16CD" w:rsidP="001A16CD">
      <w:pPr>
        <w:pStyle w:val="NormalHanging12a"/>
        <w:ind w:hanging="573"/>
      </w:pPr>
      <w:r w:rsidRPr="00103676">
        <w:t>2.</w:t>
      </w:r>
      <w:r w:rsidRPr="00103676">
        <w:tab/>
      </w:r>
      <w:r w:rsidR="005126B7" w:rsidRPr="00103676">
        <w:t xml:space="preserve">σημειώνει ότι η έλλειψη πόρων και θέσεων για τις ρυθμιστικές αρχές για τα </w:t>
      </w:r>
      <w:proofErr w:type="spellStart"/>
      <w:r w:rsidR="005126B7" w:rsidRPr="00103676">
        <w:t>φυτοπροστατευτικά</w:t>
      </w:r>
      <w:proofErr w:type="spellEnd"/>
      <w:r w:rsidR="005126B7" w:rsidRPr="00103676">
        <w:t xml:space="preserve"> προϊόντα έχει ως αποτέλεσμα καθυστερήσεις στην έγκριση δραστικών ουσιών χαμηλού κινδύνου και στην επικαιροποίηση των μεθοδολογιών αξιολόγησης σύμφωνα με τις επιστημονικές εξελίξεις, διαδικασίες οι οποίες θα μείωναν μακροπρόθεσμα τον περιβαλλοντικό αντίκτυπο των </w:t>
      </w:r>
      <w:proofErr w:type="spellStart"/>
      <w:r w:rsidR="005126B7" w:rsidRPr="00103676">
        <w:t>φυτοπροστατευτικών</w:t>
      </w:r>
      <w:proofErr w:type="spellEnd"/>
      <w:r w:rsidR="005126B7" w:rsidRPr="00103676">
        <w:t xml:space="preserve"> προϊόντων· καλεί την Επιτροπή να λάβει κατάλληλα μέτρα για να διασφαλίσει ότι η Αρχή διαθέτει επαρκείς πόρους και θέσεις για να στηρίξει τα κράτη μέλη ώστε να τηρούν τις προθεσμίες τους, όπως ορίζονται στον κανονισμό (ΕΚ) αριθ. 1107/2009, να διπλασιάσει τον αριθμό των αξιολογήσεων δραστικών ουσιών για </w:t>
      </w:r>
      <w:proofErr w:type="spellStart"/>
      <w:r w:rsidR="005126B7" w:rsidRPr="00103676">
        <w:t>φυτοπροστατευτικά</w:t>
      </w:r>
      <w:proofErr w:type="spellEnd"/>
      <w:r w:rsidR="005126B7" w:rsidRPr="00103676">
        <w:t xml:space="preserve"> προϊόντα ανά έτος και να τριπλασιάσει την ταχύτητα ανάπτυξης μεθοδολογιών ώστε οι εκτιμήσεις κινδύνου να συμβαδίζουν με τις τελευταίες επιστημονικές εξελίξεις και τις προσδοκίες της κοινωνίας·</w:t>
      </w:r>
    </w:p>
    <w:p w:rsidR="005126B7" w:rsidRPr="00103676" w:rsidRDefault="005126B7" w:rsidP="005126B7">
      <w:pPr>
        <w:spacing w:after="240"/>
        <w:ind w:left="567" w:hanging="567"/>
        <w:rPr>
          <w:b/>
          <w:i/>
          <w:szCs w:val="24"/>
        </w:rPr>
      </w:pPr>
      <w:r w:rsidRPr="00103676">
        <w:rPr>
          <w:b/>
          <w:i/>
        </w:rPr>
        <w:t>Επιδόσεις</w:t>
      </w:r>
    </w:p>
    <w:p w:rsidR="005126B7" w:rsidRPr="00103676" w:rsidRDefault="001A16CD" w:rsidP="001A16CD">
      <w:pPr>
        <w:pStyle w:val="NormalHanging12a"/>
        <w:ind w:hanging="570"/>
      </w:pPr>
      <w:r w:rsidRPr="00103676">
        <w:t>3.</w:t>
      </w:r>
      <w:r w:rsidRPr="00103676">
        <w:tab/>
      </w:r>
      <w:r w:rsidR="005126B7" w:rsidRPr="00103676">
        <w:t xml:space="preserve">εκφράζει την ικανοποίησή του για τη συμβολή της Αρχής στην ασφάλεια της αλυσίδας τροφίμων και ζωοτροφών της Ένωσης, και για τις σημαντικές προσπάθειές της για την παροχή στους διαχειριστές κινδύνου εμπεριστατωμένων, ανεξάρτητων και </w:t>
      </w:r>
      <w:proofErr w:type="spellStart"/>
      <w:r w:rsidR="005126B7" w:rsidRPr="00103676">
        <w:t>επικαιροποιημένων</w:t>
      </w:r>
      <w:proofErr w:type="spellEnd"/>
      <w:r w:rsidR="005126B7" w:rsidRPr="00103676">
        <w:t xml:space="preserve"> επιστημονικών συμβουλών σχετικά με ζητήματα που αφορούν την αλυσίδα τροφίμων, με σαφή ενημέρωση του κοινού σχετικά με τα αποτελέσματά της και τις πληροφορίες στις οποίες αυτά βασίζονται και με τη συνεργασία με ενδιαφερόμενα μέρη και θεσμικούς εταίρους για την ενίσχυση της συνοχής του συστήματος ασφάλειας των τροφίμων και της εμπιστοσύνης σε αυτό·</w:t>
      </w:r>
    </w:p>
    <w:p w:rsidR="005126B7" w:rsidRPr="00103676" w:rsidRDefault="001A16CD" w:rsidP="001A16CD">
      <w:pPr>
        <w:pStyle w:val="NormalHanging12a"/>
        <w:ind w:hanging="570"/>
        <w:rPr>
          <w:szCs w:val="24"/>
        </w:rPr>
      </w:pPr>
      <w:r w:rsidRPr="00103676">
        <w:rPr>
          <w:szCs w:val="24"/>
        </w:rPr>
        <w:t>4.</w:t>
      </w:r>
      <w:r w:rsidRPr="00103676">
        <w:rPr>
          <w:szCs w:val="24"/>
        </w:rPr>
        <w:tab/>
      </w:r>
      <w:r w:rsidR="005126B7" w:rsidRPr="00103676">
        <w:t>σημειώνει με ικανοποίηση ότι η Αρχή έχει εφαρμόσει ένα ολοκληρωμένο πλαίσιο επιδόσεων που συνδέει τους πόρους και τις δραστηριότητες με τις εκροές και τα αναμενόμενα αποτελέσματα, το οποίο συμπληρώνεται με ένα σύνολο βασικών δεικτών επιδόσεων (ΒΔΕ) για την παρακολούθηση και τη βελτίωση των επιδόσεων· σημειώνει, επιπλέον, ότι οι επιδόσεις κάλυψαν τους στόχους που ορίζονται στο πλαίσιο επιδόσεων σε συνολικό ποσοστό 96 %· παρατηρεί ότι οι τομείς του στρατηγικού στόχου 2 (Διασφάλιση της ετοιμότητας για μελλοντικές ανάγκες ανάλυσης κινδύνου) και του στρατηγικού στόχου 3 (Ενδυνάμωση των πολιτών και διασφάλιση οργανωτικής ευελιξίας) παρουσίασαν συνολικά καλές επιδόσεις, ενώ ο τομέας του στρατηγικού στόχου 1 (Παροχή αξιόπιστων επιστημονικών συμβουλών και κοινοποίηση των κινδύνων από το αγρόκτημα στο πιάτο), που επηρεάστηκε σε μεγάλο βαθμό από την εφαρμογή των νέων κανόνων και διαδικασιών στο πλαίσιο του κανονισμού (ΕΕ) 2019/1381</w:t>
      </w:r>
      <w:r w:rsidR="005126B7" w:rsidRPr="00103676">
        <w:rPr>
          <w:rStyle w:val="FootnoteReference"/>
          <w:szCs w:val="24"/>
        </w:rPr>
        <w:footnoteReference w:id="12"/>
      </w:r>
      <w:r w:rsidR="005126B7" w:rsidRPr="00103676">
        <w:t>, παρουσίασε απόκλιση από τον στόχο·</w:t>
      </w:r>
    </w:p>
    <w:p w:rsidR="005126B7" w:rsidRPr="00103676" w:rsidRDefault="001A16CD" w:rsidP="001A16CD">
      <w:pPr>
        <w:pStyle w:val="NormalHanging12a"/>
        <w:ind w:hanging="570"/>
        <w:rPr>
          <w:szCs w:val="24"/>
        </w:rPr>
      </w:pPr>
      <w:r w:rsidRPr="00103676">
        <w:rPr>
          <w:szCs w:val="24"/>
        </w:rPr>
        <w:t>5.</w:t>
      </w:r>
      <w:r w:rsidRPr="00103676">
        <w:rPr>
          <w:szCs w:val="24"/>
        </w:rPr>
        <w:tab/>
      </w:r>
      <w:r w:rsidR="005126B7" w:rsidRPr="00103676">
        <w:t>επισημαίνει ότι η Αρχή έχει διεκπεραιώσει 586 αιτήματα για επιστημονική γνωμάτευση από τα προβλεπόμενα 701 που αφορούν τον στόχο 1: «Παροχή αξιόπιστων επιστημονικών συμβουλών και κοινοποίηση των κινδύνων από το αγρόκτημα στο πιάτο»· σημειώνει ότι ο αριθμός των αιτημάτων για επιστημονική γνωμάτευση που διεκπεραιώθηκαν, παρότι ήταν μικρότερος από ό,τι είχε προβλεφθεί, ήταν σε γενικές γραμμές ίσος με τον αριθμό των νέων αιτημάτων που ελήφθησαν κατά τη διάρκεια του έτους και έτσι διασφαλίστηκε ότι δεν αυξήθηκε ο όγκος των αιτημάτων που παρέμειναν εκκρεμή·</w:t>
      </w:r>
    </w:p>
    <w:p w:rsidR="005126B7" w:rsidRPr="00103676" w:rsidRDefault="001A16CD" w:rsidP="001A16CD">
      <w:pPr>
        <w:pStyle w:val="NormalHanging12a"/>
        <w:ind w:hanging="570"/>
        <w:rPr>
          <w:szCs w:val="24"/>
        </w:rPr>
      </w:pPr>
      <w:r w:rsidRPr="00103676">
        <w:rPr>
          <w:szCs w:val="24"/>
        </w:rPr>
        <w:t>6.</w:t>
      </w:r>
      <w:r w:rsidRPr="00103676">
        <w:rPr>
          <w:szCs w:val="24"/>
        </w:rPr>
        <w:tab/>
      </w:r>
      <w:r w:rsidR="005126B7" w:rsidRPr="00103676">
        <w:t>εκφράζει την ικανοποίησή του για το γεγονός ότι στον τομέα της δημοσίευσης των πορισμάτων καταγράφηκαν πολύ θετικά αποτελέσματα, ενώ διατηρήθηκαν οι θετικές επιδόσεις που επιτεύχθηκαν κατά την τελευταία διετία όσον αφορά την έγκαιρη δημοσίευση στο περιοδικό της Αρχής·</w:t>
      </w:r>
    </w:p>
    <w:p w:rsidR="005126B7" w:rsidRPr="00103676" w:rsidRDefault="001A16CD" w:rsidP="001A16CD">
      <w:pPr>
        <w:pStyle w:val="NormalHanging12a"/>
        <w:ind w:hanging="570"/>
        <w:rPr>
          <w:szCs w:val="24"/>
        </w:rPr>
      </w:pPr>
      <w:r w:rsidRPr="00103676">
        <w:rPr>
          <w:szCs w:val="24"/>
        </w:rPr>
        <w:t>7.</w:t>
      </w:r>
      <w:r w:rsidRPr="00103676">
        <w:rPr>
          <w:szCs w:val="24"/>
        </w:rPr>
        <w:tab/>
      </w:r>
      <w:r w:rsidR="005126B7" w:rsidRPr="00103676">
        <w:t>λαμβάνει υπόψη ότι το 2022 ήταν το πρώτο έτος εφαρμογής της στρατηγικής 2027, η οποία σχεδιάστηκε ως εξέλιξη της στρατηγικής 2020 και επικεντρώνεται στην εφαρμογή του κανονισμού (ΕΕ) 2019/1381 (βραχυπρόθεσμα) προετοιμάζοντας την Αρχή να αντιμετωπίσει τις νέες εξελισσόμενες πολιτικές της ΕΕ (μακροπρόθεσμα)·</w:t>
      </w:r>
    </w:p>
    <w:p w:rsidR="005126B7" w:rsidRPr="00103676" w:rsidRDefault="001A16CD" w:rsidP="001A16CD">
      <w:pPr>
        <w:pStyle w:val="NormalHanging12a"/>
        <w:ind w:hanging="570"/>
        <w:rPr>
          <w:szCs w:val="24"/>
        </w:rPr>
      </w:pPr>
      <w:r w:rsidRPr="00103676">
        <w:rPr>
          <w:szCs w:val="24"/>
        </w:rPr>
        <w:t>8.</w:t>
      </w:r>
      <w:r w:rsidRPr="00103676">
        <w:rPr>
          <w:szCs w:val="24"/>
        </w:rPr>
        <w:tab/>
      </w:r>
      <w:r w:rsidR="005126B7" w:rsidRPr="00103676">
        <w:t xml:space="preserve">εκφράζει την ικανοποίησή του για το ότι η Αρχή διοργάνωσε το συνέδριο «ΟΝΕ – Health, </w:t>
      </w:r>
      <w:proofErr w:type="spellStart"/>
      <w:r w:rsidR="005126B7" w:rsidRPr="00103676">
        <w:t>Environment</w:t>
      </w:r>
      <w:proofErr w:type="spellEnd"/>
      <w:r w:rsidR="005126B7" w:rsidRPr="00103676">
        <w:t>, Society» (Υγεία, Περιβάλλον, Κοινωνία) τον Ιούνιο του 2022, φέρνοντας στο προσκήνιο τη σχέση μεταξύ της υγείας των ανθρώπων, της υγείας των ζώων και της υγείας του περιβάλλοντος η οποία οδηγεί σε «μία υγεία – ένα περιβάλλον»·</w:t>
      </w:r>
    </w:p>
    <w:p w:rsidR="005126B7" w:rsidRPr="00103676" w:rsidRDefault="001A16CD" w:rsidP="001A16CD">
      <w:pPr>
        <w:pStyle w:val="NormalHanging12a"/>
        <w:ind w:hanging="570"/>
        <w:rPr>
          <w:szCs w:val="24"/>
        </w:rPr>
      </w:pPr>
      <w:r w:rsidRPr="00103676">
        <w:rPr>
          <w:szCs w:val="24"/>
        </w:rPr>
        <w:t>9.</w:t>
      </w:r>
      <w:r w:rsidRPr="00103676">
        <w:rPr>
          <w:szCs w:val="24"/>
        </w:rPr>
        <w:tab/>
      </w:r>
      <w:r w:rsidR="005126B7" w:rsidRPr="00103676">
        <w:t>σημειώνει ότι η Αρχή έχει ξεκινήσει εκστρατεία για την αφρικανική πανώλη των χοίρων σε συνεργασία με 18 κράτη μέλη· σημειώνει περαιτέρω ότι η Αρχή συνέβαλε στον σχεδιασμό και την εφαρμογή της στρατηγικής της ΕΕ για τα χημικά προϊόντα·</w:t>
      </w:r>
    </w:p>
    <w:p w:rsidR="005126B7" w:rsidRPr="00103676" w:rsidRDefault="001A16CD" w:rsidP="001A16CD">
      <w:pPr>
        <w:pStyle w:val="NormalHanging12a"/>
        <w:ind w:hanging="570"/>
      </w:pPr>
      <w:r w:rsidRPr="00103676">
        <w:t>10.</w:t>
      </w:r>
      <w:r w:rsidRPr="00103676">
        <w:tab/>
      </w:r>
      <w:r w:rsidR="005126B7" w:rsidRPr="00103676">
        <w:t>σημειώνει ότι, σύμφωνα με την ετήσια έρευνα στρατηγικής που δρομολόγησε η Αρχή ζητώντας ανατροφοδότηση από τους πελάτες, τους εταίρους και τα ενδιαφερόμενα μέρη που συμμετέχουν άμεσα ή έμμεσα στην έκδοση των επιστημονικών γνωμών της Αρχής, η ικανότητα της Αρχής να παρέχει εγκαίρως συμβουλές εξακολουθεί να χρήζει προσοχής·</w:t>
      </w:r>
    </w:p>
    <w:p w:rsidR="005126B7" w:rsidRPr="00103676" w:rsidRDefault="005126B7" w:rsidP="005126B7">
      <w:pPr>
        <w:pStyle w:val="NormalHanging12a"/>
        <w:rPr>
          <w:b/>
          <w:i/>
          <w:szCs w:val="24"/>
        </w:rPr>
      </w:pPr>
      <w:r w:rsidRPr="00103676">
        <w:rPr>
          <w:b/>
          <w:i/>
        </w:rPr>
        <w:t>Αποδοτικότητα και βελτιώσεις</w:t>
      </w:r>
    </w:p>
    <w:p w:rsidR="005126B7" w:rsidRPr="00103676" w:rsidRDefault="001A16CD" w:rsidP="001A16CD">
      <w:pPr>
        <w:pStyle w:val="NormalHanging12a"/>
        <w:ind w:hanging="570"/>
        <w:rPr>
          <w:szCs w:val="24"/>
        </w:rPr>
      </w:pPr>
      <w:r w:rsidRPr="00103676">
        <w:rPr>
          <w:szCs w:val="24"/>
        </w:rPr>
        <w:t>11.</w:t>
      </w:r>
      <w:r w:rsidRPr="00103676">
        <w:rPr>
          <w:szCs w:val="24"/>
        </w:rPr>
        <w:tab/>
      </w:r>
      <w:r w:rsidR="005126B7" w:rsidRPr="00103676">
        <w:t xml:space="preserve">παρατηρεί ότι η Αρχή συνεργάζεται με τον Ευρωπαϊκό Οργανισμό Χημικών Προϊόντων, στο πλαίσιο της νέας στρατηγικής της Ένωσης για τα χημικά προϊόντα, και με το Ευρωπαϊκό Κέντρο Πρόληψης και Ελέγχου Νόσων για την ανάπτυξη συστημάτων συλλογής και ανάλυσης της </w:t>
      </w:r>
      <w:proofErr w:type="spellStart"/>
      <w:r w:rsidR="005126B7" w:rsidRPr="00103676">
        <w:t>αλληλούχησης</w:t>
      </w:r>
      <w:proofErr w:type="spellEnd"/>
      <w:r w:rsidR="005126B7" w:rsidRPr="00103676">
        <w:t xml:space="preserve"> του </w:t>
      </w:r>
      <w:proofErr w:type="spellStart"/>
      <w:r w:rsidR="005126B7" w:rsidRPr="00103676">
        <w:t>γονιδιώματος</w:t>
      </w:r>
      <w:proofErr w:type="spellEnd"/>
      <w:r w:rsidR="005126B7" w:rsidRPr="00103676">
        <w:t>· σημειώνει, επιπλέον, ότι η Αρχή έχει μοιραστεί ανθρώπινους και ερευνητικούς πόρους με αδελφούς οργανισμούς και το Κοινό Κέντρο Ερευνών· τονίζει περαιτέρω τα οριζόντια οφέλη της συνεργασίας και της προσαρμογής βέλτιστων πρακτικών·</w:t>
      </w:r>
    </w:p>
    <w:p w:rsidR="005126B7" w:rsidRPr="00103676" w:rsidRDefault="001A16CD" w:rsidP="001A16CD">
      <w:pPr>
        <w:pStyle w:val="NormalHanging12a"/>
        <w:ind w:hanging="570"/>
        <w:rPr>
          <w:szCs w:val="24"/>
        </w:rPr>
      </w:pPr>
      <w:r w:rsidRPr="00103676">
        <w:rPr>
          <w:szCs w:val="24"/>
        </w:rPr>
        <w:t>12.</w:t>
      </w:r>
      <w:r w:rsidRPr="00103676">
        <w:rPr>
          <w:szCs w:val="24"/>
        </w:rPr>
        <w:tab/>
      </w:r>
      <w:r w:rsidR="005126B7" w:rsidRPr="00103676">
        <w:t>επισημαίνει ότι η Αρχή ενέτεινε τις προσπάθειές της το 2022 για την εδραίωση της εφαρμογής νέων διαδικασιών και εργαλείων ΤΠ, προσπαθώντας να επιτύχει υψηλό επίπεδο αποδοτικότητας και να μεγιστοποιήσει τις συνέργειες με άλλους οργανισμούς· επισημαίνει περαιτέρω ότι ορισμένα από τα αποτελέσματα της Αρχής όσον αφορά την αποδοτικότητα και τη βελτίωση των εργαλείων ΤΠ που τέθηκαν σε εφαρμογή κατά την περίοδο 2020-2022 δεν αναμένονται πριν από το τέλος του 2023·</w:t>
      </w:r>
    </w:p>
    <w:p w:rsidR="005126B7" w:rsidRPr="00103676" w:rsidRDefault="001A16CD" w:rsidP="001A16CD">
      <w:pPr>
        <w:pStyle w:val="NormalHanging12a"/>
        <w:ind w:hanging="570"/>
      </w:pPr>
      <w:r w:rsidRPr="00103676">
        <w:t>13.</w:t>
      </w:r>
      <w:r w:rsidRPr="00103676">
        <w:tab/>
      </w:r>
      <w:r w:rsidR="005126B7" w:rsidRPr="00103676">
        <w:t xml:space="preserve">εκφράζει την ικανοποίησή του για την πρόθεση της Αρχής να ενισχύσει την κοινή διαχείριση δεδομένων με τα κράτη μέλη και άλλους οργανισμούς, η οποία αναμένεται να βελτιώσει την ποιότητα των δεδομένων και τη </w:t>
      </w:r>
      <w:proofErr w:type="spellStart"/>
      <w:r w:rsidR="005126B7" w:rsidRPr="00103676">
        <w:t>διαλειτουργικότητά</w:t>
      </w:r>
      <w:proofErr w:type="spellEnd"/>
      <w:r w:rsidR="005126B7" w:rsidRPr="00103676">
        <w:t xml:space="preserve"> τους (σύμφωνα με την προσέγγιση «Μία υγεία»)·</w:t>
      </w:r>
    </w:p>
    <w:p w:rsidR="005126B7" w:rsidRPr="00103676" w:rsidRDefault="005126B7" w:rsidP="005126B7">
      <w:pPr>
        <w:spacing w:after="240"/>
        <w:ind w:left="567" w:hanging="567"/>
        <w:rPr>
          <w:b/>
          <w:i/>
          <w:szCs w:val="24"/>
        </w:rPr>
      </w:pPr>
      <w:r w:rsidRPr="00103676">
        <w:rPr>
          <w:b/>
          <w:i/>
        </w:rPr>
        <w:t>Πολιτική προσωπικού</w:t>
      </w:r>
    </w:p>
    <w:p w:rsidR="005126B7" w:rsidRPr="001A16CD" w:rsidRDefault="001A16CD" w:rsidP="001A16CD">
      <w:pPr>
        <w:spacing w:after="240"/>
        <w:ind w:left="567" w:hanging="573"/>
        <w:rPr>
          <w:rFonts w:eastAsia="Calibri"/>
          <w:szCs w:val="24"/>
        </w:rPr>
      </w:pPr>
      <w:r w:rsidRPr="00343928">
        <w:rPr>
          <w:rFonts w:eastAsia="Calibri"/>
          <w:szCs w:val="24"/>
        </w:rPr>
        <w:t>14.</w:t>
      </w:r>
      <w:r w:rsidRPr="00343928">
        <w:rPr>
          <w:rFonts w:eastAsia="Calibri"/>
          <w:szCs w:val="24"/>
        </w:rPr>
        <w:tab/>
      </w:r>
      <w:r w:rsidR="005126B7" w:rsidRPr="00103676">
        <w:t>σημειώνει ότι στις 31 Δεκεμβρίου 2022 το ποσοστό κάλυψης των θέσεων του πίνακα προσωπικού ήταν 95,55 % και ότι από τις 405 θέσεις που είχαν εγκριθεί στον προϋπολογισμό της Ένωσης (σε σύγκριση με 380 εγκεκριμένες θέσεις το 2021) καλύπτονταν οι 5 με μόνιμους και οι 382 με έκτακτους υπαλλήλους· σημειώνει ότι, επιπλέον, το 2022 εργάστηκαν για την Αρχή 170 συμβασιούχοι υπάλληλοι και 14 αποσπασμένοι εθνικοί εμπειρογνώμονες· σημειώνει επίσης ότι, για να εφαρμοστεί ο κανονισμός (ΕΕ) 2019/1381, η Αρχή έλαβε 31 νέες θέσεις προσωπικού το 2022 και 15 επιπλέον θέσεις συμβασιούχων υπαλλήλων για την περίοδο 2022-2024·</w:t>
      </w:r>
    </w:p>
    <w:p w:rsidR="005126B7" w:rsidRPr="001A16CD" w:rsidRDefault="001A16CD" w:rsidP="001A16CD">
      <w:pPr>
        <w:widowControl/>
        <w:spacing w:after="240"/>
        <w:ind w:left="567" w:hanging="573"/>
        <w:rPr>
          <w:szCs w:val="24"/>
        </w:rPr>
      </w:pPr>
      <w:r w:rsidRPr="00343928">
        <w:rPr>
          <w:szCs w:val="24"/>
        </w:rPr>
        <w:t>15.</w:t>
      </w:r>
      <w:r w:rsidRPr="00343928">
        <w:rPr>
          <w:szCs w:val="24"/>
        </w:rPr>
        <w:tab/>
      </w:r>
      <w:r w:rsidR="005126B7" w:rsidRPr="00103676">
        <w:t>λαμβάνει υπόψη ότι το 2022 επιτεύχθηκε ισόρροπη εκπροσώπηση των φύλων στο συνολικό προσωπικό της Αρχής, όπου 335 από τα 557 μέλη του προσωπικού (60,1 %) ήταν γυναίκες, και στο διοικητικό συμβούλιο της Αρχής, όπου 37 από τα 70 μέλη (52,9 %) ήταν γυναίκες· παρατηρεί ότι σε υψηλόβαθμες και διευθυντικές θέσεις οι άνδρες καταλαμβάνουν υψηλότερο ποσοστό θέσεων (63 %) από ό,τι οι γυναίκες (37 %)· καλεί την Αρχή να εντείνει τις προσπάθειες για γεφύρωση του χάσματος μεταξύ των φύλων σε υψηλόβαθμες και διευθυντικές θέσεις·</w:t>
      </w:r>
    </w:p>
    <w:p w:rsidR="005126B7" w:rsidRPr="001A16CD" w:rsidRDefault="001A16CD" w:rsidP="001A16CD">
      <w:pPr>
        <w:spacing w:after="240"/>
        <w:ind w:left="567" w:hanging="573"/>
        <w:rPr>
          <w:rFonts w:eastAsia="Calibri"/>
          <w:szCs w:val="24"/>
        </w:rPr>
      </w:pPr>
      <w:r w:rsidRPr="00343928">
        <w:rPr>
          <w:rFonts w:eastAsia="Calibri"/>
          <w:szCs w:val="24"/>
        </w:rPr>
        <w:t>16.</w:t>
      </w:r>
      <w:r w:rsidRPr="00343928">
        <w:rPr>
          <w:rFonts w:eastAsia="Calibri"/>
          <w:szCs w:val="24"/>
        </w:rPr>
        <w:tab/>
      </w:r>
      <w:r w:rsidR="005126B7" w:rsidRPr="00103676">
        <w:t>λαμβάνει υπόψη ότι το 2022 αναφέρθηκαν από την ιατρική υπηρεσία τρεις περιπτώσεις επαγγελματικής εξουθένωσης·</w:t>
      </w:r>
      <w:r w:rsidR="005126B7" w:rsidRPr="001A16CD">
        <w:rPr>
          <w:rFonts w:ascii="Segoe UI" w:hAnsi="Segoe UI"/>
          <w:color w:val="374151"/>
        </w:rPr>
        <w:t xml:space="preserve"> </w:t>
      </w:r>
      <w:r w:rsidR="005126B7" w:rsidRPr="00103676">
        <w:t>τονίζει την καίρια σημασία που έχει η διατήρηση ισορροπίας μεταξύ των επαγγελματικών υποχρεώσεων και της προσωπικής ζωής· καλεί την Αρχή να συνεχίσει να προωθεί μια υγιή ισορροπία μεταξύ της επαγγελματικής και της προσωπικής ζωής του προσωπικού·</w:t>
      </w:r>
    </w:p>
    <w:p w:rsidR="005126B7" w:rsidRPr="001A16CD" w:rsidRDefault="001A16CD" w:rsidP="001A16CD">
      <w:pPr>
        <w:spacing w:after="240"/>
        <w:ind w:left="567" w:hanging="573"/>
        <w:rPr>
          <w:rFonts w:eastAsia="Calibri"/>
          <w:szCs w:val="24"/>
        </w:rPr>
      </w:pPr>
      <w:r w:rsidRPr="00343928">
        <w:rPr>
          <w:rFonts w:eastAsia="Calibri"/>
          <w:szCs w:val="24"/>
        </w:rPr>
        <w:t>17.</w:t>
      </w:r>
      <w:r w:rsidRPr="00343928">
        <w:rPr>
          <w:rFonts w:eastAsia="Calibri"/>
          <w:szCs w:val="24"/>
        </w:rPr>
        <w:tab/>
      </w:r>
      <w:r w:rsidR="005126B7" w:rsidRPr="00103676">
        <w:t xml:space="preserve">σημειώνει ότι η Αρχή είναι προσηλωμένη στις αξίες του δικτύου των οργανισμών της ΕΕ και του Χάρτη για τη διαφορετικότητα και την ένταξη και καταβάλλει προσπάθειες για την υιοθέτησή του το συντομότερο δυνατόν· σημειώνει περαιτέρω ότι η Αρχή συμμετέχει στην ομάδα εργασίας για την πολυμορφία και την ένταξη που υπάγεται στο δίκτυο των οργανισμών της ΕΕ ανταλλάσσοντας συνέργειες, πληροφορίες και πόρους σχετικά με την πολυμορφία και την ένταξη· επιπλέον, υλοποιήθηκαν ορισμένες εσωτερικές πρωτοβουλίες, όπως ένας νέος </w:t>
      </w:r>
      <w:proofErr w:type="spellStart"/>
      <w:r w:rsidR="005126B7" w:rsidRPr="00103676">
        <w:t>ιστότοπος</w:t>
      </w:r>
      <w:proofErr w:type="spellEnd"/>
      <w:r w:rsidR="005126B7" w:rsidRPr="00103676">
        <w:t xml:space="preserve"> σταδιοδρομίας και βίντεο σχετικά με την εργασία στην Αρχή με ειδικό θέμα την πολυμορφία και την ένταξη·</w:t>
      </w:r>
    </w:p>
    <w:p w:rsidR="005126B7" w:rsidRPr="001A16CD" w:rsidRDefault="001A16CD" w:rsidP="001A16CD">
      <w:pPr>
        <w:spacing w:after="240"/>
        <w:ind w:left="567" w:hanging="573"/>
        <w:rPr>
          <w:rFonts w:eastAsia="Calibri"/>
          <w:szCs w:val="24"/>
        </w:rPr>
      </w:pPr>
      <w:r w:rsidRPr="00343928">
        <w:rPr>
          <w:rFonts w:eastAsia="Calibri"/>
          <w:szCs w:val="24"/>
        </w:rPr>
        <w:t>18.</w:t>
      </w:r>
      <w:r w:rsidRPr="00343928">
        <w:rPr>
          <w:rFonts w:eastAsia="Calibri"/>
          <w:szCs w:val="24"/>
        </w:rPr>
        <w:tab/>
      </w:r>
      <w:r w:rsidR="005126B7" w:rsidRPr="00103676">
        <w:t>παρατηρεί ότι η Αρχή έχει υιοθετήσει τις κατευθυντήριες γραμμές για την εφαρμογή της βοήθειας για άτομα με αναπηρία που προωθούν την κοινωνική πολιτική και την ίση μεταχείριση στον χώρο εργασίας· επισημαίνει, επιπλέον, ότι το κτίριο της Αρχής έχει σχεδιαστεί σύμφωνα με τους ιταλικούς κανονισμούς προσβασιμότητας για τα άτομα με αναπηρία·</w:t>
      </w:r>
    </w:p>
    <w:p w:rsidR="005126B7" w:rsidRPr="001A16CD" w:rsidRDefault="001A16CD" w:rsidP="001A16CD">
      <w:pPr>
        <w:spacing w:after="240"/>
        <w:ind w:left="567" w:hanging="573"/>
        <w:rPr>
          <w:rFonts w:eastAsia="Calibri"/>
          <w:szCs w:val="24"/>
        </w:rPr>
      </w:pPr>
      <w:r w:rsidRPr="00343928">
        <w:rPr>
          <w:rFonts w:eastAsia="Calibri"/>
          <w:szCs w:val="24"/>
        </w:rPr>
        <w:t>19.</w:t>
      </w:r>
      <w:r w:rsidRPr="00343928">
        <w:rPr>
          <w:rFonts w:eastAsia="Calibri"/>
          <w:szCs w:val="24"/>
        </w:rPr>
        <w:tab/>
      </w:r>
      <w:r w:rsidR="005126B7" w:rsidRPr="00103676">
        <w:t>σημειώνει ότι από την 1η Ιανουαρίου 2022 τέθηκε σε εφαρμογή μια νέα οργανωτική δομή για τη στήριξη της εφαρμογής του κανονισμού (ΕΕ) 2019/1381 και των φιλοδοξιών της στρατηγικής της Αρχής για το 2027·</w:t>
      </w:r>
    </w:p>
    <w:p w:rsidR="005126B7" w:rsidRPr="00103676" w:rsidRDefault="005126B7" w:rsidP="005126B7">
      <w:pPr>
        <w:spacing w:after="240"/>
        <w:ind w:left="567" w:hanging="567"/>
        <w:rPr>
          <w:b/>
          <w:i/>
          <w:szCs w:val="24"/>
        </w:rPr>
      </w:pPr>
      <w:r w:rsidRPr="00103676">
        <w:rPr>
          <w:b/>
          <w:i/>
        </w:rPr>
        <w:t>Πρόληψη και διαχείριση συγκρούσεων συμφερόντων και διαφάνεια</w:t>
      </w:r>
    </w:p>
    <w:p w:rsidR="005126B7" w:rsidRPr="001A16CD" w:rsidRDefault="001A16CD" w:rsidP="001A16CD">
      <w:pPr>
        <w:spacing w:after="240"/>
        <w:ind w:left="567" w:hanging="573"/>
        <w:rPr>
          <w:rFonts w:eastAsia="Calibri"/>
          <w:szCs w:val="24"/>
        </w:rPr>
      </w:pPr>
      <w:r w:rsidRPr="00343928">
        <w:rPr>
          <w:rFonts w:eastAsia="Calibri"/>
          <w:szCs w:val="24"/>
        </w:rPr>
        <w:t>20.</w:t>
      </w:r>
      <w:r w:rsidRPr="00343928">
        <w:rPr>
          <w:rFonts w:eastAsia="Calibri"/>
          <w:szCs w:val="24"/>
        </w:rPr>
        <w:tab/>
      </w:r>
      <w:r w:rsidR="005126B7" w:rsidRPr="00103676">
        <w:t>σημειώνει ότι το διοικητικό συμβούλιο και η επιχειρησιακή διοίκηση της Αρχής έχουν υπογράψει δήλωση σύγκρουσης συμφερόντων, η οποία είναι δημοσιευμένη και διαθέσιμη στον ιστότοπο· επισημαίνει περαιτέρω ότι τα βιογραφικά σημειώματα των τακτικών και των αναπληρωματικών μελών του διοικητικού συμβουλίου έπρεπε να δημοσιευθούν έως το τέλος του 2023·</w:t>
      </w:r>
    </w:p>
    <w:p w:rsidR="005126B7" w:rsidRPr="001A16CD" w:rsidRDefault="001A16CD" w:rsidP="001A16CD">
      <w:pPr>
        <w:spacing w:after="240"/>
        <w:ind w:left="567" w:hanging="573"/>
        <w:rPr>
          <w:rFonts w:eastAsia="Calibri"/>
          <w:szCs w:val="24"/>
        </w:rPr>
      </w:pPr>
      <w:r w:rsidRPr="00343928">
        <w:rPr>
          <w:rFonts w:eastAsia="Calibri"/>
          <w:szCs w:val="24"/>
        </w:rPr>
        <w:t>21.</w:t>
      </w:r>
      <w:r w:rsidRPr="00343928">
        <w:rPr>
          <w:rFonts w:eastAsia="Calibri"/>
          <w:szCs w:val="24"/>
        </w:rPr>
        <w:tab/>
      </w:r>
      <w:r w:rsidR="005126B7" w:rsidRPr="00103676">
        <w:t>παρατηρεί ότι το 2022 η Αρχή εντόπισε και διαχειρίστηκε επτά περιπτώσεις σύγκρουσης συμφερόντων σε σχέση με τις ετήσιες δηλώσεις συμφερόντων που αφορούν εξωτερικούς εμπειρογνώμονες· σημειώνει ότι η Αρχή δεν επέτρεψε τη συμμετοχή τους στην επιστημονική δραστηριότητα·</w:t>
      </w:r>
    </w:p>
    <w:p w:rsidR="005126B7" w:rsidRPr="001A16CD" w:rsidRDefault="001A16CD" w:rsidP="001A16CD">
      <w:pPr>
        <w:spacing w:after="240"/>
        <w:ind w:left="567" w:hanging="573"/>
        <w:rPr>
          <w:rFonts w:eastAsia="Calibri"/>
          <w:szCs w:val="24"/>
        </w:rPr>
      </w:pPr>
      <w:r w:rsidRPr="00343928">
        <w:rPr>
          <w:rFonts w:eastAsia="Calibri"/>
          <w:szCs w:val="24"/>
        </w:rPr>
        <w:t>22.</w:t>
      </w:r>
      <w:r w:rsidRPr="00343928">
        <w:rPr>
          <w:rFonts w:eastAsia="Calibri"/>
          <w:szCs w:val="24"/>
        </w:rPr>
        <w:tab/>
      </w:r>
      <w:r w:rsidR="005126B7" w:rsidRPr="00103676">
        <w:t>αναγνωρίζει ότι η Αρχή έχει θεσπίσει προαιρετικό κώδικα δεοντολογίας βάσει του οποίου τα μέλη του διοικητικού συμβουλίου υποχρεούνται να γνωστοποιούν στην Αρχή τις επαγγελματικές δραστηριότητες που ασκούν για διάστημα 2 ετών μετά τη λήξη της θητείας τους·</w:t>
      </w:r>
    </w:p>
    <w:p w:rsidR="005126B7" w:rsidRPr="001A16CD" w:rsidRDefault="001A16CD" w:rsidP="001A16CD">
      <w:pPr>
        <w:spacing w:after="240"/>
        <w:ind w:left="567" w:hanging="573"/>
        <w:rPr>
          <w:rFonts w:eastAsia="Calibri"/>
          <w:szCs w:val="24"/>
        </w:rPr>
      </w:pPr>
      <w:r w:rsidRPr="00343928">
        <w:rPr>
          <w:rFonts w:eastAsia="Calibri"/>
          <w:szCs w:val="24"/>
        </w:rPr>
        <w:t>23.</w:t>
      </w:r>
      <w:r w:rsidRPr="00343928">
        <w:rPr>
          <w:rFonts w:eastAsia="Calibri"/>
          <w:szCs w:val="24"/>
        </w:rPr>
        <w:tab/>
      </w:r>
      <w:r w:rsidR="005126B7" w:rsidRPr="00103676">
        <w:t>λαμβάνει υπόψη ότι η Αρχή πρόκειται να θεσπίσει έως το 1ο τρίμηνο του 2024 μια νέα τυποποιημένη διαδικασία μετά την έξοδο από την υπηρεσία, η οποία θα περιλαμβάνει τα κριτήρια και τη διαδικασία για τη διακοπή της πρόσβασης του προσωπικού που αποχωρεί από την υπηρεσία σε εμπιστευτικές πληροφορίες, απαιτήσεις παρακολούθησης και εφαρμογής και πρότυπα διαφάνειας·</w:t>
      </w:r>
    </w:p>
    <w:p w:rsidR="005126B7" w:rsidRPr="001A16CD" w:rsidRDefault="001A16CD" w:rsidP="001A16CD">
      <w:pPr>
        <w:spacing w:after="240"/>
        <w:ind w:left="567" w:hanging="573"/>
        <w:rPr>
          <w:rFonts w:eastAsia="Calibri"/>
          <w:szCs w:val="24"/>
        </w:rPr>
      </w:pPr>
      <w:r w:rsidRPr="00343928">
        <w:rPr>
          <w:rFonts w:eastAsia="Calibri"/>
          <w:szCs w:val="24"/>
        </w:rPr>
        <w:t>24.</w:t>
      </w:r>
      <w:r w:rsidRPr="00343928">
        <w:rPr>
          <w:rFonts w:eastAsia="Calibri"/>
          <w:szCs w:val="24"/>
        </w:rPr>
        <w:tab/>
      </w:r>
      <w:r w:rsidR="005126B7" w:rsidRPr="00103676">
        <w:t>σημειώνει ότι η Αρχή εφαρμόζει στρατηγική για την καταπολέμηση της απάτης, η οποία αναπτύχθηκε σε στενή συνεργασία με την Ευρωπαϊκή Υπηρεσία Καταπολέμησης της Απάτης και συνοδεύεται από σχετικούς εκτελεστικούς κανόνες και σχέδιο δράσης για την πρόληψη της απάτης και της διαφθοράς·</w:t>
      </w:r>
    </w:p>
    <w:p w:rsidR="005126B7" w:rsidRPr="00103676" w:rsidRDefault="005126B7" w:rsidP="005126B7">
      <w:pPr>
        <w:spacing w:after="240"/>
        <w:ind w:left="567" w:hanging="567"/>
        <w:rPr>
          <w:b/>
          <w:i/>
          <w:szCs w:val="24"/>
        </w:rPr>
      </w:pPr>
      <w:r w:rsidRPr="00103676">
        <w:rPr>
          <w:b/>
          <w:i/>
        </w:rPr>
        <w:t>Λοιπές παρατηρήσεις</w:t>
      </w:r>
    </w:p>
    <w:p w:rsidR="005126B7" w:rsidRPr="001A16CD" w:rsidRDefault="001A16CD" w:rsidP="001A16CD">
      <w:pPr>
        <w:spacing w:after="240"/>
        <w:ind w:left="567" w:hanging="573"/>
        <w:rPr>
          <w:szCs w:val="24"/>
        </w:rPr>
      </w:pPr>
      <w:r w:rsidRPr="00343928">
        <w:rPr>
          <w:szCs w:val="24"/>
        </w:rPr>
        <w:t>25.</w:t>
      </w:r>
      <w:r w:rsidRPr="00343928">
        <w:rPr>
          <w:szCs w:val="24"/>
        </w:rPr>
        <w:tab/>
      </w:r>
      <w:r w:rsidR="005126B7" w:rsidRPr="00103676">
        <w:t>παρατηρεί ότι τον Ιούνιο του 2022 η Υπηρεσία Εσωτερικού Λογιστικού Ελέγχου (IAS) εξέδωσε την έκθεση ελέγχου σχετικά με την ασφάλεια των πληροφοριών και την αποκατάσταση της λειτουργίας μετά από καταστροφή, με στόχο την αξιολόγηση της επάρκειας του σχεδιασμού και της υλοποίησης της διακυβέρνησης, στην οποία διατυπώνει δύο παρατηρήσεις και τρεις σημαντικές παρατηρήσεις σχετικά με τη διακυβέρνηση της ασφάλειας ΤΠ· επισημαίνει ότι η Αρχή αποδέχθηκε τις συστάσεις της IAS και εφαρμόζει επί του παρόντος σχέδιο δράσης·</w:t>
      </w:r>
    </w:p>
    <w:p w:rsidR="005126B7" w:rsidRPr="00103676" w:rsidRDefault="001A16CD" w:rsidP="001A16CD">
      <w:pPr>
        <w:pStyle w:val="NormalHanging12a"/>
        <w:ind w:hanging="573"/>
      </w:pPr>
      <w:r w:rsidRPr="00103676">
        <w:t>26.</w:t>
      </w:r>
      <w:r w:rsidRPr="00103676">
        <w:tab/>
      </w:r>
      <w:r w:rsidR="005126B7" w:rsidRPr="00103676">
        <w:t>εκφράζει την ικανοποίησή του για τις προσπάθειες της Αρχής να αυξήσει τη δημόσια προβολή της και τη διαδικτυακή παρουσία της με τη διοργάνωση της εκστρατείας «#</w:t>
      </w:r>
      <w:proofErr w:type="spellStart"/>
      <w:r w:rsidR="005126B7" w:rsidRPr="00103676">
        <w:t>EUChooseSafeFood</w:t>
      </w:r>
      <w:proofErr w:type="spellEnd"/>
      <w:r w:rsidR="005126B7" w:rsidRPr="00103676">
        <w:t xml:space="preserve">» για δεύτερο έτος, η οποία υλοποιείται σε συνεργασία με αρμόδιες αρχές των κρατών μελών, με στόχο να εξηγήσει με προσιτό τρόπο την επιστήμη πίσω από την ασφάλεια των τροφίμων στην Ένωση, και τη διοργάνωση της διάσκεψης «ONE – Υγεία, Περιβάλλον, Κοινωνία» σε συνεργασία με τους άλλους τέσσερις οργανισμούς της ENVI, η οποία οδήγησε στη δημιουργία ενός κοινού καναλιού στο </w:t>
      </w:r>
      <w:proofErr w:type="spellStart"/>
      <w:r w:rsidR="005126B7" w:rsidRPr="00103676">
        <w:t>Instagram</w:t>
      </w:r>
      <w:proofErr w:type="spellEnd"/>
      <w:r w:rsidR="005126B7" w:rsidRPr="00103676">
        <w:t xml:space="preserve"> με την ονομασία «</w:t>
      </w:r>
      <w:proofErr w:type="spellStart"/>
      <w:r w:rsidR="005126B7" w:rsidRPr="00103676">
        <w:t>One</w:t>
      </w:r>
      <w:proofErr w:type="spellEnd"/>
      <w:r w:rsidR="005126B7" w:rsidRPr="00103676">
        <w:t xml:space="preserve"> Health </w:t>
      </w:r>
      <w:proofErr w:type="spellStart"/>
      <w:r w:rsidR="005126B7" w:rsidRPr="00103676">
        <w:t>One</w:t>
      </w:r>
      <w:proofErr w:type="spellEnd"/>
      <w:r w:rsidR="005126B7" w:rsidRPr="00103676">
        <w:t xml:space="preserve"> </w:t>
      </w:r>
      <w:proofErr w:type="spellStart"/>
      <w:r w:rsidR="005126B7" w:rsidRPr="00103676">
        <w:t>Environment</w:t>
      </w:r>
      <w:proofErr w:type="spellEnd"/>
      <w:r w:rsidR="005126B7" w:rsidRPr="00103676">
        <w:t xml:space="preserve">» (Μία υγεία – Ένα περιβάλλον)· επισημαίνει επίσης ότι η Αρχή επένδυσε στη δημιουργία ενός </w:t>
      </w:r>
      <w:proofErr w:type="spellStart"/>
      <w:r w:rsidR="005126B7" w:rsidRPr="00103676">
        <w:t>πολυγλωσσικού</w:t>
      </w:r>
      <w:proofErr w:type="spellEnd"/>
      <w:r w:rsidR="005126B7" w:rsidRPr="00103676">
        <w:t xml:space="preserve"> περιβάλλοντος στον ιστότοπό της με τη χρήση τεχνητής νοημοσύνης μέσω του εργαλείου </w:t>
      </w:r>
      <w:proofErr w:type="spellStart"/>
      <w:r w:rsidR="005126B7" w:rsidRPr="00103676">
        <w:t>eTranslation</w:t>
      </w:r>
      <w:proofErr w:type="spellEnd"/>
      <w:r w:rsidR="005126B7" w:rsidRPr="00103676">
        <w:t xml:space="preserve"> της Επιτροπής· σημειώνει, επιπλέον, ότι η Αρχή συνέχισε το 2022 να επενδύει στην ανάπτυξη της διαδικτυακής πύλης «</w:t>
      </w:r>
      <w:proofErr w:type="spellStart"/>
      <w:r w:rsidR="005126B7" w:rsidRPr="00103676">
        <w:t>OpenEFSA</w:t>
      </w:r>
      <w:proofErr w:type="spellEnd"/>
      <w:r w:rsidR="005126B7" w:rsidRPr="00103676">
        <w:t>», σύμφωνα με τις απαιτήσεις του κανονισμού (ΕΕ) 2019/1381·</w:t>
      </w:r>
    </w:p>
    <w:p w:rsidR="005126B7" w:rsidRPr="001A16CD" w:rsidRDefault="001A16CD" w:rsidP="001A16CD">
      <w:pPr>
        <w:spacing w:after="240"/>
        <w:ind w:left="567" w:hanging="573"/>
        <w:rPr>
          <w:rFonts w:eastAsia="Calibri"/>
          <w:szCs w:val="24"/>
        </w:rPr>
      </w:pPr>
      <w:r w:rsidRPr="00343928">
        <w:rPr>
          <w:rFonts w:eastAsia="Calibri"/>
          <w:szCs w:val="24"/>
        </w:rPr>
        <w:t>27.</w:t>
      </w:r>
      <w:r w:rsidRPr="00343928">
        <w:rPr>
          <w:rFonts w:eastAsia="Calibri"/>
          <w:szCs w:val="24"/>
        </w:rPr>
        <w:tab/>
      </w:r>
      <w:r w:rsidR="005126B7" w:rsidRPr="00103676">
        <w:t>εκφράζει την ικανοποίησή του για το γεγονός ότι εδώ και λίγα χρόνια η Αρχή είναι ένας από τους οργανισμούς που έχουν λάβει πιστοποίηση EMAS· λαμβάνει υπόψη ότι, ανάλογα με το είδος προμήθειας, η Αρχή εφαρμόζει τα πρότυπα για τις «Πράσινες Δημόσιες Συμβάσεις (ΠΔΣ)» ως ελάχιστες απαιτήσεις της συγγραφή υποχρεώσεων για τα κριτήρια επιλογής και/ή ανάθεσης·</w:t>
      </w:r>
    </w:p>
    <w:p w:rsidR="005126B7" w:rsidRPr="00103676" w:rsidRDefault="005126B7" w:rsidP="005126B7">
      <w:pPr>
        <w:spacing w:after="240"/>
        <w:jc w:val="center"/>
      </w:pPr>
      <w:r w:rsidRPr="00103676">
        <w:t>°</w:t>
      </w:r>
    </w:p>
    <w:p w:rsidR="005126B7" w:rsidRPr="00103676" w:rsidRDefault="005126B7" w:rsidP="005126B7">
      <w:pPr>
        <w:pStyle w:val="NormalCenter12a"/>
      </w:pPr>
      <w:r w:rsidRPr="00103676">
        <w:t>°</w:t>
      </w:r>
      <w:r w:rsidRPr="00103676">
        <w:tab/>
        <w:t>°</w:t>
      </w:r>
    </w:p>
    <w:p w:rsidR="005126B7" w:rsidRPr="001A16CD" w:rsidRDefault="001A16CD" w:rsidP="001A16CD">
      <w:pPr>
        <w:widowControl/>
        <w:spacing w:after="240"/>
        <w:ind w:left="567" w:hanging="570"/>
        <w:rPr>
          <w:szCs w:val="24"/>
        </w:rPr>
      </w:pPr>
      <w:r w:rsidRPr="00343928">
        <w:rPr>
          <w:szCs w:val="24"/>
        </w:rPr>
        <w:t>28.</w:t>
      </w:r>
      <w:r w:rsidRPr="00343928">
        <w:rPr>
          <w:szCs w:val="24"/>
        </w:rPr>
        <w:tab/>
      </w:r>
      <w:r w:rsidR="005126B7" w:rsidRPr="00103676">
        <w:t xml:space="preserve">παραπέμπει, όσον αφορά τις άλλες παρατηρήσεις οριζόντιου χαρακτήρα που συνοδεύουν την απόφαση απαλλαγής, στο ψήφισμά του της </w:t>
      </w:r>
      <w:r w:rsidR="00E655BB">
        <w:t>11ης Απριλίου 2024</w:t>
      </w:r>
      <w:r w:rsidR="005126B7" w:rsidRPr="00103676">
        <w:rPr>
          <w:rStyle w:val="FootnoteReference"/>
        </w:rPr>
        <w:footnoteReference w:id="13"/>
      </w:r>
      <w:r w:rsidR="005126B7" w:rsidRPr="00103676">
        <w:t xml:space="preserve"> σχετικά με τις επιδόσεις, τη χρηματοοικονομική διαχείριση και τον έλεγχο των οργανισμών.</w:t>
      </w:r>
    </w:p>
    <w:p w:rsidR="00E365E1" w:rsidRPr="00103676" w:rsidRDefault="00E365E1" w:rsidP="00D6124B">
      <w:bookmarkStart w:id="9" w:name="TextBodyEnd"/>
      <w:bookmarkEnd w:id="9"/>
    </w:p>
    <w:sectPr w:rsidR="00E365E1" w:rsidRPr="00103676" w:rsidSect="0010367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24B" w:rsidRPr="00103676" w:rsidRDefault="00D6124B">
      <w:r w:rsidRPr="00103676">
        <w:separator/>
      </w:r>
    </w:p>
  </w:endnote>
  <w:endnote w:type="continuationSeparator" w:id="0">
    <w:p w:rsidR="00D6124B" w:rsidRPr="00103676" w:rsidRDefault="00D6124B">
      <w:r w:rsidRPr="001036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6B7" w:rsidRPr="00103676" w:rsidRDefault="005126B7" w:rsidP="00F84D1B">
    <w:pPr>
      <w:pStyle w:val="EPFooter"/>
    </w:pPr>
    <w:r w:rsidRPr="00103676">
      <w:t>PE</w:t>
    </w:r>
    <w:r w:rsidRPr="00103676">
      <w:rPr>
        <w:rStyle w:val="HideTWBExt"/>
      </w:rPr>
      <w:t>&lt;</w:t>
    </w:r>
    <w:proofErr w:type="spellStart"/>
    <w:r w:rsidRPr="00103676">
      <w:rPr>
        <w:rStyle w:val="HideTWBExt"/>
      </w:rPr>
      <w:t>NoPE</w:t>
    </w:r>
    <w:proofErr w:type="spellEnd"/>
    <w:r w:rsidRPr="00103676">
      <w:rPr>
        <w:rStyle w:val="HideTWBExt"/>
      </w:rPr>
      <w:t>&gt;</w:t>
    </w:r>
    <w:r w:rsidRPr="00103676">
      <w:t>753.519</w:t>
    </w:r>
    <w:r w:rsidRPr="00103676">
      <w:rPr>
        <w:rStyle w:val="HideTWBExt"/>
      </w:rPr>
      <w:t>&lt;/</w:t>
    </w:r>
    <w:proofErr w:type="spellStart"/>
    <w:r w:rsidRPr="00103676">
      <w:rPr>
        <w:rStyle w:val="HideTWBExt"/>
      </w:rPr>
      <w:t>NoPE</w:t>
    </w:r>
    <w:proofErr w:type="spellEnd"/>
    <w:r w:rsidRPr="00103676">
      <w:rPr>
        <w:rStyle w:val="HideTWBExt"/>
      </w:rPr>
      <w:t>&gt;&lt;Version&gt;</w:t>
    </w:r>
    <w:r w:rsidRPr="00103676">
      <w:t>v03-00</w:t>
    </w:r>
    <w:r w:rsidRPr="00103676">
      <w:rPr>
        <w:rStyle w:val="HideTWBExt"/>
      </w:rPr>
      <w:t>&lt;/</w:t>
    </w:r>
    <w:proofErr w:type="spellStart"/>
    <w:r w:rsidRPr="00103676">
      <w:rPr>
        <w:rStyle w:val="HideTWBExt"/>
      </w:rPr>
      <w:t>Version</w:t>
    </w:r>
    <w:proofErr w:type="spellEnd"/>
    <w:r w:rsidRPr="00103676">
      <w:rPr>
        <w:rStyle w:val="HideTWBExt"/>
      </w:rPr>
      <w:t>&gt;</w:t>
    </w:r>
    <w:r w:rsidRPr="00103676">
      <w:tab/>
    </w:r>
    <w:r w:rsidRPr="00103676">
      <w:fldChar w:fldCharType="begin"/>
    </w:r>
    <w:r w:rsidRPr="00103676">
      <w:instrText xml:space="preserve"> PAGE  \* MERGEFORMAT </w:instrText>
    </w:r>
    <w:r w:rsidRPr="00103676">
      <w:fldChar w:fldCharType="separate"/>
    </w:r>
    <w:r w:rsidRPr="00103676">
      <w:rPr>
        <w:noProof/>
      </w:rPr>
      <w:t>4</w:t>
    </w:r>
    <w:r w:rsidRPr="00103676">
      <w:fldChar w:fldCharType="end"/>
    </w:r>
    <w:r w:rsidRPr="00103676">
      <w:t>/</w:t>
    </w:r>
    <w:r w:rsidR="001A16CD">
      <w:fldChar w:fldCharType="begin"/>
    </w:r>
    <w:r w:rsidR="001A16CD">
      <w:instrText xml:space="preserve"> NUMPAGES  \* MERGEFORMAT </w:instrText>
    </w:r>
    <w:r w:rsidR="001A16CD">
      <w:fldChar w:fldCharType="separate"/>
    </w:r>
    <w:r w:rsidRPr="00103676">
      <w:rPr>
        <w:noProof/>
      </w:rPr>
      <w:t>4</w:t>
    </w:r>
    <w:r w:rsidR="001A16CD">
      <w:rPr>
        <w:noProof/>
      </w:rPr>
      <w:fldChar w:fldCharType="end"/>
    </w:r>
    <w:r w:rsidRPr="00103676">
      <w:tab/>
    </w:r>
    <w:r w:rsidRPr="00103676">
      <w:rPr>
        <w:rStyle w:val="HideTWBExt"/>
      </w:rPr>
      <w:t>&lt;PathFdR&gt;</w:t>
    </w:r>
    <w:r w:rsidRPr="00103676">
      <w:t>RR\1299220EL.docx</w:t>
    </w:r>
    <w:r w:rsidRPr="00103676">
      <w:rPr>
        <w:rStyle w:val="HideTWBExt"/>
      </w:rPr>
      <w:t>&lt;/</w:t>
    </w:r>
    <w:proofErr w:type="spellStart"/>
    <w:r w:rsidRPr="00103676">
      <w:rPr>
        <w:rStyle w:val="HideTWBExt"/>
      </w:rPr>
      <w:t>PathFdR</w:t>
    </w:r>
    <w:proofErr w:type="spellEnd"/>
    <w:r w:rsidRPr="00103676">
      <w:rPr>
        <w:rStyle w:val="HideTWBExt"/>
      </w:rPr>
      <w:t>&gt;</w:t>
    </w:r>
  </w:p>
  <w:p w:rsidR="005126B7" w:rsidRPr="00103676" w:rsidRDefault="005126B7" w:rsidP="00F84D1B">
    <w:pPr>
      <w:pStyle w:val="EPFooter2"/>
    </w:pPr>
    <w:r w:rsidRPr="0010367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6B7" w:rsidRPr="00103676" w:rsidRDefault="005126B7" w:rsidP="00F84D1B">
    <w:pPr>
      <w:pStyle w:val="EPFooter"/>
    </w:pPr>
    <w:r w:rsidRPr="00103676">
      <w:rPr>
        <w:rStyle w:val="HideTWBExt"/>
      </w:rPr>
      <w:t>&lt;PathFdR&gt;</w:t>
    </w:r>
    <w:r w:rsidRPr="00103676">
      <w:t>RR\1299220EL.docx</w:t>
    </w:r>
    <w:r w:rsidRPr="00103676">
      <w:rPr>
        <w:rStyle w:val="HideTWBExt"/>
      </w:rPr>
      <w:t>&lt;/</w:t>
    </w:r>
    <w:proofErr w:type="spellStart"/>
    <w:r w:rsidRPr="00103676">
      <w:rPr>
        <w:rStyle w:val="HideTWBExt"/>
      </w:rPr>
      <w:t>PathFdR</w:t>
    </w:r>
    <w:proofErr w:type="spellEnd"/>
    <w:r w:rsidRPr="00103676">
      <w:rPr>
        <w:rStyle w:val="HideTWBExt"/>
      </w:rPr>
      <w:t>&gt;</w:t>
    </w:r>
    <w:r w:rsidRPr="00103676">
      <w:tab/>
    </w:r>
    <w:r w:rsidRPr="00103676">
      <w:tab/>
      <w:t>PE</w:t>
    </w:r>
    <w:r w:rsidRPr="00103676">
      <w:rPr>
        <w:rStyle w:val="HideTWBExt"/>
      </w:rPr>
      <w:t>&lt;</w:t>
    </w:r>
    <w:proofErr w:type="spellStart"/>
    <w:r w:rsidRPr="00103676">
      <w:rPr>
        <w:rStyle w:val="HideTWBExt"/>
      </w:rPr>
      <w:t>NoPE</w:t>
    </w:r>
    <w:proofErr w:type="spellEnd"/>
    <w:r w:rsidRPr="00103676">
      <w:rPr>
        <w:rStyle w:val="HideTWBExt"/>
      </w:rPr>
      <w:t>&gt;</w:t>
    </w:r>
    <w:r w:rsidRPr="00103676">
      <w:t>753.519</w:t>
    </w:r>
    <w:r w:rsidRPr="00103676">
      <w:rPr>
        <w:rStyle w:val="HideTWBExt"/>
      </w:rPr>
      <w:t>&lt;/</w:t>
    </w:r>
    <w:proofErr w:type="spellStart"/>
    <w:r w:rsidRPr="00103676">
      <w:rPr>
        <w:rStyle w:val="HideTWBExt"/>
      </w:rPr>
      <w:t>NoPE</w:t>
    </w:r>
    <w:proofErr w:type="spellEnd"/>
    <w:r w:rsidRPr="00103676">
      <w:rPr>
        <w:rStyle w:val="HideTWBExt"/>
      </w:rPr>
      <w:t>&gt;&lt;Version&gt;</w:t>
    </w:r>
    <w:r w:rsidRPr="00103676">
      <w:t>v03-00</w:t>
    </w:r>
    <w:r w:rsidRPr="00103676">
      <w:rPr>
        <w:rStyle w:val="HideTWBExt"/>
      </w:rPr>
      <w:t>&lt;/</w:t>
    </w:r>
    <w:proofErr w:type="spellStart"/>
    <w:r w:rsidRPr="00103676">
      <w:rPr>
        <w:rStyle w:val="HideTWBExt"/>
      </w:rPr>
      <w:t>Version</w:t>
    </w:r>
    <w:proofErr w:type="spellEnd"/>
    <w:r w:rsidRPr="00103676">
      <w:rPr>
        <w:rStyle w:val="HideTWBExt"/>
      </w:rPr>
      <w:t>&gt;</w:t>
    </w:r>
  </w:p>
  <w:p w:rsidR="005126B7" w:rsidRPr="00103676" w:rsidRDefault="005126B7" w:rsidP="00F84D1B">
    <w:pPr>
      <w:pStyle w:val="EPFooter2"/>
    </w:pPr>
    <w:r w:rsidRPr="00103676">
      <w:t>EL</w:t>
    </w:r>
    <w:r w:rsidRPr="00103676">
      <w:tab/>
    </w:r>
    <w:r w:rsidRPr="00103676">
      <w:rPr>
        <w:b w:val="0"/>
        <w:i/>
        <w:color w:val="C0C0C0"/>
        <w:sz w:val="22"/>
      </w:rPr>
      <w:t>Ενωμένη στην πολυμορφία</w:t>
    </w:r>
    <w:r w:rsidRPr="0010367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67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67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6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24B" w:rsidRPr="00103676" w:rsidRDefault="00D6124B">
      <w:r w:rsidRPr="00103676">
        <w:separator/>
      </w:r>
    </w:p>
  </w:footnote>
  <w:footnote w:type="continuationSeparator" w:id="0">
    <w:p w:rsidR="00D6124B" w:rsidRPr="00103676" w:rsidRDefault="00D6124B">
      <w:r w:rsidRPr="00103676">
        <w:continuationSeparator/>
      </w:r>
    </w:p>
  </w:footnote>
  <w:footnote w:id="1">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C, C/2023/594, 27.10.2023.</w:t>
      </w:r>
    </w:p>
  </w:footnote>
  <w:footnote w:id="2">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C, C/2023/112, 12.10.2023.</w:t>
      </w:r>
    </w:p>
  </w:footnote>
  <w:footnote w:id="3">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L 193 της 30.7.2018, σ. 1.</w:t>
      </w:r>
    </w:p>
  </w:footnote>
  <w:footnote w:id="4">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L 31 της 1.2.2002, σ. 1.</w:t>
      </w:r>
    </w:p>
  </w:footnote>
  <w:footnote w:id="5">
    <w:p w:rsidR="005126B7" w:rsidRPr="001A16CD" w:rsidRDefault="005126B7" w:rsidP="00103676">
      <w:pPr>
        <w:pStyle w:val="FootnoteText"/>
        <w:ind w:left="567" w:hanging="567"/>
        <w:rPr>
          <w:sz w:val="24"/>
          <w:szCs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L 122 της 10.5.2019, σ. 1.</w:t>
      </w:r>
    </w:p>
  </w:footnote>
  <w:footnote w:id="6">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C, C/2023/594, 27.10.2023.</w:t>
      </w:r>
    </w:p>
  </w:footnote>
  <w:footnote w:id="7">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C, C/2023/112, 12.10.2023.</w:t>
      </w:r>
    </w:p>
  </w:footnote>
  <w:footnote w:id="8">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L 193 της 30.7.2018, σ. 1.</w:t>
      </w:r>
    </w:p>
  </w:footnote>
  <w:footnote w:id="9">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L 31 της 1.2.2002, σ. 1.</w:t>
      </w:r>
    </w:p>
  </w:footnote>
  <w:footnote w:id="10">
    <w:p w:rsidR="005126B7" w:rsidRPr="001A16CD" w:rsidRDefault="005126B7" w:rsidP="00103676">
      <w:pPr>
        <w:pStyle w:val="FootnoteText"/>
        <w:ind w:left="567" w:hanging="567"/>
        <w:rPr>
          <w:sz w:val="24"/>
          <w:szCs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L 122 της 10.5.2019, σ. 1.</w:t>
      </w:r>
    </w:p>
  </w:footnote>
  <w:footnote w:id="11">
    <w:p w:rsidR="005126B7" w:rsidRPr="001A16CD" w:rsidRDefault="005126B7" w:rsidP="00103676">
      <w:pPr>
        <w:pStyle w:val="FootnoteText"/>
        <w:ind w:left="567" w:hanging="567"/>
        <w:rPr>
          <w:rFonts w:eastAsia="Calibri"/>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ΕΕ C 178 της 29.4.2022, σ. 1.</w:t>
      </w:r>
    </w:p>
  </w:footnote>
  <w:footnote w:id="12">
    <w:p w:rsidR="005126B7" w:rsidRPr="001A16CD" w:rsidRDefault="005126B7" w:rsidP="00103676">
      <w:pPr>
        <w:pStyle w:val="FootnoteText"/>
        <w:ind w:left="567" w:hanging="567"/>
        <w:rPr>
          <w:sz w:val="24"/>
          <w:lang w:val="el-GR"/>
        </w:rPr>
      </w:pPr>
      <w:r w:rsidRPr="001A16CD">
        <w:rPr>
          <w:rStyle w:val="FootnoteReference"/>
          <w:sz w:val="24"/>
          <w:lang w:val="el-GR"/>
        </w:rPr>
        <w:footnoteRef/>
      </w:r>
      <w:r w:rsidR="00103676" w:rsidRPr="001A16CD">
        <w:rPr>
          <w:sz w:val="24"/>
          <w:lang w:val="el-GR"/>
        </w:rPr>
        <w:t xml:space="preserve"> </w:t>
      </w:r>
      <w:r w:rsidR="00103676" w:rsidRPr="001A16CD">
        <w:rPr>
          <w:sz w:val="24"/>
          <w:lang w:val="el-GR"/>
        </w:rPr>
        <w:tab/>
      </w:r>
      <w:r w:rsidRPr="001A16CD">
        <w:rPr>
          <w:sz w:val="24"/>
          <w:lang w:val="el-GR"/>
        </w:rPr>
        <w:t>Κανονισμός (ΕΕ) 2019/1381 του Ευρωπαϊκού Κοινοβουλίου και του Συμβουλίου, της 20ής Ιουνίου 2019, για τη διαφάνεια και τη βιωσιμότητα της αξιολόγησης κινδύνου στην αλυσίδα τροφίμων στην ΕΕ και για την τροποποίηση των κανονισμών (ΕΚ) αριθ. 178/2002, (ΕΚ) αριθ. 1829/2003, (ΕΚ) αριθ. 1831/2003, (ΕΚ) αριθ. 2065/2003, (ΕΚ) αριθ. 1935/2004, (ΕΚ) αριθ. 1331/2008, (ΕΚ) αριθ. 1107/2009, (ΕΕ) 2015/2283 και της οδηγίας 2001/18/ΕΚ (ΕΕ L 231 της 6.9.2019, σ. 1).</w:t>
      </w:r>
    </w:p>
  </w:footnote>
  <w:footnote w:id="13">
    <w:p w:rsidR="005126B7" w:rsidRPr="00103676" w:rsidRDefault="005126B7" w:rsidP="00103676">
      <w:pPr>
        <w:pStyle w:val="FootnoteText"/>
        <w:ind w:left="567" w:hanging="567"/>
        <w:rPr>
          <w:sz w:val="24"/>
          <w:szCs w:val="24"/>
          <w:lang w:val="el-GR"/>
        </w:rPr>
      </w:pPr>
      <w:r w:rsidRPr="001A16CD">
        <w:rPr>
          <w:rStyle w:val="FootnoteReference"/>
          <w:sz w:val="24"/>
          <w:szCs w:val="24"/>
          <w:lang w:val="el-GR"/>
        </w:rPr>
        <w:footnoteRef/>
      </w:r>
      <w:r w:rsidR="00103676" w:rsidRPr="001A16CD">
        <w:rPr>
          <w:sz w:val="24"/>
          <w:lang w:val="el-GR"/>
        </w:rPr>
        <w:t xml:space="preserve"> </w:t>
      </w:r>
      <w:r w:rsidR="00103676" w:rsidRPr="001A16CD">
        <w:rPr>
          <w:sz w:val="24"/>
          <w:lang w:val="el-GR"/>
        </w:rPr>
        <w:tab/>
      </w:r>
      <w:r w:rsidRPr="001A16CD">
        <w:rPr>
          <w:sz w:val="24"/>
          <w:lang w:val="el-GR"/>
        </w:rPr>
        <w:t>Κείμενα που εγκρίθηκαν, P9_TA(2024)0</w:t>
      </w:r>
      <w:r w:rsidR="001A16CD" w:rsidRPr="001A16CD">
        <w:rPr>
          <w:sz w:val="24"/>
          <w:lang w:val="el-GR"/>
        </w:rPr>
        <w:t>280</w:t>
      </w:r>
      <w:r w:rsidRPr="001A16C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6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6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036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E66F2"/>
    <w:multiLevelType w:val="hybridMultilevel"/>
    <w:tmpl w:val="1C262CB6"/>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BD25FDF"/>
    <w:multiLevelType w:val="hybridMultilevel"/>
    <w:tmpl w:val="209077D6"/>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751E5E"/>
    <w:multiLevelType w:val="hybridMultilevel"/>
    <w:tmpl w:val="6C7070C0"/>
    <w:lvl w:ilvl="0" w:tplc="8FD8D142">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EL"/>
    <w:docVar w:name="dvnumam" w:val="0"/>
    <w:docVar w:name="dvpe" w:val="753.519"/>
    <w:docVar w:name="dvrapporteur" w:val="Εισηγητής: "/>
    <w:docVar w:name="dvtitre" w:val="Απόφαση του Ευρωπαϊκού Κοινοβουλίου σχετικά με την απαλλαγή όσον αφορά την εκτέλεση του προϋπολογισμού της Ευρωπαϊκής Αρχής για την Ασφάλεια των Τροφίμων για το οικονομικό έτος 2022(2023/2151(DEC))"/>
  </w:docVars>
  <w:rsids>
    <w:rsidRoot w:val="00D6124B"/>
    <w:rsid w:val="00002272"/>
    <w:rsid w:val="00064002"/>
    <w:rsid w:val="000677B9"/>
    <w:rsid w:val="000831BA"/>
    <w:rsid w:val="000A42CC"/>
    <w:rsid w:val="000C6C8F"/>
    <w:rsid w:val="000E7DD9"/>
    <w:rsid w:val="0010095E"/>
    <w:rsid w:val="00103676"/>
    <w:rsid w:val="00125B37"/>
    <w:rsid w:val="00187494"/>
    <w:rsid w:val="001A16CD"/>
    <w:rsid w:val="001F32AE"/>
    <w:rsid w:val="002767FF"/>
    <w:rsid w:val="002B18FE"/>
    <w:rsid w:val="002B5493"/>
    <w:rsid w:val="00343214"/>
    <w:rsid w:val="00343928"/>
    <w:rsid w:val="00361C00"/>
    <w:rsid w:val="00395FA1"/>
    <w:rsid w:val="003E15D4"/>
    <w:rsid w:val="003E77CE"/>
    <w:rsid w:val="00411CCE"/>
    <w:rsid w:val="0041666E"/>
    <w:rsid w:val="00421060"/>
    <w:rsid w:val="00471C19"/>
    <w:rsid w:val="004867E3"/>
    <w:rsid w:val="00494A28"/>
    <w:rsid w:val="004C0004"/>
    <w:rsid w:val="004C5D52"/>
    <w:rsid w:val="0050519A"/>
    <w:rsid w:val="005072A1"/>
    <w:rsid w:val="005126B7"/>
    <w:rsid w:val="00514517"/>
    <w:rsid w:val="00545827"/>
    <w:rsid w:val="00560270"/>
    <w:rsid w:val="005B017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0BFB"/>
    <w:rsid w:val="00BE6ADC"/>
    <w:rsid w:val="00C05BFE"/>
    <w:rsid w:val="00C23CD4"/>
    <w:rsid w:val="00C61C0C"/>
    <w:rsid w:val="00C941CB"/>
    <w:rsid w:val="00CC2357"/>
    <w:rsid w:val="00CF071A"/>
    <w:rsid w:val="00D058B8"/>
    <w:rsid w:val="00D56C11"/>
    <w:rsid w:val="00D6124B"/>
    <w:rsid w:val="00D834A0"/>
    <w:rsid w:val="00D872DF"/>
    <w:rsid w:val="00D91E21"/>
    <w:rsid w:val="00DA7FCD"/>
    <w:rsid w:val="00E365E1"/>
    <w:rsid w:val="00E655BB"/>
    <w:rsid w:val="00E820A4"/>
    <w:rsid w:val="00EB006A"/>
    <w:rsid w:val="00EB4772"/>
    <w:rsid w:val="00ED169E"/>
    <w:rsid w:val="00ED4235"/>
    <w:rsid w:val="00F04346"/>
    <w:rsid w:val="00F075DC"/>
    <w:rsid w:val="00F149E9"/>
    <w:rsid w:val="00F25AD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20EB2"/>
  <w15:chartTrackingRefBased/>
  <w15:docId w15:val="{07A66BE7-D652-49DB-B33A-79C06A499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126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126B7"/>
    <w:pPr>
      <w:spacing w:before="480" w:after="240"/>
    </w:pPr>
  </w:style>
  <w:style w:type="paragraph" w:customStyle="1" w:styleId="PageHeading">
    <w:name w:val="PageHeading"/>
    <w:basedOn w:val="Normal"/>
    <w:rsid w:val="005126B7"/>
    <w:pPr>
      <w:keepNext/>
      <w:spacing w:after="480"/>
      <w:jc w:val="center"/>
    </w:pPr>
    <w:rPr>
      <w:rFonts w:ascii="Arial" w:hAnsi="Arial" w:cs="Arial"/>
      <w:b/>
    </w:rPr>
  </w:style>
  <w:style w:type="paragraph" w:customStyle="1" w:styleId="NormalBold">
    <w:name w:val="NormalBold"/>
    <w:basedOn w:val="Normal"/>
    <w:rsid w:val="005126B7"/>
    <w:rPr>
      <w:b/>
    </w:rPr>
  </w:style>
  <w:style w:type="paragraph" w:customStyle="1" w:styleId="NormalHanging12a">
    <w:name w:val="NormalHanging12a"/>
    <w:basedOn w:val="Normal"/>
    <w:link w:val="NormalHanging12aChar"/>
    <w:rsid w:val="005126B7"/>
    <w:pPr>
      <w:spacing w:after="240"/>
      <w:ind w:left="567" w:hanging="567"/>
    </w:pPr>
  </w:style>
  <w:style w:type="paragraph" w:customStyle="1" w:styleId="NormalCenter12a">
    <w:name w:val="NormalCenter12a"/>
    <w:basedOn w:val="Normal"/>
    <w:rsid w:val="005126B7"/>
    <w:pPr>
      <w:spacing w:after="240"/>
      <w:jc w:val="center"/>
    </w:pPr>
  </w:style>
  <w:style w:type="paragraph" w:styleId="Header">
    <w:name w:val="header"/>
    <w:basedOn w:val="Normal"/>
    <w:link w:val="HeaderChar"/>
    <w:rsid w:val="005126B7"/>
    <w:pPr>
      <w:tabs>
        <w:tab w:val="center" w:pos="4513"/>
        <w:tab w:val="right" w:pos="9026"/>
      </w:tabs>
    </w:pPr>
  </w:style>
  <w:style w:type="character" w:customStyle="1" w:styleId="HeaderChar">
    <w:name w:val="Header Char"/>
    <w:basedOn w:val="DefaultParagraphFont"/>
    <w:link w:val="Header"/>
    <w:rsid w:val="005126B7"/>
    <w:rPr>
      <w:sz w:val="24"/>
      <w:lang w:val="el-GR"/>
    </w:rPr>
  </w:style>
  <w:style w:type="paragraph" w:customStyle="1" w:styleId="EPFooter">
    <w:name w:val="EPFooter"/>
    <w:basedOn w:val="Normal"/>
    <w:rsid w:val="005126B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126B7"/>
    <w:rPr>
      <w:sz w:val="24"/>
      <w:lang w:val="el-GR"/>
    </w:rPr>
  </w:style>
  <w:style w:type="paragraph" w:styleId="Footer">
    <w:name w:val="footer"/>
    <w:basedOn w:val="Normal"/>
    <w:link w:val="FooterChar"/>
    <w:rsid w:val="00BE0BFB"/>
    <w:pPr>
      <w:tabs>
        <w:tab w:val="center" w:pos="4513"/>
        <w:tab w:val="right" w:pos="9026"/>
      </w:tabs>
    </w:pPr>
  </w:style>
  <w:style w:type="character" w:customStyle="1" w:styleId="FooterChar">
    <w:name w:val="Footer Char"/>
    <w:basedOn w:val="DefaultParagraphFont"/>
    <w:link w:val="Footer"/>
    <w:rsid w:val="00BE0BFB"/>
    <w:rPr>
      <w:sz w:val="24"/>
      <w:lang w:val="el-GR"/>
    </w:rPr>
  </w:style>
  <w:style w:type="paragraph" w:styleId="ListParagraph">
    <w:name w:val="List Paragraph"/>
    <w:basedOn w:val="Normal"/>
    <w:uiPriority w:val="34"/>
    <w:qFormat/>
    <w:rsid w:val="00343928"/>
    <w:pPr>
      <w:ind w:left="720"/>
      <w:contextualSpacing/>
    </w:pPr>
  </w:style>
  <w:style w:type="paragraph" w:styleId="BalloonText">
    <w:name w:val="Balloon Text"/>
    <w:basedOn w:val="Normal"/>
    <w:link w:val="BalloonTextChar"/>
    <w:rsid w:val="001A16CD"/>
    <w:rPr>
      <w:rFonts w:ascii="Segoe UI" w:hAnsi="Segoe UI" w:cs="Segoe UI"/>
      <w:sz w:val="18"/>
      <w:szCs w:val="18"/>
    </w:rPr>
  </w:style>
  <w:style w:type="character" w:customStyle="1" w:styleId="BalloonTextChar">
    <w:name w:val="Balloon Text Char"/>
    <w:basedOn w:val="DefaultParagraphFont"/>
    <w:link w:val="BalloonText"/>
    <w:rsid w:val="001A16C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B470F-9A8C-434C-B045-939A57A52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3115</Words>
  <Characters>18222</Characters>
  <Application>Microsoft Office Word</Application>
  <DocSecurity>0</DocSecurity>
  <Lines>364</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2024-04-11T11:15:00Z</dcterms:created>
  <dcterms:modified xsi:type="dcterms:W3CDTF">2024-04-11T11:15:00Z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A9-0129/2024</vt:lpwstr>
  </property>
  <property fmtid="{D5CDD505-2E9C-101B-9397-08002B2CF9AE}" pid="4" name="&lt;Type&gt;">
    <vt:lpwstr>RR</vt:lpwstr>
  </property>
</Properties>
</file>