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493B" w:rsidTr="0010095E">
        <w:trPr>
          <w:trHeight w:hRule="exact" w:val="1418"/>
        </w:trPr>
        <w:tc>
          <w:tcPr>
            <w:tcW w:w="6804" w:type="dxa"/>
            <w:shd w:val="clear" w:color="auto" w:fill="auto"/>
            <w:vAlign w:val="center"/>
          </w:tcPr>
          <w:p w:rsidR="00751A4A" w:rsidRPr="00C4493B" w:rsidRDefault="00223493" w:rsidP="0010095E">
            <w:pPr>
              <w:pStyle w:val="EPName"/>
            </w:pPr>
            <w:r w:rsidRPr="00C4493B">
              <w:t>Euroopan parlamentti</w:t>
            </w:r>
          </w:p>
          <w:p w:rsidR="00751A4A" w:rsidRPr="00C4493B" w:rsidRDefault="00817416" w:rsidP="00756632">
            <w:pPr>
              <w:pStyle w:val="EPTerm"/>
              <w:rPr>
                <w:rStyle w:val="HideTWBExt"/>
                <w:noProof w:val="0"/>
                <w:vanish w:val="0"/>
                <w:color w:val="auto"/>
              </w:rPr>
            </w:pPr>
            <w:r w:rsidRPr="00C4493B">
              <w:t>2019-2024</w:t>
            </w:r>
          </w:p>
        </w:tc>
        <w:tc>
          <w:tcPr>
            <w:tcW w:w="2268" w:type="dxa"/>
            <w:shd w:val="clear" w:color="auto" w:fill="auto"/>
          </w:tcPr>
          <w:p w:rsidR="00751A4A" w:rsidRPr="00C4493B" w:rsidRDefault="00187494" w:rsidP="0010095E">
            <w:pPr>
              <w:pStyle w:val="EPLogo"/>
            </w:pPr>
            <w:r w:rsidRPr="00C449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493B" w:rsidRDefault="00D058B8" w:rsidP="004C5D52">
      <w:pPr>
        <w:pStyle w:val="LineTop"/>
      </w:pPr>
    </w:p>
    <w:p w:rsidR="00680577" w:rsidRPr="00C4493B" w:rsidRDefault="00223493" w:rsidP="00680577">
      <w:pPr>
        <w:pStyle w:val="EPBodyTA1"/>
      </w:pPr>
      <w:r w:rsidRPr="00C4493B">
        <w:t>HYVÄKSYTYT TEKSTIT</w:t>
      </w:r>
    </w:p>
    <w:p w:rsidR="00D058B8" w:rsidRPr="00C4493B" w:rsidRDefault="00D058B8" w:rsidP="00D058B8">
      <w:pPr>
        <w:pStyle w:val="LineBottom"/>
      </w:pPr>
    </w:p>
    <w:p w:rsidR="00223493" w:rsidRPr="00C4493B" w:rsidRDefault="00A42BE4" w:rsidP="00223493">
      <w:pPr>
        <w:pStyle w:val="ATHeading1"/>
      </w:pPr>
      <w:bookmarkStart w:id="0" w:name="TANumber"/>
      <w:r w:rsidRPr="00C4493B">
        <w:t>P9_</w:t>
      </w:r>
      <w:proofErr w:type="gramStart"/>
      <w:r w:rsidRPr="00C4493B">
        <w:t>TA(</w:t>
      </w:r>
      <w:proofErr w:type="gramEnd"/>
      <w:r w:rsidRPr="00C4493B">
        <w:t>2024)025</w:t>
      </w:r>
      <w:r w:rsidR="00223493" w:rsidRPr="00C4493B">
        <w:t>0</w:t>
      </w:r>
      <w:bookmarkEnd w:id="0"/>
    </w:p>
    <w:p w:rsidR="00223493" w:rsidRPr="00C4493B" w:rsidRDefault="00223493" w:rsidP="00223493">
      <w:pPr>
        <w:pStyle w:val="ATHeading2"/>
      </w:pPr>
      <w:bookmarkStart w:id="1" w:name="title"/>
      <w:r w:rsidRPr="00C4493B">
        <w:t>Vastuuvapaus 2022: Euroopan elintarviketurvallisuusviranomainen</w:t>
      </w:r>
      <w:bookmarkEnd w:id="1"/>
    </w:p>
    <w:p w:rsidR="00223493" w:rsidRPr="00C4493B" w:rsidRDefault="00223493" w:rsidP="00223493">
      <w:pPr>
        <w:rPr>
          <w:i/>
          <w:vanish/>
        </w:rPr>
      </w:pPr>
      <w:r w:rsidRPr="00C4493B">
        <w:rPr>
          <w:i/>
        </w:rPr>
        <w:fldChar w:fldCharType="begin"/>
      </w:r>
      <w:r w:rsidRPr="00C4493B">
        <w:rPr>
          <w:i/>
        </w:rPr>
        <w:instrText xml:space="preserve"> TC"(</w:instrText>
      </w:r>
      <w:bookmarkStart w:id="2" w:name="DocNumber"/>
      <w:r w:rsidRPr="00C4493B">
        <w:rPr>
          <w:i/>
        </w:rPr>
        <w:instrText>A9-0129/2024</w:instrText>
      </w:r>
      <w:bookmarkEnd w:id="2"/>
      <w:r w:rsidRPr="00C4493B">
        <w:rPr>
          <w:i/>
        </w:rPr>
        <w:instrText xml:space="preserve"> - Esittelijä: Petri Sarvamaa)"\l3 \n&gt; \* MERGEFORMAT </w:instrText>
      </w:r>
      <w:r w:rsidRPr="00C4493B">
        <w:rPr>
          <w:i/>
        </w:rPr>
        <w:fldChar w:fldCharType="end"/>
      </w:r>
    </w:p>
    <w:p w:rsidR="00223493" w:rsidRPr="00C4493B" w:rsidRDefault="00223493" w:rsidP="00223493">
      <w:pPr>
        <w:rPr>
          <w:vanish/>
        </w:rPr>
      </w:pPr>
      <w:bookmarkStart w:id="3" w:name="Commission"/>
      <w:r w:rsidRPr="00C4493B">
        <w:rPr>
          <w:vanish/>
        </w:rPr>
        <w:t>Talousarvion valvontavaliokunta</w:t>
      </w:r>
      <w:bookmarkEnd w:id="3"/>
    </w:p>
    <w:p w:rsidR="00223493" w:rsidRPr="00C4493B" w:rsidRDefault="00223493" w:rsidP="00223493">
      <w:pPr>
        <w:rPr>
          <w:vanish/>
        </w:rPr>
      </w:pPr>
      <w:bookmarkStart w:id="4" w:name="PE"/>
      <w:r w:rsidRPr="00C4493B">
        <w:rPr>
          <w:vanish/>
        </w:rPr>
        <w:t>PE753.519</w:t>
      </w:r>
      <w:bookmarkEnd w:id="4"/>
    </w:p>
    <w:p w:rsidR="00223493" w:rsidRPr="00C4493B" w:rsidRDefault="00D66F12" w:rsidP="00223493">
      <w:pPr>
        <w:pStyle w:val="ATHeading3"/>
      </w:pPr>
      <w:bookmarkStart w:id="5" w:name="Sujet"/>
      <w:r w:rsidRPr="00C4493B">
        <w:t>1. E</w:t>
      </w:r>
      <w:r w:rsidR="00223493" w:rsidRPr="00C4493B">
        <w:t>uroopan parlamentin päätös 11. huhtikuuta 2024 vastuuvapauden myöntämisestä Euroopan elintarviketurvallisuusviranomaisen talousarvion toteuttamisesta varainhoitovuonna 2022</w:t>
      </w:r>
      <w:bookmarkEnd w:id="5"/>
      <w:r w:rsidR="00223493" w:rsidRPr="00C4493B">
        <w:t xml:space="preserve"> </w:t>
      </w:r>
      <w:bookmarkStart w:id="6" w:name="References"/>
      <w:r w:rsidR="00223493" w:rsidRPr="00C4493B">
        <w:t>(2023/2151(DEC))</w:t>
      </w:r>
      <w:bookmarkEnd w:id="6"/>
    </w:p>
    <w:p w:rsidR="00CD7A39" w:rsidRPr="00C4493B" w:rsidRDefault="00CD7A39" w:rsidP="00D66F12">
      <w:pPr>
        <w:pStyle w:val="EPComma"/>
        <w:widowControl/>
      </w:pPr>
      <w:bookmarkStart w:id="7" w:name="TextBodyBegin"/>
      <w:bookmarkEnd w:id="7"/>
      <w:r w:rsidRPr="00C4493B">
        <w:rPr>
          <w:i/>
        </w:rPr>
        <w:t>Euroopan parlamentti</w:t>
      </w:r>
      <w:r w:rsidRPr="00C4493B">
        <w:t>, joka</w:t>
      </w:r>
    </w:p>
    <w:p w:rsidR="00CD7A39" w:rsidRPr="00C4493B" w:rsidRDefault="00CD7A39" w:rsidP="00D66F12">
      <w:pPr>
        <w:pStyle w:val="NormalHanging12a"/>
        <w:widowControl/>
      </w:pPr>
      <w:r w:rsidRPr="00C4493B">
        <w:t>–</w:t>
      </w:r>
      <w:r w:rsidRPr="00C4493B">
        <w:tab/>
        <w:t>ottaa huomioon Euroopan elintarviketurvallisuusviranomaisen lopullisen tilinpäätöksen varainhoitovuodelta 2022,</w:t>
      </w:r>
    </w:p>
    <w:p w:rsidR="00CD7A39" w:rsidRPr="00C4493B" w:rsidRDefault="00CD7A39" w:rsidP="00D66F12">
      <w:pPr>
        <w:pStyle w:val="NormalHanging12a"/>
        <w:widowControl/>
      </w:pPr>
      <w:r w:rsidRPr="00C4493B">
        <w:t>–</w:t>
      </w:r>
      <w:r w:rsidRPr="00C4493B">
        <w:tab/>
        <w:t>ottaa huomioon tilintarkastustuomioistuimen vuosikertomuksen EU:n virastoista varainhoitovuodelta 2022 sekä virastojen vastaukset</w:t>
      </w:r>
      <w:r w:rsidRPr="00C4493B">
        <w:rPr>
          <w:rStyle w:val="FootnoteReference"/>
        </w:rPr>
        <w:footnoteReference w:id="1"/>
      </w:r>
      <w:r w:rsidRPr="00C4493B">
        <w:t>,</w:t>
      </w:r>
    </w:p>
    <w:p w:rsidR="00CD7A39" w:rsidRPr="00C4493B" w:rsidRDefault="00CD7A39" w:rsidP="00D66F12">
      <w:pPr>
        <w:pStyle w:val="NormalHanging12a"/>
        <w:widowControl/>
      </w:pPr>
      <w:r w:rsidRPr="00C4493B">
        <w:t>–</w:t>
      </w:r>
      <w:r w:rsidRPr="00C4493B">
        <w:tab/>
        <w:t>ottaa huomioon tilintarkastustuomioistuimen Euroopan unionin toiminnasta tehdyn sopimuksen 287 artiklan mukaisesti antaman varainhoitovuotta 2022 koskevan lausuman</w:t>
      </w:r>
      <w:r w:rsidRPr="00C4493B">
        <w:rPr>
          <w:rStyle w:val="FootnoteReference"/>
        </w:rPr>
        <w:footnoteReference w:id="2"/>
      </w:r>
      <w:r w:rsidRPr="00C4493B">
        <w:t xml:space="preserve"> tilien luotettavuudesta sekä tilien perustana olevien toimien laillisuudesta ja asianmukaisuudesta (sääntöjenmukaisuudesta),</w:t>
      </w:r>
    </w:p>
    <w:p w:rsidR="00CD7A39" w:rsidRPr="00C4493B" w:rsidRDefault="00CD7A39" w:rsidP="00D66F12">
      <w:pPr>
        <w:pStyle w:val="NormalHanging12a"/>
        <w:widowControl/>
      </w:pPr>
      <w:r w:rsidRPr="00C4493B">
        <w:t>–</w:t>
      </w:r>
      <w:r w:rsidRPr="00C4493B">
        <w:tab/>
        <w:t>ottaa huomioon neuvoston 22. helmikuuta 2024 antaman suosituksen varainhoitovuoden 2022 talousarvion toteuttamista koskevan vastuuvapauden myöntämisestä viranomaiselle (</w:t>
      </w:r>
      <w:r w:rsidR="00C24C59" w:rsidRPr="00C4493B">
        <w:t>06180/2024 – C9</w:t>
      </w:r>
      <w:r w:rsidR="00C24C59" w:rsidRPr="00C4493B">
        <w:noBreakHyphen/>
        <w:t>0089/2024</w:t>
      </w:r>
      <w:r w:rsidRPr="00C4493B">
        <w:t>),</w:t>
      </w:r>
    </w:p>
    <w:p w:rsidR="00CD7A39" w:rsidRPr="00C4493B" w:rsidRDefault="00CD7A39" w:rsidP="00D66F12">
      <w:pPr>
        <w:pStyle w:val="NormalHanging12a"/>
        <w:widowControl/>
      </w:pPr>
      <w:r w:rsidRPr="00C4493B">
        <w:t>–</w:t>
      </w:r>
      <w:r w:rsidRPr="00C4493B">
        <w:tab/>
        <w:t>ottaa huomioon Euroopan unionin toiminnasta tehdyn sopimuksen 319 artiklan,</w:t>
      </w:r>
    </w:p>
    <w:p w:rsidR="00CD7A39" w:rsidRPr="00C4493B" w:rsidRDefault="00CD7A39" w:rsidP="00D66F12">
      <w:pPr>
        <w:pStyle w:val="NormalHanging12a"/>
        <w:widowControl/>
      </w:pPr>
      <w:r w:rsidRPr="00C4493B">
        <w:t>–</w:t>
      </w:r>
      <w:r w:rsidRPr="00C4493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C4493B">
        <w:rPr>
          <w:rStyle w:val="FootnoteReference"/>
        </w:rPr>
        <w:footnoteReference w:id="3"/>
      </w:r>
      <w:r w:rsidRPr="00C4493B">
        <w:t xml:space="preserve"> ja erityisesti sen 70 artiklan,</w:t>
      </w:r>
    </w:p>
    <w:p w:rsidR="00CD7A39" w:rsidRPr="00C4493B" w:rsidRDefault="00CD7A39" w:rsidP="00D66F12">
      <w:pPr>
        <w:pStyle w:val="NormalHanging12a"/>
        <w:widowControl/>
      </w:pPr>
      <w:r w:rsidRPr="00C4493B">
        <w:t>–</w:t>
      </w:r>
      <w:r w:rsidRPr="00C4493B">
        <w:tab/>
        <w:t>ottaa huomioon elintarvikelainsäädäntöä koskevi</w:t>
      </w:r>
      <w:bookmarkStart w:id="8" w:name="_GoBack"/>
      <w:bookmarkEnd w:id="8"/>
      <w:r w:rsidRPr="00C4493B">
        <w:t xml:space="preserve">sta yleisistä periaatteista ja vaatimuksista, Euroopan elintarviketurvallisuusviranomaisen perustamisesta sekä elintarvikkeiden turvallisuuteen liittyvistä menettelyistä 28. tammikuuta 2002 annetun </w:t>
      </w:r>
      <w:r w:rsidRPr="00C4493B">
        <w:lastRenderedPageBreak/>
        <w:t>Euroopan parlamentin ja neuvoston asetuksen (EY) N:o 178/2002</w:t>
      </w:r>
      <w:r w:rsidRPr="00C4493B">
        <w:rPr>
          <w:rStyle w:val="FootnoteReference"/>
        </w:rPr>
        <w:footnoteReference w:id="4"/>
      </w:r>
      <w:r w:rsidRPr="00C4493B">
        <w:t xml:space="preserve"> ja erityisesti sen 44 artiklan,</w:t>
      </w:r>
    </w:p>
    <w:p w:rsidR="00CD7A39" w:rsidRPr="00C4493B" w:rsidRDefault="00CD7A39" w:rsidP="00D66F12">
      <w:pPr>
        <w:pStyle w:val="NormalHanging12a"/>
        <w:widowControl/>
      </w:pPr>
      <w:r w:rsidRPr="00C4493B">
        <w:t>–</w:t>
      </w:r>
      <w:r w:rsidRPr="00C4493B">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C4493B">
        <w:rPr>
          <w:rStyle w:val="FootnoteReference"/>
        </w:rPr>
        <w:footnoteReference w:id="5"/>
      </w:r>
      <w:r w:rsidRPr="00C4493B">
        <w:t xml:space="preserve"> ja erityisesti sen 105 artiklan,</w:t>
      </w:r>
    </w:p>
    <w:p w:rsidR="00CD7A39" w:rsidRPr="00C4493B" w:rsidRDefault="00CD7A39" w:rsidP="00D66F12">
      <w:pPr>
        <w:pStyle w:val="NormalHanging12a"/>
        <w:widowControl/>
      </w:pPr>
      <w:r w:rsidRPr="00C4493B">
        <w:t>–</w:t>
      </w:r>
      <w:r w:rsidRPr="00C4493B">
        <w:tab/>
        <w:t>ottaa huomioon työjärjestyksen 100 artiklan ja liitteen V,</w:t>
      </w:r>
    </w:p>
    <w:p w:rsidR="00CD7A39" w:rsidRPr="00C4493B" w:rsidRDefault="00CD7A39" w:rsidP="00D66F12">
      <w:pPr>
        <w:pStyle w:val="NormalHanging12a"/>
        <w:widowControl/>
      </w:pPr>
      <w:r w:rsidRPr="00C4493B">
        <w:t>–</w:t>
      </w:r>
      <w:r w:rsidRPr="00C4493B">
        <w:tab/>
        <w:t>ottaa huomioon ympäristön, kansanterveyden ja elintarvikkeiden turvallisuuden valiokunnan lausunnon,</w:t>
      </w:r>
    </w:p>
    <w:p w:rsidR="00CD7A39" w:rsidRPr="00C4493B" w:rsidRDefault="00CD7A39" w:rsidP="00D66F12">
      <w:pPr>
        <w:pStyle w:val="NormalHanging12a"/>
        <w:widowControl/>
      </w:pPr>
      <w:r w:rsidRPr="00C4493B">
        <w:t>–</w:t>
      </w:r>
      <w:r w:rsidRPr="00C4493B">
        <w:tab/>
        <w:t>ottaa huomioon talousarvion valvontavaliokunnan mietinnön (A9-0129/2024),</w:t>
      </w:r>
    </w:p>
    <w:p w:rsidR="00CD7A39" w:rsidRPr="00C4493B" w:rsidRDefault="00CD7A39" w:rsidP="00D66F12">
      <w:pPr>
        <w:pStyle w:val="NormalHanging12a"/>
        <w:widowControl/>
      </w:pPr>
      <w:r w:rsidRPr="00C4493B">
        <w:t>1.</w:t>
      </w:r>
      <w:r w:rsidRPr="00C4493B">
        <w:tab/>
        <w:t>myöntää Euroopan elintarviketurvallisuusviranomaisen toiminnanjohtajalle vastuuvapauden viranomaisen talousarvion toteuttamisesta varainhoitovuonna 2022;</w:t>
      </w:r>
    </w:p>
    <w:p w:rsidR="00CD7A39" w:rsidRPr="00C4493B" w:rsidRDefault="00CD7A39" w:rsidP="00D66F12">
      <w:pPr>
        <w:pStyle w:val="NormalHanging12a"/>
        <w:widowControl/>
      </w:pPr>
      <w:r w:rsidRPr="00C4493B">
        <w:t>2.</w:t>
      </w:r>
      <w:r w:rsidRPr="00C4493B">
        <w:tab/>
        <w:t>esittää huomautuksensa oheisessa päätöslauselmassa;</w:t>
      </w:r>
    </w:p>
    <w:p w:rsidR="00CD7A39" w:rsidRPr="00C4493B" w:rsidRDefault="00CD7A39" w:rsidP="00D66F12">
      <w:pPr>
        <w:pStyle w:val="NormalHanging12a"/>
        <w:widowControl/>
      </w:pPr>
      <w:r w:rsidRPr="00C4493B">
        <w:t>3.</w:t>
      </w:r>
      <w:r w:rsidRPr="00C4493B">
        <w:tab/>
        <w:t xml:space="preserve">kehottaa puhemiestä välittämään tämän päätöksen ja siihen erottamattomasti kuuluvan päätöslauselman Euroopan elintarviketurvallisuusviranomaisen toiminnanjohtajalle, neuvostolle, komissiolle ja tilintarkastustuomioistuimelle sekä huolehtimaan niiden julkaisemisesta </w:t>
      </w:r>
      <w:r w:rsidRPr="00C4493B">
        <w:rPr>
          <w:i/>
        </w:rPr>
        <w:t>Euroopan unionin virallisessa lehdessä</w:t>
      </w:r>
      <w:r w:rsidRPr="00C4493B">
        <w:t xml:space="preserve"> (L-sarja).</w:t>
      </w:r>
    </w:p>
    <w:p w:rsidR="00CD7A39" w:rsidRPr="00C4493B" w:rsidRDefault="00CD7A39" w:rsidP="00D66F12">
      <w:pPr>
        <w:widowControl/>
        <w:rPr>
          <w:rFonts w:ascii="Arial" w:hAnsi="Arial" w:cs="Arial"/>
          <w:b/>
        </w:rPr>
        <w:sectPr w:rsidR="00CD7A39" w:rsidRPr="00C4493B" w:rsidSect="005613C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D7A39" w:rsidRPr="00C4493B" w:rsidRDefault="00D66F12" w:rsidP="0022171C">
      <w:pPr>
        <w:pStyle w:val="ATHeading3"/>
      </w:pPr>
      <w:r w:rsidRPr="00C4493B">
        <w:lastRenderedPageBreak/>
        <w:t>2. Euroopan parlamentin päätös 11. huhtikuuta 2024 E</w:t>
      </w:r>
      <w:r w:rsidR="00CD7A39" w:rsidRPr="00C4493B">
        <w:t>uroopan elintarviketurvallisuusviranomaisen varainhoitovuoden 2022 tilien päättämisestä</w:t>
      </w:r>
      <w:r w:rsidRPr="00C4493B">
        <w:t xml:space="preserve"> </w:t>
      </w:r>
      <w:r w:rsidR="00CD7A39" w:rsidRPr="00C4493B">
        <w:t>(2023/2151(DEC))</w:t>
      </w:r>
    </w:p>
    <w:p w:rsidR="00CD7A39" w:rsidRPr="00C4493B" w:rsidRDefault="00CD7A39" w:rsidP="00D66F12">
      <w:pPr>
        <w:pStyle w:val="EPComma"/>
        <w:widowControl/>
      </w:pPr>
      <w:r w:rsidRPr="00C4493B">
        <w:rPr>
          <w:i/>
        </w:rPr>
        <w:t>Euroopan parlamentti</w:t>
      </w:r>
      <w:r w:rsidRPr="00C4493B">
        <w:t>, joka</w:t>
      </w:r>
    </w:p>
    <w:p w:rsidR="00CD7A39" w:rsidRPr="00C4493B" w:rsidRDefault="00CD7A39" w:rsidP="00D66F12">
      <w:pPr>
        <w:pStyle w:val="NormalHanging12a"/>
        <w:widowControl/>
      </w:pPr>
      <w:r w:rsidRPr="00C4493B">
        <w:t>–</w:t>
      </w:r>
      <w:r w:rsidRPr="00C4493B">
        <w:tab/>
        <w:t>ottaa huomioon Euroopan elintarviketurvallisuusviranomaisen lopullisen tilinpäätöksen varainhoitovuodelta 2022,</w:t>
      </w:r>
    </w:p>
    <w:p w:rsidR="00CD7A39" w:rsidRPr="00C4493B" w:rsidRDefault="00CD7A39" w:rsidP="00D66F12">
      <w:pPr>
        <w:pStyle w:val="NormalHanging12a"/>
        <w:widowControl/>
      </w:pPr>
      <w:r w:rsidRPr="00C4493B">
        <w:t>–</w:t>
      </w:r>
      <w:r w:rsidRPr="00C4493B">
        <w:tab/>
        <w:t>ottaa huomioon tilintarkastustuomioistuimen vuosikertomuksen EU:n virastoista varainhoitovuodelta 2022 sekä virastojen vastaukset</w:t>
      </w:r>
      <w:r w:rsidRPr="00C4493B">
        <w:rPr>
          <w:rStyle w:val="FootnoteReference"/>
        </w:rPr>
        <w:footnoteReference w:id="6"/>
      </w:r>
      <w:r w:rsidRPr="00C4493B">
        <w:t>,</w:t>
      </w:r>
    </w:p>
    <w:p w:rsidR="00CD7A39" w:rsidRPr="00C4493B" w:rsidRDefault="00CD7A39" w:rsidP="00D66F12">
      <w:pPr>
        <w:pStyle w:val="NormalHanging12a"/>
        <w:widowControl/>
      </w:pPr>
      <w:r w:rsidRPr="00C4493B">
        <w:t>–</w:t>
      </w:r>
      <w:r w:rsidRPr="00C4493B">
        <w:tab/>
        <w:t>ottaa huomioon tilintarkastustuomioistuimen Euroopan unionin toiminnasta tehdyn sopimuksen 287 artiklan mukaisesti antaman varainhoitovuotta 2022 koskevan lausuman</w:t>
      </w:r>
      <w:r w:rsidRPr="00C4493B">
        <w:rPr>
          <w:rStyle w:val="FootnoteReference"/>
        </w:rPr>
        <w:footnoteReference w:id="7"/>
      </w:r>
      <w:r w:rsidRPr="00C4493B">
        <w:t xml:space="preserve"> tilien luotettavuudesta sekä tilien perustana olevien toimien laillisuudesta ja asianmukaisuudesta (sääntöjenmukaisuudesta),</w:t>
      </w:r>
    </w:p>
    <w:p w:rsidR="00CD7A39" w:rsidRPr="00C4493B" w:rsidRDefault="00CD7A39" w:rsidP="00D66F12">
      <w:pPr>
        <w:pStyle w:val="NormalHanging12a"/>
        <w:widowControl/>
      </w:pPr>
      <w:r w:rsidRPr="00C4493B">
        <w:t>–</w:t>
      </w:r>
      <w:r w:rsidRPr="00C4493B">
        <w:tab/>
        <w:t>ottaa huomioon neuvoston 22. helmikuuta 2024 antaman suosituksen varainhoitovuoden 2022 talousarvion toteuttamista koskevan vastuuvapauden myöntämisestä viranomaiselle (</w:t>
      </w:r>
      <w:r w:rsidR="00C24C59" w:rsidRPr="00C4493B">
        <w:t>06180/2024 – C9</w:t>
      </w:r>
      <w:r w:rsidR="00C24C59" w:rsidRPr="00C4493B">
        <w:noBreakHyphen/>
        <w:t>0089/2024</w:t>
      </w:r>
      <w:r w:rsidRPr="00C4493B">
        <w:t>),</w:t>
      </w:r>
    </w:p>
    <w:p w:rsidR="00CD7A39" w:rsidRPr="00C4493B" w:rsidRDefault="00CD7A39" w:rsidP="00D66F12">
      <w:pPr>
        <w:pStyle w:val="NormalHanging12a"/>
        <w:widowControl/>
      </w:pPr>
      <w:r w:rsidRPr="00C4493B">
        <w:t>–</w:t>
      </w:r>
      <w:r w:rsidRPr="00C4493B">
        <w:tab/>
        <w:t>ottaa huomioon Euroopan unionin toiminnasta tehdyn sopimuksen 319 artiklan,</w:t>
      </w:r>
    </w:p>
    <w:p w:rsidR="00CD7A39" w:rsidRPr="00C4493B" w:rsidRDefault="00CD7A39" w:rsidP="00D66F12">
      <w:pPr>
        <w:pStyle w:val="NormalHanging12a"/>
        <w:widowControl/>
      </w:pPr>
      <w:r w:rsidRPr="00C4493B">
        <w:t>–</w:t>
      </w:r>
      <w:r w:rsidRPr="00C4493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C4493B">
        <w:rPr>
          <w:rStyle w:val="FootnoteReference"/>
        </w:rPr>
        <w:footnoteReference w:id="8"/>
      </w:r>
      <w:r w:rsidRPr="00C4493B">
        <w:t xml:space="preserve"> ja erityisesti sen 70 artiklan,</w:t>
      </w:r>
    </w:p>
    <w:p w:rsidR="00CD7A39" w:rsidRPr="00C4493B" w:rsidRDefault="00CD7A39" w:rsidP="00D66F12">
      <w:pPr>
        <w:pStyle w:val="NormalHanging12a"/>
        <w:widowControl/>
      </w:pPr>
      <w:r w:rsidRPr="00C4493B">
        <w:t>–</w:t>
      </w:r>
      <w:r w:rsidRPr="00C4493B">
        <w:tab/>
        <w:t>ottaa huomioon elintarvikelainsäädäntöä koskevista yleisistä periaatteista ja vaatimuksista, Euroopan elintarviketurvallisuusviranomaisen perustamisesta sekä elintarvikkeiden turvallisuuteen liittyvistä menettelyistä 28. tammikuuta 2002 annetun Euroopan parlamentin ja neuvoston asetuksen (EY) N:o 178/2002</w:t>
      </w:r>
      <w:r w:rsidRPr="00C4493B">
        <w:rPr>
          <w:rStyle w:val="FootnoteReference"/>
        </w:rPr>
        <w:footnoteReference w:id="9"/>
      </w:r>
      <w:r w:rsidRPr="00C4493B">
        <w:t xml:space="preserve"> ja erityisesti sen 44 artiklan,</w:t>
      </w:r>
    </w:p>
    <w:p w:rsidR="00CD7A39" w:rsidRPr="00C4493B" w:rsidRDefault="00CD7A39" w:rsidP="00D66F12">
      <w:pPr>
        <w:pStyle w:val="NormalHanging12a"/>
        <w:widowControl/>
      </w:pPr>
      <w:r w:rsidRPr="00C4493B">
        <w:t>–</w:t>
      </w:r>
      <w:r w:rsidRPr="00C4493B">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C4493B">
        <w:rPr>
          <w:rStyle w:val="FootnoteReference"/>
        </w:rPr>
        <w:footnoteReference w:id="10"/>
      </w:r>
      <w:r w:rsidRPr="00C4493B">
        <w:t xml:space="preserve"> ja erityisesti sen 105 artiklan,</w:t>
      </w:r>
    </w:p>
    <w:p w:rsidR="00CD7A39" w:rsidRPr="00C4493B" w:rsidRDefault="00CD7A39" w:rsidP="00D66F12">
      <w:pPr>
        <w:pStyle w:val="NormalHanging12a"/>
        <w:widowControl/>
      </w:pPr>
      <w:r w:rsidRPr="00C4493B">
        <w:t>–</w:t>
      </w:r>
      <w:r w:rsidRPr="00C4493B">
        <w:tab/>
        <w:t>ottaa huomioon työjärjestyksen 100 artiklan ja liitteen V,</w:t>
      </w:r>
    </w:p>
    <w:p w:rsidR="00CD7A39" w:rsidRPr="00C4493B" w:rsidRDefault="00CD7A39" w:rsidP="00D66F12">
      <w:pPr>
        <w:pStyle w:val="NormalHanging12a"/>
        <w:widowControl/>
      </w:pPr>
      <w:r w:rsidRPr="00C4493B">
        <w:lastRenderedPageBreak/>
        <w:t>–</w:t>
      </w:r>
      <w:r w:rsidRPr="00C4493B">
        <w:tab/>
        <w:t>ottaa huomioon ympäristön, kansanterveyden ja elintarvikkeiden turvallisuuden valiokunnan lausunnon,</w:t>
      </w:r>
    </w:p>
    <w:p w:rsidR="00CD7A39" w:rsidRPr="00C4493B" w:rsidRDefault="00CD7A39" w:rsidP="00D66F12">
      <w:pPr>
        <w:pStyle w:val="NormalHanging12a"/>
        <w:widowControl/>
      </w:pPr>
      <w:r w:rsidRPr="00C4493B">
        <w:t>–</w:t>
      </w:r>
      <w:r w:rsidRPr="00C4493B">
        <w:tab/>
        <w:t>ottaa huomioon talousarvion valvontavaliokunnan mietinnön (A9-0129/2024),</w:t>
      </w:r>
    </w:p>
    <w:p w:rsidR="00CD7A39" w:rsidRPr="00C4493B" w:rsidRDefault="00CD7A39" w:rsidP="00D66F12">
      <w:pPr>
        <w:pStyle w:val="NormalHanging12a"/>
        <w:widowControl/>
      </w:pPr>
      <w:r w:rsidRPr="00C4493B">
        <w:t>1.</w:t>
      </w:r>
      <w:r w:rsidRPr="00C4493B">
        <w:tab/>
        <w:t>hyväksyy Euroopan elintarviketurvallisuusviranomaisen varainhoitovuoden 2022 tilien päättämisen;</w:t>
      </w:r>
    </w:p>
    <w:p w:rsidR="00CD7A39" w:rsidRPr="00C4493B" w:rsidRDefault="00CD7A39" w:rsidP="00D66F12">
      <w:pPr>
        <w:pStyle w:val="NormalHanging12a"/>
        <w:widowControl/>
        <w:rPr>
          <w:rFonts w:ascii="Arial" w:hAnsi="Arial" w:cs="Arial"/>
          <w:b/>
        </w:rPr>
        <w:sectPr w:rsidR="00CD7A39" w:rsidRPr="00C4493B" w:rsidSect="005613C6">
          <w:footnotePr>
            <w:numRestart w:val="eachPage"/>
          </w:footnotePr>
          <w:endnotePr>
            <w:numFmt w:val="decimal"/>
          </w:endnotePr>
          <w:pgSz w:w="11906" w:h="16838"/>
          <w:pgMar w:top="1134" w:right="1418" w:bottom="1418" w:left="1418" w:header="567" w:footer="567" w:gutter="0"/>
          <w:cols w:space="720"/>
          <w:docGrid w:linePitch="326"/>
        </w:sectPr>
      </w:pPr>
      <w:r w:rsidRPr="00C4493B">
        <w:t>2.</w:t>
      </w:r>
      <w:r w:rsidRPr="00C4493B">
        <w:tab/>
        <w:t xml:space="preserve">kehottaa puhemiestä välittämään tämän päätöksen Euroopan elintarviketurvallisuusviranomaisen toiminnanjohtajalle, neuvostolle, komissiolle ja tilintarkastustuomioistuimelle sekä huolehtimaan sen julkaisemisesta </w:t>
      </w:r>
      <w:r w:rsidRPr="00C4493B">
        <w:rPr>
          <w:i/>
        </w:rPr>
        <w:t>Euroopan unionin virallisessa lehdessä</w:t>
      </w:r>
      <w:r w:rsidRPr="00C4493B">
        <w:t xml:space="preserve"> (L-sarja).</w:t>
      </w:r>
    </w:p>
    <w:p w:rsidR="00CD7A39" w:rsidRPr="00C4493B" w:rsidRDefault="00D66F12" w:rsidP="0022171C">
      <w:pPr>
        <w:pStyle w:val="ATHeading3"/>
      </w:pPr>
      <w:r w:rsidRPr="00C4493B">
        <w:lastRenderedPageBreak/>
        <w:t xml:space="preserve">3. Euroopan parlamentin päätöslauselma 11. huhtikuuta 2024, joka </w:t>
      </w:r>
      <w:r w:rsidR="00CD7A39" w:rsidRPr="00C4493B">
        <w:t>sisältää huomautukset, jotka ovat erottamaton osa päätöstä vastuuvapauden myöntämisestä Euroopan elintarviketurvallisuusviranomaisen talousarvion toteuttamisesta varainhoitovuonna 2022</w:t>
      </w:r>
      <w:r w:rsidRPr="00C4493B">
        <w:t xml:space="preserve"> </w:t>
      </w:r>
      <w:r w:rsidR="00CD7A39" w:rsidRPr="00C4493B">
        <w:t>(2023/2151(DEC))</w:t>
      </w:r>
    </w:p>
    <w:p w:rsidR="00CD7A39" w:rsidRPr="00C4493B" w:rsidRDefault="00CD7A39" w:rsidP="00D66F12">
      <w:pPr>
        <w:pStyle w:val="EPComma"/>
        <w:widowControl/>
      </w:pPr>
      <w:r w:rsidRPr="00C4493B">
        <w:rPr>
          <w:i/>
        </w:rPr>
        <w:t>Euroopan parlamentti</w:t>
      </w:r>
      <w:r w:rsidRPr="00C4493B">
        <w:t>, joka</w:t>
      </w:r>
    </w:p>
    <w:p w:rsidR="00CD7A39" w:rsidRPr="00C4493B" w:rsidRDefault="00CD7A39" w:rsidP="00D66F12">
      <w:pPr>
        <w:pStyle w:val="NormalHanging12a"/>
        <w:widowControl/>
      </w:pPr>
      <w:r w:rsidRPr="00C4493B">
        <w:t>–</w:t>
      </w:r>
      <w:r w:rsidRPr="00C4493B">
        <w:tab/>
        <w:t>ottaa huomioon päätöksensä vastuuvapauden myöntämisestä Euroopan elintarviketurvallisuusviranomaisen talousarvion toteuttamisesta varainhoitovuonna 2022,</w:t>
      </w:r>
    </w:p>
    <w:p w:rsidR="00CD7A39" w:rsidRPr="00C4493B" w:rsidRDefault="00CD7A39" w:rsidP="00D66F12">
      <w:pPr>
        <w:pStyle w:val="NormalHanging12a"/>
        <w:widowControl/>
      </w:pPr>
      <w:r w:rsidRPr="00C4493B">
        <w:t>–</w:t>
      </w:r>
      <w:r w:rsidRPr="00C4493B">
        <w:tab/>
        <w:t>ottaa huomioon työjärjestyksen 100 artiklan ja liitteen V,</w:t>
      </w:r>
    </w:p>
    <w:p w:rsidR="00CD7A39" w:rsidRPr="00C4493B" w:rsidRDefault="00CD7A39" w:rsidP="00D66F12">
      <w:pPr>
        <w:pStyle w:val="NormalHanging12a"/>
        <w:widowControl/>
      </w:pPr>
      <w:r w:rsidRPr="00C4493B">
        <w:t>–</w:t>
      </w:r>
      <w:r w:rsidRPr="00C4493B">
        <w:tab/>
        <w:t>ottaa huomioon ympäristön, kansanterveyden ja elintarvikkeiden turvallisuuden valiokunnan lausunnon,</w:t>
      </w:r>
    </w:p>
    <w:p w:rsidR="00CD7A39" w:rsidRPr="00C4493B" w:rsidRDefault="00CD7A39" w:rsidP="00D66F12">
      <w:pPr>
        <w:pStyle w:val="NormalHanging12a"/>
        <w:widowControl/>
      </w:pPr>
      <w:r w:rsidRPr="00C4493B">
        <w:t>–</w:t>
      </w:r>
      <w:r w:rsidRPr="00C4493B">
        <w:tab/>
        <w:t>ottaa huomioon talousarvion valvontavaliokunnan mietinnön (A9-0129/2024),</w:t>
      </w:r>
    </w:p>
    <w:p w:rsidR="00CD7A39" w:rsidRPr="00C4493B" w:rsidRDefault="00CD7A39" w:rsidP="00D66F12">
      <w:pPr>
        <w:widowControl/>
        <w:autoSpaceDE w:val="0"/>
        <w:autoSpaceDN w:val="0"/>
        <w:adjustRightInd w:val="0"/>
        <w:spacing w:after="240"/>
        <w:ind w:left="567" w:hanging="567"/>
        <w:rPr>
          <w:rFonts w:eastAsia="Calibri"/>
          <w:szCs w:val="24"/>
        </w:rPr>
      </w:pPr>
      <w:r w:rsidRPr="00C4493B">
        <w:t>A.</w:t>
      </w:r>
      <w:r w:rsidRPr="00C4493B">
        <w:tab/>
        <w:t>toteaa, että Euroopan elintarviketurvallisuusviranomaisen tulo- ja menotaulukon</w:t>
      </w:r>
      <w:r w:rsidRPr="00C4493B">
        <w:rPr>
          <w:rFonts w:eastAsia="Calibri"/>
          <w:szCs w:val="24"/>
          <w:vertAlign w:val="superscript"/>
        </w:rPr>
        <w:footnoteReference w:id="11"/>
      </w:r>
      <w:r w:rsidRPr="00C4493B">
        <w:t xml:space="preserve"> mukaan sen lopullinen talousarvio varainhoitovuodeksi 2022 oli 149 841 816,93 euroa, mikä merkitsee 15,99 prosentin lisäystä vuoteen 2021 verrattuna; toteaa, että viranomaisen talousarvio rahoitetaan pääasiassa unionin talousarviosta;</w:t>
      </w:r>
    </w:p>
    <w:p w:rsidR="00CD7A39" w:rsidRPr="00C4493B" w:rsidRDefault="00CD7A39" w:rsidP="00D66F12">
      <w:pPr>
        <w:widowControl/>
        <w:spacing w:after="240"/>
        <w:ind w:left="567" w:hanging="567"/>
        <w:rPr>
          <w:szCs w:val="24"/>
        </w:rPr>
      </w:pPr>
      <w:r w:rsidRPr="00C4493B">
        <w:t>B.</w:t>
      </w:r>
      <w:r w:rsidRPr="00C4493B">
        <w:tab/>
        <w:t>ottaa huomioon, että tilintarkastustuomioistuin toteaa kertomuksessaan viranomaisen tilinpäätöksestä varainhoitovuodelta 2022 saaneensa kohtuullisen varmuuden siitä, että viranomaisen tilit olivat luotettavat ja tilien perustana olevat toimet olivat lailliset ja asianmukaiset (sääntöjenmukaiset);</w:t>
      </w:r>
    </w:p>
    <w:p w:rsidR="00CD7A39" w:rsidRPr="00C4493B" w:rsidRDefault="00CD7A39" w:rsidP="00D66F12">
      <w:pPr>
        <w:widowControl/>
        <w:spacing w:after="240"/>
        <w:ind w:left="567" w:hanging="567"/>
        <w:rPr>
          <w:szCs w:val="24"/>
        </w:rPr>
      </w:pPr>
      <w:r w:rsidRPr="00C4493B">
        <w:t>C.</w:t>
      </w:r>
      <w:r w:rsidRPr="00C4493B">
        <w:tab/>
        <w:t>ottaa huomioon, että viranomaisen hankinta-alan osalta ei vuonna 2022 raportoitu korjaavia toimia edellyttävistä seikoista eikä aiempien vuosien tarkastuksista ja arvioinneista ole kesken tai toteuttamatta olevia korjaavia toimia;</w:t>
      </w:r>
    </w:p>
    <w:p w:rsidR="00CD7A39" w:rsidRPr="00C4493B" w:rsidRDefault="00CD7A39" w:rsidP="00D66F12">
      <w:pPr>
        <w:widowControl/>
        <w:spacing w:after="240"/>
        <w:ind w:left="567" w:hanging="567"/>
        <w:rPr>
          <w:szCs w:val="24"/>
        </w:rPr>
      </w:pPr>
      <w:r w:rsidRPr="00C4493B">
        <w:t>D.</w:t>
      </w:r>
      <w:r w:rsidRPr="00C4493B">
        <w:tab/>
        <w:t>ottaa huomioon, että viranomaisen sisäisen valvonnan järjestelmien osalta ei vuonna 2022 raportoitu korjaavia toimia edellyttävistä seikoista eikä aiempien vuosien tarkastuksista ja arvioinneista ole kesken tai toteuttamatta olevia korjaavia toimia;</w:t>
      </w:r>
    </w:p>
    <w:p w:rsidR="00CD7A39" w:rsidRPr="00C4493B" w:rsidRDefault="00CD7A39" w:rsidP="00D66F12">
      <w:pPr>
        <w:keepNext/>
        <w:widowControl/>
        <w:spacing w:after="240"/>
        <w:ind w:left="567" w:hanging="567"/>
        <w:rPr>
          <w:b/>
          <w:i/>
          <w:szCs w:val="24"/>
        </w:rPr>
      </w:pPr>
      <w:r w:rsidRPr="00C4493B">
        <w:rPr>
          <w:b/>
          <w:i/>
        </w:rPr>
        <w:t>Talousarvio- ja varainhallinto</w:t>
      </w:r>
    </w:p>
    <w:p w:rsidR="00CD7A39" w:rsidRPr="00C4493B" w:rsidRDefault="00CD7A39" w:rsidP="00D66F12">
      <w:pPr>
        <w:widowControl/>
        <w:spacing w:after="240"/>
        <w:ind w:left="567" w:hanging="567"/>
        <w:rPr>
          <w:szCs w:val="24"/>
        </w:rPr>
      </w:pPr>
      <w:r w:rsidRPr="00C4493B">
        <w:t>1.</w:t>
      </w:r>
      <w:r w:rsidRPr="00C4493B">
        <w:tab/>
        <w:t>panee tyytyväisenä merkille, että varainhoitovuonna 2022 toteutetun talousarvion seurannan tuloksena talousarvion toteutusaste oli kyseisenä vuonna maksusitoumusmäärärahojen osalta 99,95 prosenttia, mikä merkitsee hienoista 0,04 prosentin vähennystä vuoteen 2021 verrattuna; panee lisäksi merkille, että kyseisenä vuonna maksumäärärahojen käyttöaste oli 89,77 prosenttia, mikä merkitsee 0,92 prosentin lisäystä vuoteen 2021 verrattuna;</w:t>
      </w:r>
    </w:p>
    <w:p w:rsidR="00CD7A39" w:rsidRPr="00C4493B" w:rsidRDefault="00CD7A39" w:rsidP="00D66F12">
      <w:pPr>
        <w:pStyle w:val="NormalHanging12a"/>
        <w:widowControl/>
      </w:pPr>
      <w:r w:rsidRPr="00C4493B">
        <w:t>2.</w:t>
      </w:r>
      <w:r w:rsidRPr="00C4493B">
        <w:tab/>
        <w:t xml:space="preserve">toteaa, että kasvinsuojeluaineiden sääntelyviranomaisten resurssien ja toimien puute aiheuttaa viivästyksiä vähäriskisten tehoaineiden hyväksymisessä ja arviointimenetelmien päivittämisessä tieteellisen kehityksen mukaisesti, millä voitaisiin vähentää kasvinsuojeluaineiden ympäristövaikutuksia pitkällä aikavälillä; kehottaa komissiota toteuttamaan asianmukaisia toimia sen varmistamiseksi, että viranomaisella </w:t>
      </w:r>
      <w:r w:rsidRPr="00C4493B">
        <w:lastRenderedPageBreak/>
        <w:t>on riittävästi resursseja ja toimia, jotta se voi tukea jäsenvaltioita niille asetuksessa (EY) N:o 1107/2009 asetettujen määräaikojen noudattamisessa, kaksinkertaistaa vuodessa tehtävien kasvinsuojeluaineiden tehoaineiden arviointien määrän ja kolminkertaistaa sellaisten menetelmien kehittämisen nopeuden, joilla riskinarvioinnit pidetään uusimman tieteellisen kehityksen tasalla ja yhteiskunnan odotusten mukaisina;</w:t>
      </w:r>
    </w:p>
    <w:p w:rsidR="00CD7A39" w:rsidRPr="00C4493B" w:rsidRDefault="00CD7A39" w:rsidP="00D66F12">
      <w:pPr>
        <w:keepNext/>
        <w:widowControl/>
        <w:spacing w:after="240"/>
        <w:ind w:left="567" w:hanging="567"/>
        <w:rPr>
          <w:b/>
          <w:i/>
          <w:szCs w:val="24"/>
        </w:rPr>
      </w:pPr>
      <w:r w:rsidRPr="00C4493B">
        <w:rPr>
          <w:b/>
          <w:i/>
        </w:rPr>
        <w:t>Toiminnan tuloksellisuus</w:t>
      </w:r>
    </w:p>
    <w:p w:rsidR="00CD7A39" w:rsidRPr="00C4493B" w:rsidRDefault="00CD7A39" w:rsidP="00D66F12">
      <w:pPr>
        <w:pStyle w:val="NormalHanging12a"/>
        <w:widowControl/>
      </w:pPr>
      <w:r w:rsidRPr="00C4493B">
        <w:t>3.</w:t>
      </w:r>
      <w:r w:rsidRPr="00C4493B">
        <w:tab/>
        <w:t>panee tyytyväisenä merkille viranomaisen panoksen elintarvike- ja rehuketjun turvallisuuteen unionissa ja sen huomattavat ponnistelut sen antaessa unionin riskinhallinnasta vastaaville tahoille kattavaa, riippumatonta ja ajantasaista tieteellistä neuvontaa elintarvikeketjua koskevista kysymyksistä, viestiessä saavuttamistaan tuloksista ja niiden taustalla olevista tiedoista suurelle yleisölle selkeällä tavalla sekä toimiessa yhteistyössä asianomaisten osapuolien ja institutionaalisten kumppanien kanssa edistääkseen unionin elintarvikkeiden turvallisuutta koskevan järjestelmän johdonmukaisuutta ja luottamusta siihen;</w:t>
      </w:r>
    </w:p>
    <w:p w:rsidR="00CD7A39" w:rsidRPr="00C4493B" w:rsidRDefault="00CD7A39" w:rsidP="00D66F12">
      <w:pPr>
        <w:pStyle w:val="NormalHanging12a"/>
        <w:widowControl/>
        <w:rPr>
          <w:szCs w:val="24"/>
        </w:rPr>
      </w:pPr>
      <w:r w:rsidRPr="00C4493B">
        <w:t>4.</w:t>
      </w:r>
      <w:r w:rsidRPr="00C4493B">
        <w:tab/>
        <w:t>panee tyytyväisenä merkille, että viranomainen on pannut täytäntöön yhdennetyn tuloskehyksen, jolla resursseja ja toimia yhdistetään tuotoksiin ja odotettuihin tuloksiin ja jota on täydennetty keskeisillä tulosindikaattoreilla tuloksellisuuden seurantaa ja parantamista varten; panee lisäksi merkille, että tuloskehyksessä määritettyjen tavoitteiden kokonaistoteutusaste oli 96 prosenttia; panee merkille, että viranomainen suoriutui yleisesti hyvin strategisen tavoitteen 2 (varmistetaan varautuminen tuleviin riskianalyysitarpeisiin) ja strategisen tavoitteen 3 (lisätään ihmisten vaikutusmahdollisuuksia ja varmistetaan organisaation ketteryys) aloilla mutta poikkesi strategisesta tavoitteesta 1 (annetaan luotettavaa tieteellistä neuvontaa ja tiedotetaan pellolta pöytään -strategiaan liittyvistä riskeistä), johon vaikutti merkittävästi asetuksen (EU) 2019/1381</w:t>
      </w:r>
      <w:r w:rsidRPr="00C4493B">
        <w:rPr>
          <w:rStyle w:val="FootnoteReference"/>
          <w:szCs w:val="24"/>
        </w:rPr>
        <w:footnoteReference w:id="12"/>
      </w:r>
      <w:r w:rsidRPr="00C4493B">
        <w:t xml:space="preserve"> mukaisten uusien sääntöjen ja menettelyjen täytäntöönpano;</w:t>
      </w:r>
    </w:p>
    <w:p w:rsidR="00CD7A39" w:rsidRPr="00C4493B" w:rsidRDefault="00CD7A39" w:rsidP="00D66F12">
      <w:pPr>
        <w:pStyle w:val="NormalHanging12a"/>
        <w:widowControl/>
        <w:rPr>
          <w:szCs w:val="24"/>
        </w:rPr>
      </w:pPr>
      <w:r w:rsidRPr="00C4493B">
        <w:t>5.</w:t>
      </w:r>
      <w:r w:rsidRPr="00C4493B">
        <w:tab/>
        <w:t>korostaa, että viranomainen saattoi päätökseen strategisen tavoitteen 1 (annetaan luotettavaa tieteellistä neuvontaa ja tiedotetaan riskeistä pellolta pöytään) osalta 586 tieteellistä kysymystä, kun tavoitteena oli 701; panee merkille, että vaikka käsiteltyjen tieteellisten kysymysten määrä oli odotettua pienempi, se vastasi likimäärin vuoden aikana vastaanotettujen uusien kysymysten määrää, millä varmistettiin, että avoimina olevien kysymysten määrä ei lisääntynyt;</w:t>
      </w:r>
    </w:p>
    <w:p w:rsidR="00CD7A39" w:rsidRPr="00C4493B" w:rsidRDefault="00CD7A39" w:rsidP="00D66F12">
      <w:pPr>
        <w:pStyle w:val="NormalHanging12a"/>
        <w:widowControl/>
        <w:rPr>
          <w:szCs w:val="24"/>
        </w:rPr>
      </w:pPr>
      <w:r w:rsidRPr="00C4493B">
        <w:t>6.</w:t>
      </w:r>
      <w:r w:rsidRPr="00C4493B">
        <w:tab/>
        <w:t>suhtautuu myönteisesti siihen, että tulosten tiedottamisessa saavutettiin erittäin positiivisia tuloksia ja että ne julkaistiin oikea-aikaisesti viranomaisen lehdessä kahtena viime vuonna saavutettujen positiivisten tulosten tapaan;</w:t>
      </w:r>
    </w:p>
    <w:p w:rsidR="00CD7A39" w:rsidRPr="00C4493B" w:rsidRDefault="00CD7A39" w:rsidP="00D66F12">
      <w:pPr>
        <w:pStyle w:val="NormalHanging12a"/>
        <w:widowControl/>
        <w:rPr>
          <w:szCs w:val="24"/>
        </w:rPr>
      </w:pPr>
      <w:r w:rsidRPr="00C4493B">
        <w:t>7.</w:t>
      </w:r>
      <w:r w:rsidRPr="00C4493B">
        <w:tab/>
        <w:t>panee merkille, että vuosi 2022 oli vuoden 2027 strategian ensimmäinen täytäntöönpanovuosi; toteaa, että vuoden 2027 strategiassa, joka laadittiin vuoden 2020 strategian jatkeeksi, keskitytään asetuksen (EU) 2019/1381 täytäntöönpanoon (lyhyellä aikavälillä) ja valmistellaan viranomaista käsittelemään uusia kehittyviä unionin politiikkoja (pitkällä aikavälillä);</w:t>
      </w:r>
    </w:p>
    <w:p w:rsidR="00CD7A39" w:rsidRPr="00C4493B" w:rsidRDefault="00CD7A39" w:rsidP="00D66F12">
      <w:pPr>
        <w:pStyle w:val="NormalHanging12a"/>
        <w:widowControl/>
        <w:rPr>
          <w:szCs w:val="24"/>
        </w:rPr>
      </w:pPr>
      <w:r w:rsidRPr="00C4493B">
        <w:lastRenderedPageBreak/>
        <w:t>8.</w:t>
      </w:r>
      <w:r w:rsidRPr="00C4493B">
        <w:tab/>
        <w:t xml:space="preserve">suhtautuu myönteisesti viranomaisen kesäkuussa 2022 järjestämään ONE Conference – Health, Environment, </w:t>
      </w:r>
      <w:proofErr w:type="spellStart"/>
      <w:r w:rsidRPr="00C4493B">
        <w:t>Society</w:t>
      </w:r>
      <w:proofErr w:type="spellEnd"/>
      <w:r w:rsidRPr="00C4493B">
        <w:t xml:space="preserve"> -konferenssiin, jossa korostettiin ihmisten, eläinten ja ympäristön terveyden välistä yhteyttä ja jonka tavoitteena oli saada aikaan yhteinen terveys ja yhteinen ympäristö -lähestymistapa;</w:t>
      </w:r>
    </w:p>
    <w:p w:rsidR="00CD7A39" w:rsidRPr="00C4493B" w:rsidRDefault="00CD7A39" w:rsidP="00D66F12">
      <w:pPr>
        <w:pStyle w:val="NormalHanging12a"/>
        <w:widowControl/>
        <w:rPr>
          <w:szCs w:val="24"/>
        </w:rPr>
      </w:pPr>
      <w:r w:rsidRPr="00C4493B">
        <w:t>9.</w:t>
      </w:r>
      <w:r w:rsidRPr="00C4493B">
        <w:tab/>
        <w:t>panee merkille, että viranomainen on käynnistänyt afrikkalaista sikaruttoa koskevan kampanjan yhteistyössä 18 jäsenvaltion kanssa; panee lisäksi merkille, että viranomainen on osallistunut EU:n kemikaalistrategian laatimiseen ja täytäntöönpanoon;</w:t>
      </w:r>
    </w:p>
    <w:p w:rsidR="00CD7A39" w:rsidRPr="00C4493B" w:rsidRDefault="00CD7A39" w:rsidP="00D66F12">
      <w:pPr>
        <w:pStyle w:val="NormalHanging12a"/>
        <w:widowControl/>
      </w:pPr>
      <w:r w:rsidRPr="00C4493B">
        <w:t>10.</w:t>
      </w:r>
      <w:r w:rsidRPr="00C4493B">
        <w:tab/>
        <w:t>toteaa, että viranomaisen kyky antaa neuvojaan oikea-aikaisesti oli edelleen erityisen huomion kohteena vuosittaisessa strategiakyselyssä, jossa viranomainen pyytää palautetta asiakkailtaan, yhteistyökumppaneiltaan ja tieteellisten lausuntojensa antamiseen suoraan ja epäsuorasti kytkeytyviltä sidosryhmiltä;</w:t>
      </w:r>
    </w:p>
    <w:p w:rsidR="00CD7A39" w:rsidRPr="00C4493B" w:rsidRDefault="00CD7A39" w:rsidP="00D66F12">
      <w:pPr>
        <w:pStyle w:val="NormalHanging12a"/>
        <w:keepNext/>
        <w:widowControl/>
        <w:rPr>
          <w:b/>
          <w:i/>
          <w:szCs w:val="24"/>
        </w:rPr>
      </w:pPr>
      <w:r w:rsidRPr="00C4493B">
        <w:rPr>
          <w:b/>
          <w:i/>
        </w:rPr>
        <w:t>Tehokkuus ja hyödyt</w:t>
      </w:r>
    </w:p>
    <w:p w:rsidR="00CD7A39" w:rsidRPr="00C4493B" w:rsidRDefault="00CD7A39" w:rsidP="00D66F12">
      <w:pPr>
        <w:pStyle w:val="NormalHanging12a"/>
        <w:widowControl/>
        <w:rPr>
          <w:szCs w:val="24"/>
        </w:rPr>
      </w:pPr>
      <w:r w:rsidRPr="00C4493B">
        <w:t>11.</w:t>
      </w:r>
      <w:r w:rsidRPr="00C4493B">
        <w:tab/>
        <w:t>panee merkille, että viranomainen on tehnyt yhteistyötä Euroopan kemikaaliviraston kanssa uuteen EU:n kemikaalistrategiaan liittyen ja Euroopan tautienehkäisy- ja valvontakeskuksen kanssa genomin sekvensoinnin keräämiseen ja analysointiin tarkoitettujen järjestelmien kehittämiseen liittyen; panee lisäksi merkille, että viranomainen on harjoittanut henkilö- ja tutkimusresurssien yhteiskäyttöä muiden virastojen sekä yhteisen tutkimuskeskuksen kanssa; korostaa lisäksi yhteistyön ja parhaiden käytäntöjen mukauttamisen horisontaalisia hyötyjä;</w:t>
      </w:r>
    </w:p>
    <w:p w:rsidR="00CD7A39" w:rsidRPr="00C4493B" w:rsidRDefault="00CD7A39" w:rsidP="00D66F12">
      <w:pPr>
        <w:pStyle w:val="NormalHanging12a"/>
        <w:widowControl/>
        <w:rPr>
          <w:szCs w:val="24"/>
        </w:rPr>
      </w:pPr>
      <w:r w:rsidRPr="00C4493B">
        <w:t>12.</w:t>
      </w:r>
      <w:r w:rsidRPr="00C4493B">
        <w:tab/>
        <w:t>panee merkille, että viranomainen tehosti vuonna 2022 ponnistelujaan uusien menettelyjen ja tietoteknisten välineiden käyttöönoton loppuun saattamiseksi tavoitteenaan saavuttaa korkea tehokkuustaso ja maksimoida synergiat muiden virastojen kanssa; panee lisäksi merkille, että jotkut viranomaisen tuloksista, jotka liittyvät vuosina 2020–2022 käyttöön otettujen tietotekniikkavälineiden tehokkuuteen ja hyötyihin, oli määrä saavuttaa vasta vuoden 2023 lopussa;</w:t>
      </w:r>
    </w:p>
    <w:p w:rsidR="00CD7A39" w:rsidRPr="00C4493B" w:rsidRDefault="00CD7A39" w:rsidP="00D66F12">
      <w:pPr>
        <w:pStyle w:val="NormalHanging12a"/>
        <w:widowControl/>
      </w:pPr>
      <w:r w:rsidRPr="00C4493B">
        <w:t>13.</w:t>
      </w:r>
      <w:r w:rsidRPr="00C4493B">
        <w:tab/>
        <w:t xml:space="preserve">suhtautuu myönteisesti viranomaisen aikomukseen vahvistaa yhteistä tiedonhallintaa jäsenvaltioiden ja muiden virastojen kanssa tietojen laadun ja </w:t>
      </w:r>
      <w:proofErr w:type="spellStart"/>
      <w:r w:rsidRPr="00C4493B">
        <w:t>yhteentoimivuuden</w:t>
      </w:r>
      <w:proofErr w:type="spellEnd"/>
      <w:r w:rsidRPr="00C4493B">
        <w:t xml:space="preserve"> parantamiseksi (yhteinen terveys -lähestymistavan mukaisesti);</w:t>
      </w:r>
    </w:p>
    <w:p w:rsidR="00CD7A39" w:rsidRPr="00C4493B" w:rsidRDefault="00CD7A39" w:rsidP="00D66F12">
      <w:pPr>
        <w:keepNext/>
        <w:widowControl/>
        <w:spacing w:after="240"/>
        <w:ind w:left="567" w:hanging="567"/>
        <w:rPr>
          <w:b/>
          <w:i/>
          <w:szCs w:val="24"/>
        </w:rPr>
      </w:pPr>
      <w:r w:rsidRPr="00C4493B">
        <w:rPr>
          <w:b/>
          <w:i/>
        </w:rPr>
        <w:t>Henkilöstöpolitiikka</w:t>
      </w:r>
    </w:p>
    <w:p w:rsidR="00CD7A39" w:rsidRPr="00C4493B" w:rsidRDefault="00CD7A39" w:rsidP="00D66F12">
      <w:pPr>
        <w:widowControl/>
        <w:spacing w:after="240"/>
        <w:ind w:left="567" w:hanging="567"/>
        <w:rPr>
          <w:rFonts w:eastAsia="Calibri"/>
          <w:szCs w:val="24"/>
        </w:rPr>
      </w:pPr>
      <w:r w:rsidRPr="00C4493B">
        <w:t>14.</w:t>
      </w:r>
      <w:r w:rsidRPr="00C4493B">
        <w:tab/>
        <w:t>toteaa, että 31. joulukuuta 2022 henkilöstötaulukosta oli täytettynä 95,55 prosenttia siten, että unionin talousarviossa hyväksytyistä 405 toimesta (joita vuonna 2021 oli 380) oli täytetty viisi virkaa ja 382 väliaikaista tointa; panee merkille, että vuonna 2022 viranomaisen palveluksessa työskenteli lisäksi 170 sopimussuhteista toimihenkilöä ja 14 kansallista asiantuntijaa; panee merkille, että vuonna 2022 viranomaisen henkilöstötaulukkoon lisättiin 31 uutta virkaa asetuksen (EU) 2019/1381 täytäntöönpanoa varten sekä 15 uutta sopimussuhteista toimihenkilöä vuosille 2022</w:t>
      </w:r>
      <w:r w:rsidRPr="00C4493B">
        <w:noBreakHyphen/>
        <w:t>2024;</w:t>
      </w:r>
    </w:p>
    <w:p w:rsidR="00CD7A39" w:rsidRPr="00C4493B" w:rsidRDefault="00CD7A39" w:rsidP="00D66F12">
      <w:pPr>
        <w:widowControl/>
        <w:spacing w:after="240"/>
        <w:ind w:left="567" w:hanging="567"/>
        <w:rPr>
          <w:szCs w:val="24"/>
        </w:rPr>
      </w:pPr>
      <w:r w:rsidRPr="00C4493B">
        <w:t>15.</w:t>
      </w:r>
      <w:r w:rsidRPr="00C4493B">
        <w:tab/>
        <w:t xml:space="preserve">panee merkille, että sukupuolten tasapuolinen edustus saavutettiin vuonna 2022 viranomaisen koko henkilöstössä, jossa 557 työntekijästä 335 oli naisia (60,1 prosenttia), ja viranomaisen johtokunnassa, jonka 70 jäsenestä 37 oli naisia (52,9 prosenttia); panee merkille, että ylemmissä ja johtotehtävissä miehiä oli naisia enemmän (63 prosenttia miehiä ja 37 prosenttia naisia); kehottaa viranomaista </w:t>
      </w:r>
      <w:r w:rsidRPr="00C4493B">
        <w:lastRenderedPageBreak/>
        <w:t>lisäämään ponnistelujaan sukupuolten välisen kuilun kuromiseksi umpeen ylempien ja johtotehtävien osalta;</w:t>
      </w:r>
    </w:p>
    <w:p w:rsidR="00CD7A39" w:rsidRPr="00C4493B" w:rsidRDefault="00CD7A39" w:rsidP="00D66F12">
      <w:pPr>
        <w:widowControl/>
        <w:spacing w:after="240"/>
        <w:ind w:left="567" w:hanging="567"/>
        <w:rPr>
          <w:rFonts w:eastAsia="Calibri"/>
          <w:szCs w:val="24"/>
        </w:rPr>
      </w:pPr>
      <w:r w:rsidRPr="00C4493B">
        <w:t>16.</w:t>
      </w:r>
      <w:r w:rsidRPr="00C4493B">
        <w:tab/>
        <w:t>panee merkille, että työterveyshuolto ilmoitti vuonna 2022 kolmesta työuupumustapauksesta;</w:t>
      </w:r>
      <w:r w:rsidRPr="00C4493B">
        <w:rPr>
          <w:rFonts w:ascii="Segoe UI" w:hAnsi="Segoe UI"/>
          <w:color w:val="374151"/>
        </w:rPr>
        <w:t xml:space="preserve"> </w:t>
      </w:r>
      <w:r w:rsidRPr="00C4493B">
        <w:t>painottaa, että ammatillisten velvollisuuksien ja yksityiselämän välisen tasapainon säilyttäminen on ratkaisevan tärkeää; kehottaa viranomaista jatkamaan terveen työ- ja yksityiselämän välisen tasapainon edistämistä henkilöstön keskuudessa;</w:t>
      </w:r>
    </w:p>
    <w:p w:rsidR="00CD7A39" w:rsidRPr="00C4493B" w:rsidRDefault="00CD7A39" w:rsidP="00D66F12">
      <w:pPr>
        <w:widowControl/>
        <w:spacing w:after="240"/>
        <w:ind w:left="567" w:hanging="567"/>
        <w:rPr>
          <w:rFonts w:eastAsia="Calibri"/>
          <w:szCs w:val="24"/>
        </w:rPr>
      </w:pPr>
      <w:r w:rsidRPr="00C4493B">
        <w:t>17.</w:t>
      </w:r>
      <w:r w:rsidRPr="00C4493B">
        <w:tab/>
        <w:t>panee merkille, että viranomainen on sitoutunut EU:n virastojen verkoston arvoihin ja monimuotoisuutta ja osallisuutta koskevaan peruskirjaan ja pyrkii hyväksymään sen mahdollisimman pian; panee lisäksi merkille, että viranomainen on osallistunut EU:n virastojen verkoston monimuotoisuutta ja osallisuutta koskevaan työryhmään jakamalla monimuotoisuutta ja osallisuutta koskevia synergioita, tietoja ja resursseja; panee merkille, että myös joitakin sisäisiä aloitteita toteutettiin, kuten uusi työuria koskeva verkkosivusto ja työskentelyä viranomaisessa koskeva video, joiden erityisaiheena oli monimuotoisuus ja osallisuus;</w:t>
      </w:r>
    </w:p>
    <w:p w:rsidR="00CD7A39" w:rsidRPr="00C4493B" w:rsidRDefault="00CD7A39" w:rsidP="00D66F12">
      <w:pPr>
        <w:widowControl/>
        <w:spacing w:after="240"/>
        <w:ind w:left="567" w:hanging="567"/>
        <w:rPr>
          <w:rFonts w:eastAsia="Calibri"/>
          <w:szCs w:val="24"/>
        </w:rPr>
      </w:pPr>
      <w:r w:rsidRPr="00C4493B">
        <w:t>18.</w:t>
      </w:r>
      <w:r w:rsidRPr="00C4493B">
        <w:tab/>
        <w:t>panee merkille, että viranomainen on hyväksynyt vammaisille henkilöille tarjottavan tuen täytäntöönpanoa koskevat uudet suuntaviivat, joilla edistetään sosiaalipolitiikkaa ja yhdenvertaista kohtelua työpaikalla; panee lisäksi merkille, että viranomaisen rakennus on suunniteltu vammaisia henkilöitä koskevan Italian esteettömyyssääntelyn mukaisesti;</w:t>
      </w:r>
    </w:p>
    <w:p w:rsidR="00CD7A39" w:rsidRPr="00C4493B" w:rsidRDefault="00CD7A39" w:rsidP="00D66F12">
      <w:pPr>
        <w:widowControl/>
        <w:spacing w:after="240"/>
        <w:ind w:left="567" w:hanging="567"/>
        <w:rPr>
          <w:rFonts w:eastAsia="Calibri"/>
          <w:szCs w:val="24"/>
        </w:rPr>
      </w:pPr>
      <w:r w:rsidRPr="00C4493B">
        <w:t>19.</w:t>
      </w:r>
      <w:r w:rsidRPr="00C4493B">
        <w:tab/>
        <w:t>panee merkille, että 1. tammikuuta 2022 pantiin täytäntöön uusi organisaatiorakenne, jolla on tarkoitus tukea asetuksen (EU) 2019/1381 ja viranomaisen vuoteen 2027 ulottuvan strategian tavoitteiden täytäntöönpanoa;</w:t>
      </w:r>
    </w:p>
    <w:p w:rsidR="00CD7A39" w:rsidRPr="00C4493B" w:rsidRDefault="00CD7A39" w:rsidP="00D66F12">
      <w:pPr>
        <w:keepNext/>
        <w:widowControl/>
        <w:spacing w:after="240"/>
        <w:ind w:left="567" w:hanging="567"/>
        <w:rPr>
          <w:b/>
          <w:i/>
          <w:szCs w:val="24"/>
        </w:rPr>
      </w:pPr>
      <w:r w:rsidRPr="00C4493B">
        <w:rPr>
          <w:b/>
          <w:i/>
        </w:rPr>
        <w:t>Eturistiriitojen ennaltaehkäisy ja hallinta sekä avoimuus</w:t>
      </w:r>
    </w:p>
    <w:p w:rsidR="00CD7A39" w:rsidRPr="00C4493B" w:rsidRDefault="00CD7A39" w:rsidP="00D66F12">
      <w:pPr>
        <w:widowControl/>
        <w:spacing w:after="240"/>
        <w:ind w:left="567" w:hanging="567"/>
        <w:rPr>
          <w:rFonts w:eastAsia="Calibri"/>
          <w:szCs w:val="24"/>
        </w:rPr>
      </w:pPr>
      <w:r w:rsidRPr="00C4493B">
        <w:t>20.</w:t>
      </w:r>
      <w:r w:rsidRPr="00C4493B">
        <w:tab/>
        <w:t>panee merkille, että viranomaisen johtokunta ja operatiivinen johto ovat allekirjoittaneet eturistiriitoja koskevat ilmoitukset, jotka on julkaistu ja ovat saatavilla viranomaisen verkkosivustolla; panee lisäksi merkille, että johtokunnan jäsenten ja varajäsenten ansioluettelot oli määrä julkaista vuoden 2023 loppuun mennessä;</w:t>
      </w:r>
    </w:p>
    <w:p w:rsidR="00CD7A39" w:rsidRPr="00C4493B" w:rsidRDefault="00CD7A39" w:rsidP="00D66F12">
      <w:pPr>
        <w:widowControl/>
        <w:spacing w:after="240"/>
        <w:ind w:left="567" w:hanging="567"/>
        <w:rPr>
          <w:rFonts w:eastAsia="Calibri"/>
          <w:szCs w:val="24"/>
        </w:rPr>
      </w:pPr>
      <w:r w:rsidRPr="00C4493B">
        <w:t>21.</w:t>
      </w:r>
      <w:r w:rsidRPr="00C4493B">
        <w:tab/>
        <w:t>panee merkille, että viranomainen havaitsi ja käsitteli vuonna 2022 seitsemän eturistiriitaa ulkoisten asiantuntijoiden vuotuisissa eturistiriitoja koskevissa ilmoituksissa; panee merkille, että viranomainen esti asianomaisten henkilöiden osallistumisen tieteelliseen toimintaan;</w:t>
      </w:r>
    </w:p>
    <w:p w:rsidR="00CD7A39" w:rsidRPr="00C4493B" w:rsidRDefault="00CD7A39" w:rsidP="00D66F12">
      <w:pPr>
        <w:widowControl/>
        <w:spacing w:after="240"/>
        <w:ind w:left="567" w:hanging="567"/>
        <w:rPr>
          <w:rFonts w:eastAsia="Calibri"/>
          <w:szCs w:val="24"/>
        </w:rPr>
      </w:pPr>
      <w:r w:rsidRPr="00C4493B">
        <w:t>22.</w:t>
      </w:r>
      <w:r w:rsidRPr="00C4493B">
        <w:tab/>
        <w:t>toteaa, että viranomaisella on käytössä vapaaehtoiset käytännesäännöt, joiden mukaan johtokunnan jäsenet sitoutuvat ilmoittamaan viranomaiselle ammatillisista toimista, joita he suorittavat kahden vuoden aikana toimikautensa päättymisestä;</w:t>
      </w:r>
    </w:p>
    <w:p w:rsidR="00CD7A39" w:rsidRPr="00C4493B" w:rsidRDefault="00CD7A39" w:rsidP="00D66F12">
      <w:pPr>
        <w:widowControl/>
        <w:spacing w:after="240"/>
        <w:ind w:left="567" w:hanging="567"/>
        <w:rPr>
          <w:rFonts w:eastAsia="Calibri"/>
          <w:szCs w:val="24"/>
        </w:rPr>
      </w:pPr>
      <w:r w:rsidRPr="00C4493B">
        <w:t>23.</w:t>
      </w:r>
      <w:r w:rsidRPr="00C4493B">
        <w:tab/>
        <w:t>panee merkille, että viranomainen suunnittelee hyväksyvänsä vuoden 2024 ensimmäiseen neljännekseen mennessä uuden työsuhteen päättymisen jälkeisen vakiomenettelyn, jonka on tarkoitus sisältää perusteet ja menettely, joilla henkilöstön jäseniltä estetään pääsy luottamuksellisiin tietoihin heidän palvelussuhteensa päättymisen jälkeen, asiaan liittyvät seuranta- ja täytäntöönpanovaatimukset sekä avoimuusstandardit;</w:t>
      </w:r>
    </w:p>
    <w:p w:rsidR="00CD7A39" w:rsidRPr="00C4493B" w:rsidRDefault="00CD7A39" w:rsidP="00D66F12">
      <w:pPr>
        <w:widowControl/>
        <w:spacing w:after="240"/>
        <w:ind w:left="567" w:hanging="567"/>
        <w:rPr>
          <w:rFonts w:eastAsia="Calibri"/>
          <w:szCs w:val="24"/>
        </w:rPr>
      </w:pPr>
      <w:r w:rsidRPr="00C4493B">
        <w:t>24.</w:t>
      </w:r>
      <w:r w:rsidRPr="00C4493B">
        <w:tab/>
        <w:t xml:space="preserve">panee merkille, että viranomaisella on käytössä petostentorjuntastrategia, joka on kehitetty tiiviissä yhteystyössä Euroopan petostentorjuntaviraston kanssa, sekä siihen </w:t>
      </w:r>
      <w:r w:rsidRPr="00C4493B">
        <w:lastRenderedPageBreak/>
        <w:t>liittyvät täytäntöönpanosäännöt ja toimintasuunnitelma petosten ja korruption torjumiseksi;</w:t>
      </w:r>
    </w:p>
    <w:p w:rsidR="00CD7A39" w:rsidRPr="00C4493B" w:rsidRDefault="00CD7A39" w:rsidP="00D66F12">
      <w:pPr>
        <w:keepNext/>
        <w:widowControl/>
        <w:spacing w:after="240"/>
        <w:ind w:left="567" w:hanging="567"/>
        <w:rPr>
          <w:b/>
          <w:i/>
          <w:szCs w:val="24"/>
        </w:rPr>
      </w:pPr>
      <w:r w:rsidRPr="00C4493B">
        <w:rPr>
          <w:b/>
          <w:i/>
        </w:rPr>
        <w:t>Muita huomautuksia</w:t>
      </w:r>
    </w:p>
    <w:p w:rsidR="00CD7A39" w:rsidRPr="00C4493B" w:rsidRDefault="00CD7A39" w:rsidP="00D66F12">
      <w:pPr>
        <w:widowControl/>
        <w:spacing w:after="240"/>
        <w:ind w:left="567" w:hanging="567"/>
        <w:rPr>
          <w:szCs w:val="24"/>
        </w:rPr>
      </w:pPr>
      <w:r w:rsidRPr="00C4493B">
        <w:t>25.</w:t>
      </w:r>
      <w:r w:rsidRPr="00C4493B">
        <w:tab/>
        <w:t>panee merkille, että sisäinen tarkastus laati kesäkuussa 2022 tietoturvaa ja palautumista koskevan tarkastuskertomuksen, jossa oli tavoitteena arvioida hallinnon rakenteen ja täytäntöönpanon tarkoituksenmukaisuutta ja jossa esitettiin kaksi huomautusta ja kolme tärkeää huomautusta tietoturvan hallinnoinnista; panee merkille, että viranomainen hyväksyi sisäisen tarkastuksen huomautukset ja on panemassa täytäntöön asiaan liittyvää toimintasuunnitelmaa;</w:t>
      </w:r>
    </w:p>
    <w:p w:rsidR="00CD7A39" w:rsidRPr="00C4493B" w:rsidRDefault="00CD7A39" w:rsidP="00D66F12">
      <w:pPr>
        <w:pStyle w:val="NormalHanging12a"/>
        <w:widowControl/>
      </w:pPr>
      <w:r w:rsidRPr="00C4493B">
        <w:t>26.</w:t>
      </w:r>
      <w:r w:rsidRPr="00C4493B">
        <w:tab/>
        <w:t>panee tyytyväisenä merkille viranomaisen toimet julkisen näkyvyytensä ja verkkoläsnäolonsa lisäämiseksi jatkamalla toisella vuodella #</w:t>
      </w:r>
      <w:proofErr w:type="spellStart"/>
      <w:r w:rsidRPr="00C4493B">
        <w:t>EUChooseSafeFood</w:t>
      </w:r>
      <w:proofErr w:type="spellEnd"/>
      <w:r w:rsidRPr="00C4493B">
        <w:noBreakHyphen/>
        <w:t xml:space="preserve">kampanjaa, joka tuotettiin yhteistyössä jäsenvaltioiden toimivaltaisten viranomaisten kanssa ja jonka tavoitteena on selittää unionin elintarviketurvallisuuteen liittyvät tieteelliset seikat helposti ymmärrettävällä tavalla, ja järjestämällä yhteistyössä neljän muun ympäristöalan viraston kanssa ”ONE – Health, Environment, </w:t>
      </w:r>
      <w:proofErr w:type="spellStart"/>
      <w:r w:rsidRPr="00C4493B">
        <w:t>Society</w:t>
      </w:r>
      <w:proofErr w:type="spellEnd"/>
      <w:r w:rsidRPr="00C4493B">
        <w:t xml:space="preserve">” </w:t>
      </w:r>
      <w:r w:rsidRPr="00C4493B">
        <w:noBreakHyphen/>
        <w:t xml:space="preserve">konferenssin, mikä johti yhteisen Instagram-tilin ”One Health One Environment” perustamiseen; panee lisäksi merkille, että viranomainen investoi verkkosivustonsa muuttamiseen monikieliseksi hyödyntäen Euroopan komission tekoälyyn perustuvaa </w:t>
      </w:r>
      <w:proofErr w:type="spellStart"/>
      <w:r w:rsidRPr="00C4493B">
        <w:t>eTranslation</w:t>
      </w:r>
      <w:proofErr w:type="spellEnd"/>
      <w:r w:rsidRPr="00C4493B">
        <w:t xml:space="preserve">-pienoisohjelmaa; panee lisäksi merkille, että viranomainen jatkoi vuonna 2022 investointejaan </w:t>
      </w:r>
      <w:proofErr w:type="spellStart"/>
      <w:r w:rsidRPr="00C4493B">
        <w:t>OpenEFSA</w:t>
      </w:r>
      <w:proofErr w:type="spellEnd"/>
      <w:r w:rsidRPr="00C4493B">
        <w:t>-portaalinsa kehittämiseen asetuksen (EU) 2019/1381vaatimusten mukaisesti;</w:t>
      </w:r>
    </w:p>
    <w:p w:rsidR="00CD7A39" w:rsidRPr="00C4493B" w:rsidRDefault="00CD7A39" w:rsidP="00D66F12">
      <w:pPr>
        <w:widowControl/>
        <w:spacing w:after="240"/>
        <w:ind w:left="567" w:hanging="567"/>
        <w:rPr>
          <w:rFonts w:eastAsia="Calibri"/>
          <w:szCs w:val="24"/>
        </w:rPr>
      </w:pPr>
      <w:r w:rsidRPr="00C4493B">
        <w:t>27.</w:t>
      </w:r>
      <w:r w:rsidRPr="00C4493B">
        <w:tab/>
        <w:t>panee tyytyväisenä merkille, että viranomainen on ollut viime vuosina yksi EMAS</w:t>
      </w:r>
      <w:r w:rsidRPr="00C4493B">
        <w:noBreakHyphen/>
        <w:t>sertifioiduista virastoista; panee merkille, että viranomainen soveltaa ympäristöä säästävien julkisten hankintojen standardeja tarjouseritelmien vähimmäisvaatimuksina valinta- ja/tai ratkaisuperusteissa;</w:t>
      </w:r>
    </w:p>
    <w:p w:rsidR="00CD7A39" w:rsidRPr="00C4493B" w:rsidRDefault="00CD7A39" w:rsidP="00D66F12">
      <w:pPr>
        <w:widowControl/>
        <w:spacing w:after="240"/>
        <w:jc w:val="center"/>
      </w:pPr>
      <w:r w:rsidRPr="00C4493B">
        <w:t>°</w:t>
      </w:r>
    </w:p>
    <w:p w:rsidR="00CD7A39" w:rsidRPr="00C4493B" w:rsidRDefault="00CD7A39" w:rsidP="00D66F12">
      <w:pPr>
        <w:pStyle w:val="NormalCenter12a"/>
        <w:widowControl/>
      </w:pPr>
      <w:r w:rsidRPr="00C4493B">
        <w:t>°</w:t>
      </w:r>
      <w:r w:rsidRPr="00C4493B">
        <w:tab/>
        <w:t>°</w:t>
      </w:r>
    </w:p>
    <w:p w:rsidR="00CD7A39" w:rsidRPr="005613C6" w:rsidRDefault="00CD7A39" w:rsidP="00D66F12">
      <w:pPr>
        <w:widowControl/>
        <w:spacing w:after="240"/>
        <w:ind w:left="567" w:hanging="567"/>
        <w:rPr>
          <w:szCs w:val="24"/>
        </w:rPr>
      </w:pPr>
      <w:r w:rsidRPr="00C4493B">
        <w:t>28.</w:t>
      </w:r>
      <w:r w:rsidRPr="00C4493B">
        <w:tab/>
        <w:t xml:space="preserve">viittaa vastuuvapauden myöntämistä koskevaan päätökseen liittyvien muiden, luonteeltaan yleisten huomautusten osalta erillisvirastojen toiminnan tuloksellisuudesta, varainhoidosta ja sen valvonnasta </w:t>
      </w:r>
      <w:r w:rsidR="00D66F12" w:rsidRPr="00C4493B">
        <w:t>11. huhtikuuta 2024</w:t>
      </w:r>
      <w:r w:rsidRPr="00C4493B">
        <w:rPr>
          <w:rStyle w:val="FootnoteReference"/>
        </w:rPr>
        <w:footnoteReference w:id="13"/>
      </w:r>
      <w:r w:rsidRPr="00C4493B">
        <w:t xml:space="preserve"> antamaansa päätöslauselmaan.</w:t>
      </w:r>
    </w:p>
    <w:sectPr w:rsidR="00CD7A39" w:rsidRPr="005613C6" w:rsidSect="00D66F12">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493" w:rsidRPr="005613C6" w:rsidRDefault="00223493">
      <w:r w:rsidRPr="005613C6">
        <w:separator/>
      </w:r>
    </w:p>
  </w:endnote>
  <w:endnote w:type="continuationSeparator" w:id="0">
    <w:p w:rsidR="00223493" w:rsidRPr="005613C6" w:rsidRDefault="00223493">
      <w:r w:rsidRPr="005613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A39" w:rsidRPr="005613C6" w:rsidRDefault="00CD7A39" w:rsidP="004E7396">
    <w:pPr>
      <w:pStyle w:val="EPFooter"/>
    </w:pPr>
    <w:r w:rsidRPr="005613C6">
      <w:t>PE</w:t>
    </w:r>
    <w:r w:rsidRPr="005613C6">
      <w:rPr>
        <w:rStyle w:val="HideTWBExt"/>
      </w:rPr>
      <w:t>&lt;NoPE&gt;</w:t>
    </w:r>
    <w:r w:rsidRPr="005613C6">
      <w:t>753.519</w:t>
    </w:r>
    <w:r w:rsidRPr="005613C6">
      <w:rPr>
        <w:rStyle w:val="HideTWBExt"/>
      </w:rPr>
      <w:t>&lt;/NoPE&gt;&lt;Version&gt;</w:t>
    </w:r>
    <w:r w:rsidRPr="005613C6">
      <w:t>v03-00</w:t>
    </w:r>
    <w:r w:rsidRPr="005613C6">
      <w:rPr>
        <w:rStyle w:val="HideTWBExt"/>
      </w:rPr>
      <w:t>&lt;/Version&gt;</w:t>
    </w:r>
    <w:r w:rsidRPr="005613C6">
      <w:tab/>
    </w:r>
    <w:r w:rsidRPr="005613C6">
      <w:fldChar w:fldCharType="begin"/>
    </w:r>
    <w:r w:rsidRPr="005613C6">
      <w:instrText xml:space="preserve"> PAGE  \* MERGEFORMAT </w:instrText>
    </w:r>
    <w:r w:rsidRPr="005613C6">
      <w:fldChar w:fldCharType="separate"/>
    </w:r>
    <w:r w:rsidR="005613C6" w:rsidRPr="005613C6">
      <w:rPr>
        <w:noProof/>
      </w:rPr>
      <w:t>2</w:t>
    </w:r>
    <w:r w:rsidRPr="005613C6">
      <w:fldChar w:fldCharType="end"/>
    </w:r>
    <w:r w:rsidRPr="005613C6">
      <w:t>/</w:t>
    </w:r>
    <w:fldSimple w:instr=" NUMPAGES  \* MERGEFORMAT ">
      <w:r w:rsidR="005613C6" w:rsidRPr="005613C6">
        <w:rPr>
          <w:noProof/>
        </w:rPr>
        <w:t>3</w:t>
      </w:r>
    </w:fldSimple>
    <w:r w:rsidRPr="005613C6">
      <w:tab/>
    </w:r>
    <w:r w:rsidRPr="005613C6">
      <w:rPr>
        <w:rStyle w:val="HideTWBExt"/>
      </w:rPr>
      <w:t>&lt;PathFdR&gt;</w:t>
    </w:r>
    <w:r w:rsidRPr="005613C6">
      <w:t>RR\1299220FI.docx</w:t>
    </w:r>
    <w:r w:rsidRPr="005613C6">
      <w:rPr>
        <w:rStyle w:val="HideTWBExt"/>
      </w:rPr>
      <w:t>&lt;/PathFdR&gt;</w:t>
    </w:r>
  </w:p>
  <w:p w:rsidR="00CD7A39" w:rsidRPr="005613C6" w:rsidRDefault="00CD7A39" w:rsidP="004E7396">
    <w:pPr>
      <w:pStyle w:val="EPFooter2"/>
    </w:pPr>
    <w:r w:rsidRPr="005613C6">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A39" w:rsidRPr="005613C6" w:rsidRDefault="00CD7A39" w:rsidP="004E7396">
    <w:pPr>
      <w:pStyle w:val="EPFooter"/>
    </w:pPr>
    <w:r w:rsidRPr="005613C6">
      <w:rPr>
        <w:rStyle w:val="HideTWBExt"/>
      </w:rPr>
      <w:t>&lt;PathFdR&gt;</w:t>
    </w:r>
    <w:r w:rsidRPr="005613C6">
      <w:t>RR\1299220FI.docx</w:t>
    </w:r>
    <w:r w:rsidRPr="005613C6">
      <w:rPr>
        <w:rStyle w:val="HideTWBExt"/>
      </w:rPr>
      <w:t>&lt;/PathFdR&gt;</w:t>
    </w:r>
    <w:r w:rsidRPr="005613C6">
      <w:tab/>
    </w:r>
    <w:r w:rsidRPr="005613C6">
      <w:tab/>
      <w:t>PE</w:t>
    </w:r>
    <w:r w:rsidRPr="005613C6">
      <w:rPr>
        <w:rStyle w:val="HideTWBExt"/>
      </w:rPr>
      <w:t>&lt;NoPE&gt;</w:t>
    </w:r>
    <w:r w:rsidRPr="005613C6">
      <w:t>753.519</w:t>
    </w:r>
    <w:r w:rsidRPr="005613C6">
      <w:rPr>
        <w:rStyle w:val="HideTWBExt"/>
      </w:rPr>
      <w:t>&lt;/NoPE&gt;&lt;Version&gt;</w:t>
    </w:r>
    <w:r w:rsidRPr="005613C6">
      <w:t>v03-00</w:t>
    </w:r>
    <w:r w:rsidRPr="005613C6">
      <w:rPr>
        <w:rStyle w:val="HideTWBExt"/>
      </w:rPr>
      <w:t>&lt;/Version&gt;</w:t>
    </w:r>
  </w:p>
  <w:p w:rsidR="00CD7A39" w:rsidRPr="005613C6" w:rsidRDefault="00CD7A39" w:rsidP="004E7396">
    <w:pPr>
      <w:pStyle w:val="EPFooter2"/>
    </w:pPr>
    <w:r w:rsidRPr="005613C6">
      <w:t>FI</w:t>
    </w:r>
    <w:r w:rsidRPr="005613C6">
      <w:tab/>
    </w:r>
    <w:r w:rsidRPr="005613C6">
      <w:rPr>
        <w:b w:val="0"/>
        <w:i/>
        <w:color w:val="C0C0C0"/>
        <w:sz w:val="22"/>
      </w:rPr>
      <w:t>Moninaisuudessaan yhtenäinen</w:t>
    </w:r>
    <w:r w:rsidRPr="005613C6">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3C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3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493" w:rsidRPr="005613C6" w:rsidRDefault="00223493">
      <w:r w:rsidRPr="005613C6">
        <w:separator/>
      </w:r>
    </w:p>
  </w:footnote>
  <w:footnote w:type="continuationSeparator" w:id="0">
    <w:p w:rsidR="00223493" w:rsidRPr="005613C6" w:rsidRDefault="00223493">
      <w:r w:rsidRPr="005613C6">
        <w:continuationSeparator/>
      </w:r>
    </w:p>
  </w:footnote>
  <w:footnote w:id="1">
    <w:p w:rsidR="00CD7A39" w:rsidRPr="00C4493B" w:rsidRDefault="00CD7A39" w:rsidP="005613C6">
      <w:pPr>
        <w:pStyle w:val="FootnoteText"/>
        <w:ind w:left="567" w:hanging="567"/>
        <w:rPr>
          <w:sz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C, C/2023/594, 27.10.2023.</w:t>
      </w:r>
    </w:p>
  </w:footnote>
  <w:footnote w:id="2">
    <w:p w:rsidR="00CD7A39" w:rsidRPr="00C4493B" w:rsidRDefault="00CD7A39" w:rsidP="005613C6">
      <w:pPr>
        <w:pStyle w:val="FootnoteText"/>
        <w:ind w:left="567" w:hanging="567"/>
        <w:rPr>
          <w:sz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C, C/2023/112, 12.10.2023.</w:t>
      </w:r>
    </w:p>
  </w:footnote>
  <w:footnote w:id="3">
    <w:p w:rsidR="00CD7A39" w:rsidRPr="00C4493B" w:rsidRDefault="00CD7A39" w:rsidP="005613C6">
      <w:pPr>
        <w:pStyle w:val="FootnoteText"/>
        <w:ind w:left="567" w:hanging="567"/>
        <w:rPr>
          <w:sz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L 193, 30.7.2018, s. 1.</w:t>
      </w:r>
    </w:p>
  </w:footnote>
  <w:footnote w:id="4">
    <w:p w:rsidR="00CD7A39" w:rsidRPr="00C4493B" w:rsidRDefault="00CD7A39" w:rsidP="005613C6">
      <w:pPr>
        <w:pStyle w:val="FootnoteText"/>
        <w:ind w:left="567" w:hanging="567"/>
        <w:rPr>
          <w:sz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L 31, 1.2.2002, s. 1.</w:t>
      </w:r>
    </w:p>
  </w:footnote>
  <w:footnote w:id="5">
    <w:p w:rsidR="00CD7A39" w:rsidRPr="00C4493B" w:rsidRDefault="00CD7A39" w:rsidP="005613C6">
      <w:pPr>
        <w:pStyle w:val="FootnoteText"/>
        <w:ind w:left="567" w:hanging="567"/>
        <w:rPr>
          <w:sz w:val="24"/>
          <w:szCs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L 122, 10.5.2019, s. 1.</w:t>
      </w:r>
    </w:p>
  </w:footnote>
  <w:footnote w:id="6">
    <w:p w:rsidR="00CD7A39" w:rsidRPr="00C4493B" w:rsidRDefault="00CD7A39" w:rsidP="005613C6">
      <w:pPr>
        <w:pStyle w:val="FootnoteText"/>
        <w:ind w:left="567" w:hanging="567"/>
        <w:rPr>
          <w:sz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C, C/2023/594, 27.10.2023.</w:t>
      </w:r>
    </w:p>
  </w:footnote>
  <w:footnote w:id="7">
    <w:p w:rsidR="00CD7A39" w:rsidRPr="00C4493B" w:rsidRDefault="00CD7A39" w:rsidP="005613C6">
      <w:pPr>
        <w:pStyle w:val="FootnoteText"/>
        <w:ind w:left="567" w:hanging="567"/>
        <w:rPr>
          <w:sz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C, C/2023/112, 12.10.2023.</w:t>
      </w:r>
    </w:p>
  </w:footnote>
  <w:footnote w:id="8">
    <w:p w:rsidR="00CD7A39" w:rsidRPr="00C4493B" w:rsidRDefault="00CD7A39" w:rsidP="005613C6">
      <w:pPr>
        <w:pStyle w:val="FootnoteText"/>
        <w:ind w:left="567" w:hanging="567"/>
        <w:rPr>
          <w:sz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L 193, 30.7.2018, s. 1.</w:t>
      </w:r>
    </w:p>
  </w:footnote>
  <w:footnote w:id="9">
    <w:p w:rsidR="00CD7A39" w:rsidRPr="00C4493B" w:rsidRDefault="00CD7A39" w:rsidP="005613C6">
      <w:pPr>
        <w:pStyle w:val="FootnoteText"/>
        <w:ind w:left="567" w:hanging="567"/>
        <w:rPr>
          <w:sz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L 31, 1.2.2002, s. 1.</w:t>
      </w:r>
    </w:p>
  </w:footnote>
  <w:footnote w:id="10">
    <w:p w:rsidR="00CD7A39" w:rsidRPr="00C4493B" w:rsidRDefault="00CD7A39" w:rsidP="005613C6">
      <w:pPr>
        <w:pStyle w:val="FootnoteText"/>
        <w:ind w:left="567" w:hanging="567"/>
        <w:rPr>
          <w:sz w:val="24"/>
          <w:szCs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L 122, 10.5.2019, s. 1.</w:t>
      </w:r>
    </w:p>
  </w:footnote>
  <w:footnote w:id="11">
    <w:p w:rsidR="00CD7A39" w:rsidRPr="00C4493B" w:rsidRDefault="00CD7A39" w:rsidP="005613C6">
      <w:pPr>
        <w:pStyle w:val="FootnoteText"/>
        <w:ind w:left="567" w:hanging="567"/>
        <w:rPr>
          <w:rFonts w:eastAsia="Calibri"/>
          <w:sz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EUVL C 178, 29.4.2022, s. 1.</w:t>
      </w:r>
    </w:p>
  </w:footnote>
  <w:footnote w:id="12">
    <w:p w:rsidR="00CD7A39" w:rsidRPr="00C4493B" w:rsidRDefault="00CD7A39" w:rsidP="005613C6">
      <w:pPr>
        <w:pStyle w:val="FootnoteText"/>
        <w:ind w:left="567" w:hanging="567"/>
        <w:rPr>
          <w:sz w:val="24"/>
          <w:lang w:val="fi-FI"/>
        </w:rPr>
      </w:pPr>
      <w:r w:rsidRPr="00C4493B">
        <w:rPr>
          <w:rStyle w:val="FootnoteReference"/>
          <w:sz w:val="24"/>
          <w:lang w:val="fi-FI"/>
        </w:rPr>
        <w:footnoteRef/>
      </w:r>
      <w:r w:rsidR="005613C6" w:rsidRPr="00C4493B">
        <w:rPr>
          <w:sz w:val="24"/>
          <w:lang w:val="fi-FI"/>
        </w:rPr>
        <w:t xml:space="preserve"> </w:t>
      </w:r>
      <w:r w:rsidR="005613C6" w:rsidRPr="00C4493B">
        <w:rPr>
          <w:sz w:val="24"/>
          <w:lang w:val="fi-FI"/>
        </w:rPr>
        <w:tab/>
      </w:r>
      <w:r w:rsidRPr="00C4493B">
        <w:rPr>
          <w:sz w:val="24"/>
          <w:lang w:val="fi-FI"/>
        </w:rPr>
        <w:t xml:space="preserve">Euroopan parlamentin ja neuvoston asetus (EU) 2019/1381, annettu 20. kesäkuuta 2019, elintarvikeketjuun sovellettavan EU:n riskinarvioinnin avoimuudesta ja kestävyydestä sekä asetusten (EY) </w:t>
      </w:r>
      <w:proofErr w:type="gramStart"/>
      <w:r w:rsidRPr="00C4493B">
        <w:rPr>
          <w:sz w:val="24"/>
          <w:lang w:val="fi-FI"/>
        </w:rPr>
        <w:t>N:o</w:t>
      </w:r>
      <w:proofErr w:type="gramEnd"/>
      <w:r w:rsidRPr="00C4493B">
        <w:rPr>
          <w:sz w:val="24"/>
          <w:lang w:val="fi-FI"/>
        </w:rPr>
        <w:t xml:space="preserve"> 178/2002, (EY) N:o 1829/2003, (EY) N:o 1831/2003, (EY) N:o 2065/2003, (EY) N:o 1935/2004, (EY) N:o 1331/2008, (EY) N:o 1107/2009 ja (EU) 2015/2283 sekä direktiivin 2001/18/EY muuttamisesta (EUVL L 231, 6.9.2019, s. 1).</w:t>
      </w:r>
    </w:p>
  </w:footnote>
  <w:footnote w:id="13">
    <w:p w:rsidR="00CD7A39" w:rsidRPr="005613C6" w:rsidRDefault="00CD7A39" w:rsidP="005613C6">
      <w:pPr>
        <w:pStyle w:val="FootnoteText"/>
        <w:ind w:left="567" w:hanging="567"/>
        <w:rPr>
          <w:sz w:val="24"/>
          <w:szCs w:val="24"/>
          <w:lang w:val="fi-FI"/>
        </w:rPr>
      </w:pPr>
      <w:r w:rsidRPr="00C4493B">
        <w:rPr>
          <w:rStyle w:val="FootnoteReference"/>
          <w:sz w:val="24"/>
          <w:szCs w:val="24"/>
          <w:lang w:val="fi-FI"/>
        </w:rPr>
        <w:footnoteRef/>
      </w:r>
      <w:r w:rsidR="005613C6" w:rsidRPr="00C4493B">
        <w:rPr>
          <w:sz w:val="24"/>
          <w:lang w:val="fi-FI"/>
        </w:rPr>
        <w:t xml:space="preserve"> </w:t>
      </w:r>
      <w:r w:rsidR="005613C6" w:rsidRPr="00C4493B">
        <w:rPr>
          <w:sz w:val="24"/>
          <w:lang w:val="fi-FI"/>
        </w:rPr>
        <w:tab/>
      </w:r>
      <w:r w:rsidRPr="00C4493B">
        <w:rPr>
          <w:sz w:val="24"/>
          <w:lang w:val="fi-FI"/>
        </w:rPr>
        <w:t>Hyväksytyt tekstit, P9_TA(2024)0</w:t>
      </w:r>
      <w:r w:rsidR="00A42BE4" w:rsidRPr="00C4493B">
        <w:rPr>
          <w:sz w:val="24"/>
          <w:lang w:val="fi-FI"/>
        </w:rPr>
        <w:t>28</w:t>
      </w:r>
      <w:r w:rsidRPr="00C4493B">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3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3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3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FI"/>
    <w:docVar w:name="dvnumam" w:val="0"/>
    <w:docVar w:name="dvpe" w:val="753.519"/>
    <w:docVar w:name="dvrapporteur" w:val="Esittelijä: "/>
    <w:docVar w:name="dvtitre" w:val="Euroopan parlamentin päätös 11. huhtikuuta 2024 vastuuvapauden myöntämisestä Euroopan elintarviketurvallisuusviranomaisen talousarvion toteuttamisesta varainhoitovuonna 2022(2023/2151(DEC))"/>
  </w:docVars>
  <w:rsids>
    <w:rsidRoot w:val="00223493"/>
    <w:rsid w:val="00002272"/>
    <w:rsid w:val="00064002"/>
    <w:rsid w:val="000677B9"/>
    <w:rsid w:val="000831BA"/>
    <w:rsid w:val="000A42CC"/>
    <w:rsid w:val="000E7DD9"/>
    <w:rsid w:val="0010095E"/>
    <w:rsid w:val="00125B37"/>
    <w:rsid w:val="00187494"/>
    <w:rsid w:val="001F32AE"/>
    <w:rsid w:val="0022171C"/>
    <w:rsid w:val="0022349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3C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2BE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C59"/>
    <w:rsid w:val="00C4493B"/>
    <w:rsid w:val="00C61C0C"/>
    <w:rsid w:val="00C941CB"/>
    <w:rsid w:val="00CC2357"/>
    <w:rsid w:val="00CD7A39"/>
    <w:rsid w:val="00CF071A"/>
    <w:rsid w:val="00D058B8"/>
    <w:rsid w:val="00D56C11"/>
    <w:rsid w:val="00D66F1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1CAF4E2-65E2-4236-9A57-E082B5800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7A3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7A39"/>
    <w:pPr>
      <w:spacing w:before="480" w:after="240"/>
    </w:pPr>
  </w:style>
  <w:style w:type="paragraph" w:customStyle="1" w:styleId="PageHeading">
    <w:name w:val="PageHeading"/>
    <w:basedOn w:val="Normal"/>
    <w:rsid w:val="00CD7A39"/>
    <w:pPr>
      <w:keepNext/>
      <w:spacing w:after="480"/>
      <w:jc w:val="center"/>
    </w:pPr>
    <w:rPr>
      <w:rFonts w:ascii="Arial" w:hAnsi="Arial" w:cs="Arial"/>
      <w:b/>
    </w:rPr>
  </w:style>
  <w:style w:type="paragraph" w:customStyle="1" w:styleId="NormalBold">
    <w:name w:val="NormalBold"/>
    <w:basedOn w:val="Normal"/>
    <w:rsid w:val="00CD7A39"/>
    <w:rPr>
      <w:b/>
    </w:rPr>
  </w:style>
  <w:style w:type="paragraph" w:customStyle="1" w:styleId="NormalHanging12a">
    <w:name w:val="NormalHanging12a"/>
    <w:basedOn w:val="Normal"/>
    <w:link w:val="NormalHanging12aChar"/>
    <w:rsid w:val="00CD7A39"/>
    <w:pPr>
      <w:spacing w:after="240"/>
      <w:ind w:left="567" w:hanging="567"/>
    </w:pPr>
  </w:style>
  <w:style w:type="paragraph" w:customStyle="1" w:styleId="NormalCenter12a">
    <w:name w:val="NormalCenter12a"/>
    <w:basedOn w:val="Normal"/>
    <w:rsid w:val="00CD7A39"/>
    <w:pPr>
      <w:spacing w:after="240"/>
      <w:jc w:val="center"/>
    </w:pPr>
  </w:style>
  <w:style w:type="paragraph" w:styleId="Header">
    <w:name w:val="header"/>
    <w:basedOn w:val="Normal"/>
    <w:link w:val="HeaderChar"/>
    <w:rsid w:val="00CD7A39"/>
    <w:pPr>
      <w:tabs>
        <w:tab w:val="center" w:pos="4513"/>
        <w:tab w:val="right" w:pos="9026"/>
      </w:tabs>
    </w:pPr>
  </w:style>
  <w:style w:type="character" w:customStyle="1" w:styleId="HeaderChar">
    <w:name w:val="Header Char"/>
    <w:basedOn w:val="DefaultParagraphFont"/>
    <w:link w:val="Header"/>
    <w:rsid w:val="00CD7A39"/>
    <w:rPr>
      <w:sz w:val="24"/>
      <w:lang w:val="fi-FI"/>
    </w:rPr>
  </w:style>
  <w:style w:type="paragraph" w:customStyle="1" w:styleId="EPFooter">
    <w:name w:val="EPFooter"/>
    <w:basedOn w:val="Normal"/>
    <w:rsid w:val="00CD7A3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D7A39"/>
    <w:rPr>
      <w:sz w:val="24"/>
      <w:lang w:val="fi-FI"/>
    </w:rPr>
  </w:style>
  <w:style w:type="paragraph" w:customStyle="1" w:styleId="Normal24a">
    <w:name w:val="Normal24a"/>
    <w:basedOn w:val="Normal"/>
    <w:rsid w:val="00CD7A39"/>
    <w:pPr>
      <w:spacing w:after="480"/>
    </w:pPr>
  </w:style>
  <w:style w:type="paragraph" w:customStyle="1" w:styleId="Normal12a">
    <w:name w:val="Normal12a"/>
    <w:basedOn w:val="Normal"/>
    <w:rsid w:val="00CD7A39"/>
    <w:pPr>
      <w:spacing w:after="240"/>
    </w:pPr>
  </w:style>
  <w:style w:type="paragraph" w:customStyle="1" w:styleId="PageHeadingNotTOC">
    <w:name w:val="PageHeadingNotTOC"/>
    <w:basedOn w:val="Normal"/>
    <w:rsid w:val="00CD7A39"/>
    <w:pPr>
      <w:keepNext/>
      <w:spacing w:after="480"/>
      <w:jc w:val="center"/>
    </w:pPr>
    <w:rPr>
      <w:rFonts w:ascii="Arial" w:hAnsi="Arial" w:cs="Arial"/>
      <w:b/>
    </w:rPr>
  </w:style>
  <w:style w:type="paragraph" w:customStyle="1" w:styleId="RollCallSymbols14pt">
    <w:name w:val="RollCallSymbols14pt"/>
    <w:basedOn w:val="Normal"/>
    <w:rsid w:val="00CD7A3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D7A39"/>
    <w:pPr>
      <w:tabs>
        <w:tab w:val="center" w:pos="284"/>
        <w:tab w:val="left" w:pos="426"/>
      </w:tabs>
    </w:pPr>
    <w:rPr>
      <w:snapToGrid w:val="0"/>
      <w:lang w:eastAsia="en-US"/>
    </w:rPr>
  </w:style>
  <w:style w:type="paragraph" w:customStyle="1" w:styleId="RollCallVotes">
    <w:name w:val="RollCallVotes"/>
    <w:basedOn w:val="Normal"/>
    <w:rsid w:val="00CD7A39"/>
    <w:pPr>
      <w:spacing w:before="120" w:after="120"/>
      <w:jc w:val="center"/>
    </w:pPr>
    <w:rPr>
      <w:b/>
      <w:bCs/>
      <w:snapToGrid w:val="0"/>
      <w:sz w:val="16"/>
      <w:lang w:eastAsia="en-US"/>
    </w:rPr>
  </w:style>
  <w:style w:type="paragraph" w:customStyle="1" w:styleId="RollCallTable">
    <w:name w:val="RollCallTable"/>
    <w:basedOn w:val="Normal"/>
    <w:rsid w:val="00CD7A39"/>
    <w:pPr>
      <w:spacing w:before="120" w:after="120"/>
    </w:pPr>
    <w:rPr>
      <w:snapToGrid w:val="0"/>
      <w:sz w:val="16"/>
      <w:lang w:eastAsia="en-US"/>
    </w:rPr>
  </w:style>
  <w:style w:type="paragraph" w:customStyle="1" w:styleId="NormalBoldCenter">
    <w:name w:val="NormalBoldCenter"/>
    <w:basedOn w:val="Normal"/>
    <w:rsid w:val="00CD7A39"/>
    <w:pPr>
      <w:jc w:val="center"/>
    </w:pPr>
    <w:rPr>
      <w:b/>
    </w:rPr>
  </w:style>
  <w:style w:type="paragraph" w:styleId="BalloonText">
    <w:name w:val="Balloon Text"/>
    <w:basedOn w:val="Normal"/>
    <w:link w:val="BalloonTextChar"/>
    <w:rsid w:val="00D66F12"/>
    <w:rPr>
      <w:rFonts w:ascii="Segoe UI" w:hAnsi="Segoe UI" w:cs="Segoe UI"/>
      <w:sz w:val="18"/>
      <w:szCs w:val="18"/>
    </w:rPr>
  </w:style>
  <w:style w:type="character" w:customStyle="1" w:styleId="BalloonTextChar">
    <w:name w:val="Balloon Text Char"/>
    <w:basedOn w:val="DefaultParagraphFont"/>
    <w:link w:val="BalloonText"/>
    <w:rsid w:val="00D66F12"/>
    <w:rPr>
      <w:rFonts w:ascii="Segoe UI" w:hAnsi="Segoe UI" w:cs="Segoe UI"/>
      <w:sz w:val="18"/>
      <w:szCs w:val="18"/>
      <w:lang w:val="fi-FI"/>
    </w:rPr>
  </w:style>
  <w:style w:type="paragraph" w:styleId="Footer">
    <w:name w:val="footer"/>
    <w:basedOn w:val="Normal"/>
    <w:link w:val="FooterChar"/>
    <w:rsid w:val="00D66F12"/>
    <w:pPr>
      <w:tabs>
        <w:tab w:val="center" w:pos="4513"/>
        <w:tab w:val="right" w:pos="9026"/>
      </w:tabs>
    </w:pPr>
  </w:style>
  <w:style w:type="character" w:customStyle="1" w:styleId="FooterChar">
    <w:name w:val="Footer Char"/>
    <w:basedOn w:val="DefaultParagraphFont"/>
    <w:link w:val="Footer"/>
    <w:rsid w:val="00D66F1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C9BAD-8003-479F-9E46-B5B3E3ED4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2062</Words>
  <Characters>18031</Characters>
  <Application>Microsoft Office Word</Application>
  <DocSecurity>0</DocSecurity>
  <Lines>150</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5</cp:revision>
  <cp:lastPrinted>2004-11-19T15:42:00Z</cp:lastPrinted>
  <dcterms:created xsi:type="dcterms:W3CDTF">2024-04-08T19:46:00Z</dcterms:created>
  <dcterms:modified xsi:type="dcterms:W3CDTF">2024-04-11T16:19:00Z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A9-0129/2024</vt:lpwstr>
  </property>
  <property fmtid="{D5CDD505-2E9C-101B-9397-08002B2CF9AE}" pid="4" name="&lt;Type&gt;">
    <vt:lpwstr>RR</vt:lpwstr>
  </property>
</Properties>
</file>