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1D95" w:rsidTr="0010095E">
        <w:trPr>
          <w:trHeight w:hRule="exact" w:val="1418"/>
        </w:trPr>
        <w:tc>
          <w:tcPr>
            <w:tcW w:w="6804" w:type="dxa"/>
            <w:shd w:val="clear" w:color="auto" w:fill="auto"/>
            <w:vAlign w:val="center"/>
          </w:tcPr>
          <w:p w:rsidR="00751A4A" w:rsidRPr="00E21D95" w:rsidRDefault="004F1C98" w:rsidP="0010095E">
            <w:pPr>
              <w:pStyle w:val="EPName"/>
            </w:pPr>
            <w:r w:rsidRPr="00E21D95">
              <w:t>Europski parlament</w:t>
            </w:r>
          </w:p>
          <w:p w:rsidR="00751A4A" w:rsidRPr="00E21D95" w:rsidRDefault="00817416" w:rsidP="00756632">
            <w:pPr>
              <w:pStyle w:val="EPTerm"/>
              <w:rPr>
                <w:rStyle w:val="HideTWBExt"/>
                <w:noProof w:val="0"/>
                <w:vanish w:val="0"/>
                <w:color w:val="auto"/>
              </w:rPr>
            </w:pPr>
            <w:r w:rsidRPr="00E21D95">
              <w:t>2019-2024</w:t>
            </w:r>
          </w:p>
        </w:tc>
        <w:tc>
          <w:tcPr>
            <w:tcW w:w="2268" w:type="dxa"/>
            <w:shd w:val="clear" w:color="auto" w:fill="auto"/>
          </w:tcPr>
          <w:p w:rsidR="00751A4A" w:rsidRPr="00E21D95" w:rsidRDefault="00187494" w:rsidP="0010095E">
            <w:pPr>
              <w:pStyle w:val="EPLogo"/>
            </w:pPr>
            <w:r w:rsidRPr="00E21D9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1D95" w:rsidRDefault="00D058B8" w:rsidP="004C5D52">
      <w:pPr>
        <w:pStyle w:val="LineTop"/>
      </w:pPr>
    </w:p>
    <w:p w:rsidR="00680577" w:rsidRPr="00E21D95" w:rsidRDefault="004F1C98" w:rsidP="00680577">
      <w:pPr>
        <w:pStyle w:val="EPBodyTA1"/>
      </w:pPr>
      <w:r w:rsidRPr="00E21D95">
        <w:t>USVOJENI TEKSTOVI</w:t>
      </w:r>
    </w:p>
    <w:p w:rsidR="00D058B8" w:rsidRPr="00E21D95" w:rsidRDefault="00D058B8" w:rsidP="00D058B8">
      <w:pPr>
        <w:pStyle w:val="LineBottom"/>
      </w:pPr>
    </w:p>
    <w:p w:rsidR="004F1C98" w:rsidRPr="00E21D95" w:rsidRDefault="004F1C98" w:rsidP="004F1C98">
      <w:pPr>
        <w:pStyle w:val="ATHeading1"/>
      </w:pPr>
      <w:bookmarkStart w:id="0" w:name="TANumber"/>
      <w:r w:rsidRPr="00E21D95">
        <w:t>P9_TA(2024)0</w:t>
      </w:r>
      <w:r w:rsidR="00811BED">
        <w:t>250</w:t>
      </w:r>
      <w:bookmarkEnd w:id="0"/>
    </w:p>
    <w:p w:rsidR="004F1C98" w:rsidRPr="00E21D95" w:rsidRDefault="004F1C98" w:rsidP="004F1C98">
      <w:pPr>
        <w:pStyle w:val="ATHeading2"/>
      </w:pPr>
      <w:bookmarkStart w:id="1" w:name="title"/>
      <w:r w:rsidRPr="00E21D95">
        <w:t>Razrješnica za 2022.: Europska agencija za sigurnost hrane</w:t>
      </w:r>
      <w:bookmarkEnd w:id="1"/>
    </w:p>
    <w:p w:rsidR="004F1C98" w:rsidRPr="00E21D95" w:rsidRDefault="004F1C98" w:rsidP="004F1C98">
      <w:pPr>
        <w:rPr>
          <w:i/>
          <w:vanish/>
        </w:rPr>
      </w:pPr>
      <w:r w:rsidRPr="00E21D95">
        <w:rPr>
          <w:i/>
        </w:rPr>
        <w:fldChar w:fldCharType="begin"/>
      </w:r>
      <w:r w:rsidRPr="00E21D95">
        <w:rPr>
          <w:i/>
        </w:rPr>
        <w:instrText xml:space="preserve"> TC"(</w:instrText>
      </w:r>
      <w:bookmarkStart w:id="2" w:name="DocNumber"/>
      <w:r w:rsidRPr="00E21D95">
        <w:rPr>
          <w:i/>
        </w:rPr>
        <w:instrText>A9-0129/2024</w:instrText>
      </w:r>
      <w:bookmarkEnd w:id="2"/>
      <w:r w:rsidRPr="00E21D95">
        <w:rPr>
          <w:i/>
        </w:rPr>
        <w:instrText xml:space="preserve"> - Izvjestitelj: Petri </w:instrText>
      </w:r>
      <w:proofErr w:type="spellStart"/>
      <w:r w:rsidRPr="00E21D95">
        <w:rPr>
          <w:i/>
        </w:rPr>
        <w:instrText>Sarvamaa</w:instrText>
      </w:r>
      <w:proofErr w:type="spellEnd"/>
      <w:r w:rsidRPr="00E21D95">
        <w:rPr>
          <w:i/>
        </w:rPr>
        <w:instrText xml:space="preserve">)"\l3 \n&gt; \* MERGEFORMAT </w:instrText>
      </w:r>
      <w:r w:rsidRPr="00E21D95">
        <w:rPr>
          <w:i/>
        </w:rPr>
        <w:fldChar w:fldCharType="end"/>
      </w:r>
    </w:p>
    <w:p w:rsidR="004F1C98" w:rsidRPr="00E21D95" w:rsidRDefault="004F1C98" w:rsidP="004F1C98">
      <w:pPr>
        <w:rPr>
          <w:vanish/>
        </w:rPr>
      </w:pPr>
      <w:bookmarkStart w:id="3" w:name="Commission"/>
      <w:r w:rsidRPr="00E21D95">
        <w:rPr>
          <w:vanish/>
        </w:rPr>
        <w:t>Odbor za proračunski nadzor</w:t>
      </w:r>
      <w:bookmarkEnd w:id="3"/>
    </w:p>
    <w:p w:rsidR="004F1C98" w:rsidRPr="00E21D95" w:rsidRDefault="004F1C98" w:rsidP="004F1C98">
      <w:pPr>
        <w:rPr>
          <w:vanish/>
        </w:rPr>
      </w:pPr>
      <w:bookmarkStart w:id="4" w:name="PE"/>
      <w:r w:rsidRPr="00E21D95">
        <w:rPr>
          <w:vanish/>
        </w:rPr>
        <w:t>PE753.519</w:t>
      </w:r>
      <w:bookmarkEnd w:id="4"/>
    </w:p>
    <w:p w:rsidR="004F1C98" w:rsidRPr="00E21D95" w:rsidRDefault="00E21D95" w:rsidP="004F1C98">
      <w:pPr>
        <w:pStyle w:val="ATHeading3"/>
      </w:pPr>
      <w:bookmarkStart w:id="5" w:name="Sujet"/>
      <w:r w:rsidRPr="00E21D95">
        <w:t xml:space="preserve">1. </w:t>
      </w:r>
      <w:r w:rsidR="004F1C98" w:rsidRPr="00E21D95">
        <w:t>Od</w:t>
      </w:r>
      <w:r w:rsidRPr="00E21D95">
        <w:t>luka Europskog parlamenta od 11</w:t>
      </w:r>
      <w:r w:rsidR="004F1C98" w:rsidRPr="00E21D95">
        <w:t xml:space="preserve">. </w:t>
      </w:r>
      <w:r w:rsidRPr="00E21D95">
        <w:t xml:space="preserve">travnja </w:t>
      </w:r>
      <w:r w:rsidR="004F1C98" w:rsidRPr="00E21D95">
        <w:t>2024. o razrješnici za izvršenje proračuna Europske agencije za sigurnost hrane za financijsku godinu 2022.</w:t>
      </w:r>
      <w:bookmarkEnd w:id="5"/>
      <w:r w:rsidR="004F1C98" w:rsidRPr="00E21D95">
        <w:t xml:space="preserve"> </w:t>
      </w:r>
      <w:bookmarkStart w:id="6" w:name="References"/>
      <w:r w:rsidR="004F1C98" w:rsidRPr="00E21D95">
        <w:t>(2023/2151(DEC))</w:t>
      </w:r>
      <w:bookmarkEnd w:id="6"/>
    </w:p>
    <w:p w:rsidR="00BA17DE" w:rsidRPr="00E21D95" w:rsidRDefault="00BA17DE" w:rsidP="00BA17DE">
      <w:pPr>
        <w:pStyle w:val="EPComma"/>
      </w:pPr>
      <w:bookmarkStart w:id="7" w:name="TextBodyBegin"/>
      <w:bookmarkEnd w:id="7"/>
      <w:r w:rsidRPr="00E21D95">
        <w:rPr>
          <w:i/>
        </w:rPr>
        <w:t>Europski parlament</w:t>
      </w:r>
      <w:r w:rsidRPr="00E21D95">
        <w:t>,</w:t>
      </w:r>
    </w:p>
    <w:p w:rsidR="00BA17DE" w:rsidRPr="00E21D95" w:rsidRDefault="00BA17DE" w:rsidP="00BA17DE">
      <w:pPr>
        <w:pStyle w:val="NormalHanging12a"/>
      </w:pPr>
      <w:r w:rsidRPr="00E21D95">
        <w:t>–</w:t>
      </w:r>
      <w:r w:rsidRPr="00E21D95">
        <w:tab/>
        <w:t>uzimajući u obzir završnu godišnju računovodstvenu dokumentaciju Europske agencije za sigurnost hrane za financijsku godinu 2022.,</w:t>
      </w:r>
    </w:p>
    <w:p w:rsidR="00BA17DE" w:rsidRPr="00E21D95" w:rsidRDefault="00BA17DE" w:rsidP="00BA17DE">
      <w:pPr>
        <w:pStyle w:val="NormalHanging12a"/>
      </w:pPr>
      <w:r w:rsidRPr="00E21D95">
        <w:t>–</w:t>
      </w:r>
      <w:r w:rsidRPr="00E21D95">
        <w:tab/>
        <w:t>uzimajući u obzir godišnje izvješće Revizorskog suda o agencijama EU-a za financijsku godinu 2022., kojemu su priloženi odgovori agencija</w:t>
      </w:r>
      <w:r w:rsidRPr="00E21D95">
        <w:rPr>
          <w:rStyle w:val="FootnoteReference"/>
        </w:rPr>
        <w:footnoteReference w:id="1"/>
      </w:r>
      <w:r w:rsidRPr="00E21D95">
        <w:t>,</w:t>
      </w:r>
    </w:p>
    <w:p w:rsidR="00BA17DE" w:rsidRPr="00E21D95" w:rsidRDefault="00BA17DE" w:rsidP="00BA17DE">
      <w:pPr>
        <w:pStyle w:val="NormalHanging12a"/>
      </w:pPr>
      <w:r w:rsidRPr="00E21D95">
        <w:t>–</w:t>
      </w:r>
      <w:r w:rsidRPr="00E21D95">
        <w:tab/>
        <w:t>uzimajući u obzir izjavu o jamstvu</w:t>
      </w:r>
      <w:r w:rsidRPr="00E21D95">
        <w:rPr>
          <w:rStyle w:val="FootnoteReference"/>
        </w:rPr>
        <w:footnoteReference w:id="2"/>
      </w:r>
      <w:r w:rsidRPr="00E21D95">
        <w:t xml:space="preserve"> u pogledu pouzdanosti računovodstvene dokumentacije te zakonitosti i pravilnosti temeljnih transakcija koju je u skladu s člankom 287. Ugovora o funkcioniranju Europske unije Revizorski sud podnio za financijsku godinu 2022.,</w:t>
      </w:r>
    </w:p>
    <w:p w:rsidR="00BA17DE" w:rsidRPr="00E21D95" w:rsidRDefault="00BA17DE" w:rsidP="00BA17DE">
      <w:pPr>
        <w:pStyle w:val="NormalHanging12a"/>
      </w:pPr>
      <w:r w:rsidRPr="00E21D95">
        <w:t>–</w:t>
      </w:r>
      <w:r w:rsidRPr="00E21D95">
        <w:tab/>
        <w:t>uzimajući u obzir preporuku Vijeća od 22. veljače 2024. o razrješnici koju Nadzorno tijelo treba dobiti za izvršenje proračuna za financijsku godinu 2022. (0</w:t>
      </w:r>
      <w:r w:rsidR="00C63E92">
        <w:t>618</w:t>
      </w:r>
      <w:r w:rsidRPr="00E21D95">
        <w:t>0/2024 – C9</w:t>
      </w:r>
      <w:r w:rsidRPr="00E21D95">
        <w:noBreakHyphen/>
        <w:t>00</w:t>
      </w:r>
      <w:r w:rsidR="00C63E92">
        <w:t>89</w:t>
      </w:r>
      <w:r w:rsidRPr="00E21D95">
        <w:t>/2024),</w:t>
      </w:r>
    </w:p>
    <w:p w:rsidR="00BA17DE" w:rsidRPr="00E21D95" w:rsidRDefault="00BA17DE" w:rsidP="00BA17DE">
      <w:pPr>
        <w:pStyle w:val="NormalHanging12a"/>
      </w:pPr>
      <w:r w:rsidRPr="00E21D95">
        <w:t>–</w:t>
      </w:r>
      <w:r w:rsidRPr="00E21D95">
        <w:tab/>
        <w:t>uzimajući u obzir članak 319. Ugovora o funkcioniranju Europske unije,</w:t>
      </w:r>
    </w:p>
    <w:p w:rsidR="00BA17DE" w:rsidRPr="00E21D95" w:rsidRDefault="00BA17DE" w:rsidP="00BA17DE">
      <w:pPr>
        <w:pStyle w:val="NormalHanging12a"/>
      </w:pPr>
      <w:r w:rsidRPr="00E21D95">
        <w:t>–</w:t>
      </w:r>
      <w:r w:rsidRPr="00E21D95">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21D95">
        <w:rPr>
          <w:rStyle w:val="FootnoteReference"/>
        </w:rPr>
        <w:footnoteReference w:id="3"/>
      </w:r>
      <w:r w:rsidRPr="00E21D95">
        <w:t>, a posebno njezin članak 70.,</w:t>
      </w:r>
    </w:p>
    <w:p w:rsidR="00BA17DE" w:rsidRPr="00E21D95" w:rsidRDefault="00BA17DE" w:rsidP="00BA17DE">
      <w:pPr>
        <w:pStyle w:val="NormalHanging12a"/>
      </w:pPr>
      <w:r w:rsidRPr="00E21D95">
        <w:t>–</w:t>
      </w:r>
      <w:r w:rsidRPr="00E21D95">
        <w:tab/>
        <w:t xml:space="preserve">uzimajući u obzir Uredbu (EZ) br. 178/2002 Europskog parlamenta i Vijeća od 28. siječnja 2002. o utvrđivanju općih načela i uvjeta zakona o hrani, osnivanju </w:t>
      </w:r>
      <w:r w:rsidRPr="00E21D95">
        <w:lastRenderedPageBreak/>
        <w:t>Europske agencije za sigurnost hrane te utvrđivanju postupaka u područjima sigurnosti hrane</w:t>
      </w:r>
      <w:r w:rsidRPr="00E21D95">
        <w:rPr>
          <w:rStyle w:val="FootnoteReference"/>
        </w:rPr>
        <w:footnoteReference w:id="4"/>
      </w:r>
      <w:r w:rsidRPr="00E21D95">
        <w:t>, a posebno njezin članak 44.,</w:t>
      </w:r>
    </w:p>
    <w:p w:rsidR="00BA17DE" w:rsidRPr="00E21D95" w:rsidRDefault="00BA17DE" w:rsidP="00BA17DE">
      <w:pPr>
        <w:pStyle w:val="NormalHanging12a"/>
      </w:pPr>
      <w:r w:rsidRPr="00E21D95">
        <w:t>–</w:t>
      </w:r>
      <w:r w:rsidRPr="00E21D95">
        <w:tab/>
        <w:t xml:space="preserve">uzimajući u obzir Delegiranu uredbu Komisije (EU) 2019/715 od 18. prosinca 2018. o okvirnoj financijskoj uredbi za tijela osnovana na temelju Ugovora o funkcioniranju Europske unije i Ugovora o </w:t>
      </w:r>
      <w:proofErr w:type="spellStart"/>
      <w:r w:rsidRPr="00E21D95">
        <w:t>Euratomu</w:t>
      </w:r>
      <w:proofErr w:type="spellEnd"/>
      <w:r w:rsidRPr="00E21D95">
        <w:t xml:space="preserve"> na koja se upućuje u članku 70. Uredbe (EU, Euratom) 2018/1046 Europskog parlamenta i Vijeća</w:t>
      </w:r>
      <w:r w:rsidRPr="00E21D95">
        <w:rPr>
          <w:rStyle w:val="FootnoteReference"/>
        </w:rPr>
        <w:footnoteReference w:id="5"/>
      </w:r>
      <w:r w:rsidRPr="00E21D95">
        <w:t>, a posebno njezin članak 105.,</w:t>
      </w:r>
    </w:p>
    <w:p w:rsidR="00BA17DE" w:rsidRPr="00E21D95" w:rsidRDefault="00BA17DE" w:rsidP="00BA17DE">
      <w:pPr>
        <w:pStyle w:val="NormalHanging12a"/>
      </w:pPr>
      <w:r w:rsidRPr="00E21D95">
        <w:t>–</w:t>
      </w:r>
      <w:r w:rsidRPr="00E21D95">
        <w:tab/>
        <w:t>uzimajući u obzir članak 100. Poslovnika i Prilog V. Poslovniku,</w:t>
      </w:r>
    </w:p>
    <w:p w:rsidR="00BA17DE" w:rsidRPr="00E21D95" w:rsidRDefault="00BA17DE" w:rsidP="00BA17DE">
      <w:pPr>
        <w:pStyle w:val="NormalHanging12a"/>
      </w:pPr>
      <w:r w:rsidRPr="00E21D95">
        <w:t>–</w:t>
      </w:r>
      <w:r w:rsidRPr="00E21D95">
        <w:tab/>
        <w:t>uzimajući u obzir mišljenje Odbora za okoliš, javno zdravlje i sigurnost hrane,</w:t>
      </w:r>
    </w:p>
    <w:p w:rsidR="00BA17DE" w:rsidRPr="00E21D95" w:rsidRDefault="00BA17DE" w:rsidP="00BA17DE">
      <w:pPr>
        <w:pStyle w:val="NormalHanging12a"/>
      </w:pPr>
      <w:r w:rsidRPr="00E21D95">
        <w:t>–</w:t>
      </w:r>
      <w:r w:rsidRPr="00E21D95">
        <w:tab/>
        <w:t>uzimajući u obzir izvješće Odbora za proračunski nadzor (A9</w:t>
      </w:r>
      <w:r w:rsidRPr="00E21D95">
        <w:noBreakHyphen/>
        <w:t>0129/2024),</w:t>
      </w:r>
    </w:p>
    <w:p w:rsidR="00BA17DE" w:rsidRPr="00E21D95" w:rsidRDefault="00BA17DE" w:rsidP="00BA17DE">
      <w:pPr>
        <w:pStyle w:val="NormalHanging12a"/>
      </w:pPr>
      <w:r w:rsidRPr="00E21D95">
        <w:t>1.</w:t>
      </w:r>
      <w:r w:rsidRPr="00E21D95">
        <w:tab/>
        <w:t>daje razrješnicu izvršnom direktoru Europske agencije za sigurnost hrane za izvršenje proračuna Nadzornog tijela za financijsku godinu 2022</w:t>
      </w:r>
      <w:r w:rsidR="00E21D95">
        <w:t>.;</w:t>
      </w:r>
    </w:p>
    <w:p w:rsidR="00BA17DE" w:rsidRPr="00E21D95" w:rsidRDefault="00BA17DE" w:rsidP="00BA17DE">
      <w:pPr>
        <w:pStyle w:val="NormalHanging12a"/>
      </w:pPr>
      <w:r w:rsidRPr="00E21D95">
        <w:t>2.</w:t>
      </w:r>
      <w:r w:rsidRPr="00E21D95">
        <w:tab/>
        <w:t>iznosi svoje primjedbe u Rezoluciji u nastavku;</w:t>
      </w:r>
    </w:p>
    <w:p w:rsidR="00BA17DE" w:rsidRPr="00E21D95" w:rsidRDefault="00BA17DE" w:rsidP="00BA17DE">
      <w:pPr>
        <w:pStyle w:val="NormalHanging12a"/>
      </w:pPr>
      <w:r w:rsidRPr="00E21D95">
        <w:t>3.</w:t>
      </w:r>
      <w:r w:rsidRPr="00E21D95">
        <w:tab/>
        <w:t xml:space="preserve">nalaže svojoj predsjednici da ovu Odluku i Rezoluciju, koja je njezin sastavni dio, proslijedi izvršnom direktoru Europske agencije za sigurnost hrane, Vijeću, Komisiji i Revizorskom sudu te da ih da na objavu u </w:t>
      </w:r>
      <w:r w:rsidRPr="00E21D95">
        <w:rPr>
          <w:i/>
        </w:rPr>
        <w:t>Službenom listu Europske unije</w:t>
      </w:r>
      <w:r w:rsidRPr="00E21D95">
        <w:t xml:space="preserve"> (serija L).</w:t>
      </w:r>
    </w:p>
    <w:p w:rsidR="00BA17DE" w:rsidRPr="00E21D95" w:rsidRDefault="00BA17DE" w:rsidP="00BA17DE"/>
    <w:p w:rsidR="00BA17DE" w:rsidRPr="00E21D95" w:rsidRDefault="00BA17DE" w:rsidP="00BA17DE">
      <w:pPr>
        <w:pStyle w:val="PageHeading"/>
        <w:sectPr w:rsidR="00BA17DE" w:rsidRPr="00E21D95" w:rsidSect="00A85B8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A17DE" w:rsidRPr="00E21D95" w:rsidRDefault="00E21D95" w:rsidP="00E21D95">
      <w:pPr>
        <w:pStyle w:val="ATHeading3"/>
      </w:pPr>
      <w:bookmarkStart w:id="8" w:name="_Toc161990196"/>
      <w:r w:rsidRPr="00E21D95">
        <w:lastRenderedPageBreak/>
        <w:t xml:space="preserve">2. </w:t>
      </w:r>
      <w:r>
        <w:t>Odluka E</w:t>
      </w:r>
      <w:r w:rsidRPr="00E21D95">
        <w:t>uropskog parlamenta</w:t>
      </w:r>
      <w:bookmarkEnd w:id="8"/>
      <w:r w:rsidRPr="00E21D95">
        <w:t xml:space="preserve"> </w:t>
      </w:r>
      <w:r>
        <w:t xml:space="preserve">od 11. travnja 2024. </w:t>
      </w:r>
      <w:r w:rsidR="00BA17DE" w:rsidRPr="00E21D95">
        <w:t>o zaključenju poslovnih knjiga Europske agencije za sigurnost hrane za financijsku godinu 2022.</w:t>
      </w:r>
      <w:r w:rsidRPr="00E21D95">
        <w:t xml:space="preserve"> </w:t>
      </w:r>
      <w:r w:rsidR="00BA17DE" w:rsidRPr="00E21D95">
        <w:t>(2023/2151(DEC))</w:t>
      </w:r>
    </w:p>
    <w:p w:rsidR="00BA17DE" w:rsidRPr="00E21D95" w:rsidRDefault="00BA17DE" w:rsidP="00BA17DE">
      <w:pPr>
        <w:pStyle w:val="EPComma"/>
      </w:pPr>
      <w:r w:rsidRPr="00E21D95">
        <w:rPr>
          <w:i/>
        </w:rPr>
        <w:t>Europski parlament</w:t>
      </w:r>
      <w:r w:rsidRPr="00E21D95">
        <w:t>,</w:t>
      </w:r>
    </w:p>
    <w:p w:rsidR="00BA17DE" w:rsidRPr="00E21D95" w:rsidRDefault="00BA17DE" w:rsidP="00BA17DE">
      <w:pPr>
        <w:pStyle w:val="NormalHanging12a"/>
      </w:pPr>
      <w:r w:rsidRPr="00E21D95">
        <w:t>–</w:t>
      </w:r>
      <w:r w:rsidRPr="00E21D95">
        <w:tab/>
        <w:t>uzimajući u obzir završne godišnje financijske izvještaje Europske agencije za sigurnost hrane za financijsku godinu 2022.,</w:t>
      </w:r>
    </w:p>
    <w:p w:rsidR="00BA17DE" w:rsidRPr="00E21D95" w:rsidRDefault="00BA17DE" w:rsidP="00BA17DE">
      <w:pPr>
        <w:pStyle w:val="NormalHanging12a"/>
      </w:pPr>
      <w:r w:rsidRPr="00E21D95">
        <w:t>–</w:t>
      </w:r>
      <w:r w:rsidRPr="00E21D95">
        <w:tab/>
        <w:t>uzimajući u obzir godišnje izvješće Revizorskog suda o agencijama EU-a za financijsku godinu 2022., kojemu su priloženi odgovori agencija</w:t>
      </w:r>
      <w:r w:rsidRPr="00E21D95">
        <w:rPr>
          <w:rStyle w:val="FootnoteReference"/>
        </w:rPr>
        <w:footnoteReference w:id="6"/>
      </w:r>
      <w:r w:rsidRPr="00E21D95">
        <w:t>,</w:t>
      </w:r>
    </w:p>
    <w:p w:rsidR="00BA17DE" w:rsidRPr="00E21D95" w:rsidRDefault="00BA17DE" w:rsidP="00BA17DE">
      <w:pPr>
        <w:pStyle w:val="NormalHanging12a"/>
      </w:pPr>
      <w:r w:rsidRPr="00E21D95">
        <w:t>–</w:t>
      </w:r>
      <w:r w:rsidRPr="00E21D95">
        <w:tab/>
        <w:t>uzimajući u obzir izjavu o jamstvu</w:t>
      </w:r>
      <w:r w:rsidRPr="00E21D95">
        <w:rPr>
          <w:rStyle w:val="FootnoteReference"/>
        </w:rPr>
        <w:footnoteReference w:id="7"/>
      </w:r>
      <w:r w:rsidRPr="00E21D95">
        <w:t xml:space="preserve"> u pogledu pouzdanosti računa te zakonitosti i pravilnosti povezanih transakcija, koju je podnio Revizorski sud za financijsku godinu 2022., u skladu s člankom 287. Ugovora o funkcioniranju Europske unije,</w:t>
      </w:r>
    </w:p>
    <w:p w:rsidR="00BA17DE" w:rsidRPr="00E21D95" w:rsidRDefault="00BA17DE" w:rsidP="00BA17DE">
      <w:pPr>
        <w:pStyle w:val="NormalHanging12a"/>
      </w:pPr>
      <w:r w:rsidRPr="00E21D95">
        <w:t>–</w:t>
      </w:r>
      <w:r w:rsidRPr="00E21D95">
        <w:tab/>
        <w:t>uzimajući u obzir preporuku Vijeća od 22. veljače 2024. o razrješnici koju treba dobiti Nadzorno tijelo za izvršenje proračuna za financijsku godinu 2022. (0</w:t>
      </w:r>
      <w:r w:rsidR="00C63E92">
        <w:t>618</w:t>
      </w:r>
      <w:r w:rsidRPr="00E21D95">
        <w:t>0/2024 - C9</w:t>
      </w:r>
      <w:r w:rsidRPr="00E21D95">
        <w:noBreakHyphen/>
        <w:t>00</w:t>
      </w:r>
      <w:r w:rsidR="00C63E92">
        <w:t>89</w:t>
      </w:r>
      <w:r w:rsidRPr="00E21D95">
        <w:t>/2024),</w:t>
      </w:r>
    </w:p>
    <w:p w:rsidR="00BA17DE" w:rsidRPr="00E21D95" w:rsidRDefault="00BA17DE" w:rsidP="00BA17DE">
      <w:pPr>
        <w:pStyle w:val="NormalHanging12a"/>
      </w:pPr>
      <w:r w:rsidRPr="00E21D95">
        <w:t>–</w:t>
      </w:r>
      <w:r w:rsidRPr="00E21D95">
        <w:tab/>
        <w:t>uzimajući u obzir članak 319. Ugovora o funkcioniranju Europske unije,</w:t>
      </w:r>
    </w:p>
    <w:p w:rsidR="00BA17DE" w:rsidRPr="00E21D95" w:rsidRDefault="00BA17DE" w:rsidP="00BA17DE">
      <w:pPr>
        <w:pStyle w:val="NormalHanging12a"/>
      </w:pPr>
      <w:r w:rsidRPr="00E21D95">
        <w:t>–</w:t>
      </w:r>
      <w:r w:rsidRPr="00E21D95">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E21D95">
        <w:rPr>
          <w:rStyle w:val="FootnoteReference"/>
        </w:rPr>
        <w:footnoteReference w:id="8"/>
      </w:r>
      <w:r w:rsidRPr="00E21D95">
        <w:t>, a posebno njezin članak 70.</w:t>
      </w:r>
      <w:r w:rsidR="00E21D95">
        <w:t>,</w:t>
      </w:r>
    </w:p>
    <w:p w:rsidR="00BA17DE" w:rsidRPr="00E21D95" w:rsidRDefault="00BA17DE" w:rsidP="00BA17DE">
      <w:pPr>
        <w:pStyle w:val="NormalHanging12a"/>
      </w:pPr>
      <w:r w:rsidRPr="00E21D95">
        <w:t>–</w:t>
      </w:r>
      <w:r w:rsidRPr="00E21D95">
        <w:tab/>
        <w:t>uzimajući u obzir Uredbu (EZ) br. 178/2002 Europskog parlamenta i Vijeća od 28. siječnja 2002. o utvrđivanju općih načela i uvjeta zakona o hrani, osnivanju Europske agencije za sigurnost hrane te utvrđivanju postupaka u područjima sigurnosti hrane</w:t>
      </w:r>
      <w:r w:rsidRPr="00E21D95">
        <w:rPr>
          <w:rStyle w:val="FootnoteReference"/>
        </w:rPr>
        <w:footnoteReference w:id="9"/>
      </w:r>
      <w:r w:rsidRPr="00E21D95">
        <w:t>, a posebno njezin članak 44.,</w:t>
      </w:r>
    </w:p>
    <w:p w:rsidR="00BA17DE" w:rsidRPr="00E21D95" w:rsidRDefault="00BA17DE" w:rsidP="00BA17DE">
      <w:pPr>
        <w:pStyle w:val="NormalHanging12a"/>
      </w:pPr>
      <w:r w:rsidRPr="00E21D95">
        <w:t>–</w:t>
      </w:r>
      <w:r w:rsidRPr="00E21D95">
        <w:tab/>
        <w:t xml:space="preserve">uzimajući u obzir Delegiranu uredbu Komisije (EU) 2019/715 od 18. prosinca 2018. o okvirnoj financijskoj uredbi za tijela osnovana na temelju Ugovora o funkcioniranju Europske unije i Ugovora o </w:t>
      </w:r>
      <w:proofErr w:type="spellStart"/>
      <w:r w:rsidRPr="00E21D95">
        <w:t>Euratomu</w:t>
      </w:r>
      <w:proofErr w:type="spellEnd"/>
      <w:r w:rsidRPr="00E21D95">
        <w:t xml:space="preserve"> na koja se upućuje u članku 70. Uredbe (EU, Euratom) 2018/1046 Europskog parlamenta i Vijeća</w:t>
      </w:r>
      <w:r w:rsidRPr="00E21D95">
        <w:rPr>
          <w:rStyle w:val="FootnoteReference"/>
        </w:rPr>
        <w:footnoteReference w:id="10"/>
      </w:r>
      <w:r w:rsidRPr="00E21D95">
        <w:t>, a posebno njezin članak 105.,</w:t>
      </w:r>
    </w:p>
    <w:p w:rsidR="00BA17DE" w:rsidRPr="00E21D95" w:rsidRDefault="00BA17DE" w:rsidP="00BA17DE">
      <w:pPr>
        <w:pStyle w:val="NormalHanging12a"/>
      </w:pPr>
      <w:r w:rsidRPr="00E21D95">
        <w:t>–</w:t>
      </w:r>
      <w:r w:rsidRPr="00E21D95">
        <w:tab/>
        <w:t>uzimajući u obzir članak 100. Poslovnika i Prilog V. Poslovniku,</w:t>
      </w:r>
    </w:p>
    <w:p w:rsidR="00BA17DE" w:rsidRPr="00E21D95" w:rsidRDefault="00BA17DE" w:rsidP="00BA17DE">
      <w:pPr>
        <w:pStyle w:val="NormalHanging12a"/>
      </w:pPr>
      <w:r w:rsidRPr="00E21D95">
        <w:t>–</w:t>
      </w:r>
      <w:r w:rsidRPr="00E21D95">
        <w:tab/>
        <w:t>uzimajući u obzir mišljenje Odbora za okoliš, javno zdravlje i sigurnost hrane,</w:t>
      </w:r>
    </w:p>
    <w:p w:rsidR="00BA17DE" w:rsidRPr="00E21D95" w:rsidRDefault="00BA17DE" w:rsidP="00BA17DE">
      <w:pPr>
        <w:pStyle w:val="NormalHanging12a"/>
      </w:pPr>
      <w:r w:rsidRPr="00E21D95">
        <w:t>–</w:t>
      </w:r>
      <w:r w:rsidRPr="00E21D95">
        <w:tab/>
        <w:t>uzimajući u obzir izvješće Odbora za proračunski nadzor (A9-0129/2024),</w:t>
      </w:r>
    </w:p>
    <w:p w:rsidR="00BA17DE" w:rsidRPr="00E21D95" w:rsidRDefault="00BA17DE" w:rsidP="00BA17DE">
      <w:pPr>
        <w:pStyle w:val="NormalHanging12a"/>
      </w:pPr>
      <w:r w:rsidRPr="00E21D95">
        <w:t>1.</w:t>
      </w:r>
      <w:r w:rsidRPr="00E21D95">
        <w:tab/>
        <w:t>odobrava zaključenje poslovnih knjiga Europske agencije za sigurnost hr</w:t>
      </w:r>
      <w:r w:rsidR="00E21D95">
        <w:t>ane za financijsku godinu 2022.;</w:t>
      </w:r>
    </w:p>
    <w:p w:rsidR="00BA17DE" w:rsidRPr="00E21D95" w:rsidRDefault="00BA17DE" w:rsidP="00BA17DE">
      <w:pPr>
        <w:ind w:left="567" w:hanging="567"/>
      </w:pPr>
      <w:r w:rsidRPr="00E21D95">
        <w:lastRenderedPageBreak/>
        <w:t>2.</w:t>
      </w:r>
      <w:r w:rsidRPr="00E21D95">
        <w:tab/>
        <w:t xml:space="preserve">nalaže svojoj predsjednici da ovu Odluku proslijedi izvršnom direktoru Europske agencije za sigurnost hrane, Vijeću, Komisiji i Revizorskom sudu te da je da na objavu u </w:t>
      </w:r>
      <w:r w:rsidRPr="00E21D95">
        <w:rPr>
          <w:i/>
          <w:iCs/>
        </w:rPr>
        <w:t>Službenom listu Europske unije</w:t>
      </w:r>
      <w:r w:rsidRPr="00E21D95">
        <w:t xml:space="preserve"> (serija L).</w:t>
      </w:r>
    </w:p>
    <w:p w:rsidR="00BA17DE" w:rsidRPr="00E21D95" w:rsidRDefault="00BA17DE" w:rsidP="00BA17DE">
      <w:pPr>
        <w:pStyle w:val="PageHeading"/>
        <w:sectPr w:rsidR="00BA17DE" w:rsidRPr="00E21D95" w:rsidSect="00A85B89">
          <w:footnotePr>
            <w:numRestart w:val="eachPage"/>
          </w:footnotePr>
          <w:endnotePr>
            <w:numFmt w:val="decimal"/>
          </w:endnotePr>
          <w:pgSz w:w="11906" w:h="16838" w:code="9"/>
          <w:pgMar w:top="1134" w:right="1418" w:bottom="1418" w:left="1418" w:header="567" w:footer="567" w:gutter="0"/>
          <w:cols w:space="720"/>
          <w:noEndnote/>
          <w:docGrid w:linePitch="326"/>
        </w:sectPr>
      </w:pPr>
    </w:p>
    <w:p w:rsidR="00BA17DE" w:rsidRPr="00E21D95" w:rsidRDefault="00E21D95" w:rsidP="00E21D95">
      <w:pPr>
        <w:pStyle w:val="ATHeading3"/>
      </w:pPr>
      <w:bookmarkStart w:id="9" w:name="_Toc161990197"/>
      <w:r w:rsidRPr="00E21D95">
        <w:lastRenderedPageBreak/>
        <w:t xml:space="preserve">3. </w:t>
      </w:r>
      <w:r>
        <w:t>Rezolucija E</w:t>
      </w:r>
      <w:r w:rsidRPr="00E21D95">
        <w:t>uropskog parlamenta</w:t>
      </w:r>
      <w:bookmarkEnd w:id="9"/>
      <w:r w:rsidRPr="00E21D95">
        <w:t xml:space="preserve"> </w:t>
      </w:r>
      <w:r>
        <w:t xml:space="preserve">od 11. travnja 2024. </w:t>
      </w:r>
      <w:r w:rsidR="00BA17DE" w:rsidRPr="00E21D95">
        <w:t>s primjedbama koje su sastavni dio Odluke o razrješnici za izvršenje proračuna Europske agencije za sigurnost hrane za financijsku godinu 2022.</w:t>
      </w:r>
      <w:r w:rsidRPr="00E21D95">
        <w:t xml:space="preserve"> </w:t>
      </w:r>
      <w:r w:rsidR="00BA17DE" w:rsidRPr="00E21D95">
        <w:t>(2023/2151(DEC))</w:t>
      </w:r>
    </w:p>
    <w:p w:rsidR="00BA17DE" w:rsidRPr="00E21D95" w:rsidRDefault="00BA17DE" w:rsidP="00BA17DE">
      <w:pPr>
        <w:pStyle w:val="EPComma"/>
      </w:pPr>
      <w:r w:rsidRPr="00E21D95">
        <w:rPr>
          <w:i/>
        </w:rPr>
        <w:t>Europski parlament</w:t>
      </w:r>
      <w:r w:rsidRPr="00E21D95">
        <w:t>,</w:t>
      </w:r>
    </w:p>
    <w:p w:rsidR="00BA17DE" w:rsidRPr="00E21D95" w:rsidRDefault="00BA17DE" w:rsidP="00BA17DE">
      <w:pPr>
        <w:pStyle w:val="NormalHanging12a"/>
      </w:pPr>
      <w:r w:rsidRPr="00E21D95">
        <w:t>–</w:t>
      </w:r>
      <w:r w:rsidRPr="00E21D95">
        <w:tab/>
        <w:t>uzimajući u obzir svoju Odluku o razrješnici za izvršenje proračuna Europske agencije za sigurnost hrane za financijsku godinu 2022.,</w:t>
      </w:r>
    </w:p>
    <w:p w:rsidR="00BA17DE" w:rsidRPr="00E21D95" w:rsidRDefault="00BA17DE" w:rsidP="00BA17DE">
      <w:pPr>
        <w:pStyle w:val="NormalHanging12a"/>
      </w:pPr>
      <w:r w:rsidRPr="00E21D95">
        <w:t>–</w:t>
      </w:r>
      <w:r w:rsidRPr="00E21D95">
        <w:tab/>
        <w:t>uzimajući u obzir članak 100. Poslovnika i Prilog V. Poslovniku,</w:t>
      </w:r>
    </w:p>
    <w:p w:rsidR="00BA17DE" w:rsidRPr="00E21D95" w:rsidRDefault="00BA17DE" w:rsidP="00BA17DE">
      <w:pPr>
        <w:pStyle w:val="NormalHanging12a"/>
      </w:pPr>
      <w:r w:rsidRPr="00E21D95">
        <w:t>–</w:t>
      </w:r>
      <w:r w:rsidRPr="00E21D95">
        <w:tab/>
        <w:t>uzimajući u obzir mišljenje Odbora za okoliš, javno zdravlje i sigurnost hrane,</w:t>
      </w:r>
    </w:p>
    <w:p w:rsidR="00BA17DE" w:rsidRPr="00E21D95" w:rsidRDefault="00BA17DE" w:rsidP="00BA17DE">
      <w:pPr>
        <w:pStyle w:val="NormalHanging12a"/>
      </w:pPr>
      <w:r w:rsidRPr="00E21D95">
        <w:t>–</w:t>
      </w:r>
      <w:r w:rsidRPr="00E21D95">
        <w:tab/>
        <w:t>uzimajući u obzir izvješće Odbo</w:t>
      </w:r>
      <w:r w:rsidR="00032483">
        <w:t>ra za proračunski nadzor (A9</w:t>
      </w:r>
      <w:r w:rsidR="00032483">
        <w:noBreakHyphen/>
        <w:t>012</w:t>
      </w:r>
      <w:r w:rsidRPr="00E21D95">
        <w:t>9/2024),</w:t>
      </w:r>
    </w:p>
    <w:p w:rsidR="00BA17DE" w:rsidRPr="00E21D95" w:rsidRDefault="00BA17DE" w:rsidP="00BA17DE">
      <w:pPr>
        <w:autoSpaceDE w:val="0"/>
        <w:autoSpaceDN w:val="0"/>
        <w:adjustRightInd w:val="0"/>
        <w:spacing w:after="240"/>
        <w:ind w:left="567" w:hanging="567"/>
        <w:rPr>
          <w:rFonts w:eastAsia="Calibri"/>
          <w:szCs w:val="24"/>
        </w:rPr>
      </w:pPr>
      <w:r w:rsidRPr="00E21D95">
        <w:t>A.</w:t>
      </w:r>
      <w:r w:rsidRPr="00E21D95">
        <w:tab/>
        <w:t>budući da je prema Izvještaju o prihodima i rashodima</w:t>
      </w:r>
      <w:r w:rsidRPr="00E21D95">
        <w:rPr>
          <w:rFonts w:eastAsia="Calibri"/>
          <w:szCs w:val="24"/>
          <w:vertAlign w:val="superscript"/>
        </w:rPr>
        <w:footnoteReference w:id="11"/>
      </w:r>
      <w:r w:rsidRPr="00E21D95">
        <w:t xml:space="preserve"> konačni proračun Europske agencije za sigurnost hrane („Agencija”) za financijsku godinu 2022. iznosio 149 841 816,93 EUR, što je povećanje od 15,99 % u odnosu na 2021. godinu; budući da se proračun Agencije uglavnom</w:t>
      </w:r>
      <w:bookmarkStart w:id="10" w:name="_GoBack"/>
      <w:bookmarkEnd w:id="10"/>
      <w:r w:rsidRPr="00E21D95">
        <w:t xml:space="preserve"> financira iz proračuna Unije;</w:t>
      </w:r>
    </w:p>
    <w:p w:rsidR="00BA17DE" w:rsidRPr="00E21D95" w:rsidRDefault="00BA17DE" w:rsidP="00BA17DE">
      <w:pPr>
        <w:spacing w:after="240"/>
        <w:ind w:left="567" w:hanging="567"/>
        <w:rPr>
          <w:szCs w:val="24"/>
        </w:rPr>
      </w:pPr>
      <w:r w:rsidRPr="00E21D95">
        <w:t>B.</w:t>
      </w:r>
      <w:r w:rsidRPr="00E21D95">
        <w:tab/>
        <w:t>budući da je Revizorski sud u svojem izvješću o godišnjoj računovodstvenoj dokumentaciji Agencije za financijsku godinu 2022. („izvješće Revizorskog suda”) izjavio da je dobio razumno jamstvo da je godišnja računovodstvena dokumentacija Agencije pouzdana te da su temeljne transakcije zakonite i pravilne;</w:t>
      </w:r>
    </w:p>
    <w:p w:rsidR="00BA17DE" w:rsidRPr="00E21D95" w:rsidRDefault="00BA17DE" w:rsidP="00BA17DE">
      <w:pPr>
        <w:widowControl/>
        <w:spacing w:after="240"/>
        <w:ind w:left="567" w:hanging="567"/>
        <w:rPr>
          <w:szCs w:val="24"/>
        </w:rPr>
      </w:pPr>
      <w:r w:rsidRPr="00E21D95">
        <w:t>C.</w:t>
      </w:r>
      <w:r w:rsidRPr="00E21D95">
        <w:tab/>
        <w:t>budući da u pogledu sektora javne nabave Agencije za 2022. nisu prijavljeni problemi zbog kojih bi bile potrebne korektivne mjere te da nema ni tekućih ni nedovršenih korektivnih mjera iz revizija i procjena iz prethodnih godina;</w:t>
      </w:r>
    </w:p>
    <w:p w:rsidR="00BA17DE" w:rsidRPr="00E21D95" w:rsidRDefault="00BA17DE" w:rsidP="00BA17DE">
      <w:pPr>
        <w:widowControl/>
        <w:spacing w:after="240"/>
        <w:ind w:left="567" w:hanging="567"/>
        <w:rPr>
          <w:szCs w:val="24"/>
        </w:rPr>
      </w:pPr>
      <w:r w:rsidRPr="00E21D95">
        <w:t>D.</w:t>
      </w:r>
      <w:r w:rsidRPr="00E21D95">
        <w:tab/>
        <w:t>budući da u pogledu sustava unutarnje kontrole Agencije za 2022. nisu prijavljeni problemi zbog kojih bi bile potrebne korektivne mjere te da nema ni tekućih ni nedovršenih korektivnih mjera iz revizija i procjena iz prethodnih godina;</w:t>
      </w:r>
    </w:p>
    <w:p w:rsidR="00BA17DE" w:rsidRPr="00E21D95" w:rsidRDefault="00BA17DE" w:rsidP="00BA17DE">
      <w:pPr>
        <w:spacing w:after="240"/>
        <w:ind w:left="567" w:hanging="567"/>
        <w:rPr>
          <w:b/>
          <w:i/>
          <w:szCs w:val="24"/>
        </w:rPr>
      </w:pPr>
      <w:r w:rsidRPr="00E21D95">
        <w:rPr>
          <w:b/>
          <w:i/>
        </w:rPr>
        <w:t>Proračunsko i financijsko upravljanje</w:t>
      </w:r>
    </w:p>
    <w:p w:rsidR="00BA17DE" w:rsidRPr="00E21D95" w:rsidRDefault="00BA17DE" w:rsidP="00BA17DE">
      <w:pPr>
        <w:spacing w:after="240"/>
        <w:ind w:left="567" w:hanging="567"/>
        <w:rPr>
          <w:szCs w:val="24"/>
        </w:rPr>
      </w:pPr>
      <w:r w:rsidRPr="00E21D95">
        <w:t>1.</w:t>
      </w:r>
      <w:r w:rsidRPr="00E21D95">
        <w:tab/>
        <w:t>sa zadovoljstvom prima na znanje da je praćenje proračuna tijekom financijske godine 2022. rezultiralo izvršenjem proračuna od 99,95 % za odobrena sredstva za preuzimanje obveza za tu godinu, što je neznatno smanjenje od 0,04 % u odnosu na 2021.; nadalje, prima na znanje da je stopa izvršenja odobrenih sredstava za plaćanje za tekuću godinu iznosila 89,77 %, što je povećanje od 0,92 % u odnosu na 2021.;</w:t>
      </w:r>
    </w:p>
    <w:p w:rsidR="00BA17DE" w:rsidRPr="00E21D95" w:rsidRDefault="00BA17DE" w:rsidP="00BA17DE">
      <w:pPr>
        <w:pStyle w:val="NormalHanging12a"/>
      </w:pPr>
      <w:r w:rsidRPr="00E21D95">
        <w:t>2.</w:t>
      </w:r>
      <w:r w:rsidRPr="00E21D95">
        <w:tab/>
        <w:t xml:space="preserve">konstatira da nedostatak resursa i radnih mjesta za regulatorna tijela za sredstva za zaštitu bilja dovodi do kašnjenja u odobravanju </w:t>
      </w:r>
      <w:proofErr w:type="spellStart"/>
      <w:r w:rsidRPr="00E21D95">
        <w:t>niskorizičnih</w:t>
      </w:r>
      <w:proofErr w:type="spellEnd"/>
      <w:r w:rsidRPr="00E21D95">
        <w:t xml:space="preserve"> aktivnih tvari i ažuriranju metodologija procjene u skladu sa znanstvenim dostignućima, čime bi se dugoročno smanjio utjecaj sredstava za zaštitu bilja na okoliš; poziva Komisiju da poduzme odgovarajuće korake kako bi se osiguralo da Agencija raspolaže dostatnim resursima i radnim mjestima da može državama članicama pružiti potporu da poštuju rokove utvrđene u Uredbi (EZ) br. 1107/2009, da udvostruči broj procjena aktivnih tvari za sredstva za zaštitu bilja godišnje i da utrostruči brzinu izrade metodologija kako bi </w:t>
      </w:r>
      <w:r w:rsidRPr="00E21D95">
        <w:lastRenderedPageBreak/>
        <w:t>procjene rizika bile u skladu s najnovijim znanstvenim dostignućima i društvenim očekivanjima;</w:t>
      </w:r>
    </w:p>
    <w:p w:rsidR="00BA17DE" w:rsidRPr="00E21D95" w:rsidRDefault="00BA17DE" w:rsidP="00BA17DE">
      <w:pPr>
        <w:spacing w:after="240"/>
        <w:ind w:left="567" w:hanging="567"/>
        <w:rPr>
          <w:b/>
          <w:i/>
          <w:szCs w:val="24"/>
        </w:rPr>
      </w:pPr>
      <w:r w:rsidRPr="00E21D95">
        <w:rPr>
          <w:b/>
          <w:i/>
        </w:rPr>
        <w:t>Uspješnost</w:t>
      </w:r>
    </w:p>
    <w:p w:rsidR="00BA17DE" w:rsidRPr="00E21D95" w:rsidRDefault="00BA17DE" w:rsidP="00BA17DE">
      <w:pPr>
        <w:pStyle w:val="NormalHanging12a"/>
      </w:pPr>
      <w:r w:rsidRPr="00E21D95">
        <w:t>3.</w:t>
      </w:r>
      <w:r w:rsidRPr="00E21D95">
        <w:tab/>
        <w:t>pozdravlja činjenicu da Agencija doprinosi sigurnosti lanca hrane i hrane za životinje Unije kao i njezine velike napore da upraviteljima rizikom pruži iscrpne, neovisne i najnovije znanstvene savjete o pitanjima u vezi s lancem hrane te da javnost jasno obavještava o svojim rezultatima i podacima na kojima se ti rezultati temelje, surađujući pritom sa zainteresiranim stranama i institucijskim partnerima u svrhu promicanja koherentnosti i povjerenja u sustav sigurnosti hrane;</w:t>
      </w:r>
    </w:p>
    <w:p w:rsidR="00BA17DE" w:rsidRPr="00E21D95" w:rsidRDefault="00BA17DE" w:rsidP="00BA17DE">
      <w:pPr>
        <w:pStyle w:val="NormalHanging12a"/>
        <w:rPr>
          <w:szCs w:val="24"/>
        </w:rPr>
      </w:pPr>
      <w:r w:rsidRPr="00E21D95">
        <w:t>4.</w:t>
      </w:r>
      <w:r w:rsidRPr="00E21D95">
        <w:tab/>
        <w:t>sa zadovoljstvom primjećuje da je Agencija provela integrirani okvir uspješnosti kojim se resursi i aktivnosti povezuju s ostvarenjima i očekivanim rezultatima, dopunjen nizom ključnih pokazatelja uspješnosti za praćenje i poticanje uspješnosti; nadalje napominje da je uspješnost u odnosu na ciljeve utvrđene u okviru uspješnosti dosegla ukupnu stopu od 96 %; primjećuje da su područja strateških ciljeva br. 2 (Osiguravanje pripravnosti za buduće potrebe analize rizika) i strateškog cilja br. 3 (Osnaživanje ljudi i osiguravanje organizacijske prilagodljivosti) općenito imala dobre rezultate, dok je u području strateškog cilja br. 1 (Pružanje pouzdanih znanstvenih savjeta i izvještavanje o rizicima od polja do stola), na koje je uvelike utjecala provedba novih pravila i postupaka u skladu s Uredbom (EU) 2019/1381</w:t>
      </w:r>
      <w:r w:rsidRPr="00E21D95">
        <w:rPr>
          <w:rStyle w:val="FootnoteReference"/>
          <w:szCs w:val="24"/>
        </w:rPr>
        <w:footnoteReference w:id="12"/>
      </w:r>
      <w:r w:rsidRPr="00E21D95">
        <w:t>, zabilježeno odstupanje od cilja;</w:t>
      </w:r>
    </w:p>
    <w:p w:rsidR="00BA17DE" w:rsidRPr="00E21D95" w:rsidRDefault="00BA17DE" w:rsidP="00BA17DE">
      <w:pPr>
        <w:pStyle w:val="NormalHanging12a"/>
        <w:rPr>
          <w:szCs w:val="24"/>
        </w:rPr>
      </w:pPr>
      <w:r w:rsidRPr="00E21D95">
        <w:t>5.</w:t>
      </w:r>
      <w:r w:rsidRPr="00E21D95">
        <w:tab/>
        <w:t>ističe da je Agencija dovršila 586 od ukupno zacrtanih 701 znanstvenih pitanja u pogledu strateškog cilja br. 1: „Pružanje pouzdanih znanstvenih savjeta i izvještavanje o rizicima od polja do stola” napominje da je, unatoč tomu što je broj riješenih znanstvenih pitanja bio manji od predviđenog, otprilike odgovarao broju novih pitanja zaprimljenih tijekom godine, zbog čega se broj otvorenih pitanja nije povećao;</w:t>
      </w:r>
    </w:p>
    <w:p w:rsidR="00BA17DE" w:rsidRPr="00E21D95" w:rsidRDefault="00BA17DE" w:rsidP="00BA17DE">
      <w:pPr>
        <w:pStyle w:val="NormalHanging12a"/>
        <w:rPr>
          <w:szCs w:val="24"/>
        </w:rPr>
      </w:pPr>
      <w:r w:rsidRPr="00E21D95">
        <w:t>6.</w:t>
      </w:r>
      <w:r w:rsidRPr="00E21D95">
        <w:tab/>
        <w:t>pozdravlja činjenicu da su u području komunikacije o nalazima zabilježeni vrlo pozitivni rezultati, pri čemu je pravodobno objavljivanje u Službenom listu Agencije zadržalo pozitivne rezultate postignute tijekom protekle dvije godine;</w:t>
      </w:r>
    </w:p>
    <w:p w:rsidR="00BA17DE" w:rsidRPr="00E21D95" w:rsidRDefault="00BA17DE" w:rsidP="00BA17DE">
      <w:pPr>
        <w:pStyle w:val="NormalHanging12a"/>
        <w:rPr>
          <w:szCs w:val="24"/>
        </w:rPr>
      </w:pPr>
      <w:r w:rsidRPr="00E21D95">
        <w:t>7.</w:t>
      </w:r>
      <w:r w:rsidRPr="00E21D95">
        <w:tab/>
        <w:t>prima na znanje da je 2022. bila prva puna godina provedbe strategije za 2027., koja je osmišljena kao nastavak strategije za 2020. i usmjerena na provedbu Uredbe (EU) 2019/1381 (kratkoročno) i koja priprema Agenciju za suočavanje s novim dinamičnim politikama EU-a (dugoročno);</w:t>
      </w:r>
    </w:p>
    <w:p w:rsidR="00BA17DE" w:rsidRPr="00E21D95" w:rsidRDefault="00BA17DE" w:rsidP="00BA17DE">
      <w:pPr>
        <w:pStyle w:val="NormalHanging12a"/>
        <w:rPr>
          <w:szCs w:val="24"/>
        </w:rPr>
      </w:pPr>
      <w:r w:rsidRPr="00E21D95">
        <w:t>8.</w:t>
      </w:r>
      <w:r w:rsidRPr="00E21D95">
        <w:tab/>
        <w:t>pozdravlja činjenicu da je Agencija u lipnju 2022. organizirala „Konferenciju ONE – zdravlje, okoliš, društvo”, u kojoj se ističe veza između zdravlja ljudi, životinja i okoliša i koja vodi prema „jednom zdravlju i jednom okolišu”;</w:t>
      </w:r>
    </w:p>
    <w:p w:rsidR="00BA17DE" w:rsidRPr="00E21D95" w:rsidRDefault="00BA17DE" w:rsidP="00BA17DE">
      <w:pPr>
        <w:pStyle w:val="NormalHanging12a"/>
        <w:rPr>
          <w:szCs w:val="24"/>
        </w:rPr>
      </w:pPr>
      <w:r w:rsidRPr="00E21D95">
        <w:t>9.</w:t>
      </w:r>
      <w:r w:rsidRPr="00E21D95">
        <w:tab/>
        <w:t>napominje da je Agencija pokrenula kampanju protiv afričke svinjske kuge u partnerstvu s 18 država članica; nadalje napominje da je Agencija doprinijela osmišljavanju i provedbi strategije EU-a za kemikalije;</w:t>
      </w:r>
    </w:p>
    <w:p w:rsidR="00BA17DE" w:rsidRPr="00E21D95" w:rsidRDefault="00BA17DE" w:rsidP="00BA17DE">
      <w:pPr>
        <w:pStyle w:val="NormalHanging12a"/>
      </w:pPr>
      <w:r w:rsidRPr="00E21D95">
        <w:lastRenderedPageBreak/>
        <w:t>10.</w:t>
      </w:r>
      <w:r w:rsidRPr="00E21D95">
        <w:tab/>
        <w:t>na temelju godišnje strateške ankete koju je Agencija pokrenula radi prikupljanja povratnih informacija od svojih klijenata, partnera i dionika koji su izravno ili neizravno uključeni u iznošenje znanstvenih mišljenja Agencije, konstatira da je sposobnost Agencije da pravodobno pruži savjete i dalje pitanje na koje valja obratiti pozornost;</w:t>
      </w:r>
    </w:p>
    <w:p w:rsidR="00BA17DE" w:rsidRPr="00E21D95" w:rsidRDefault="00BA17DE" w:rsidP="00BA17DE">
      <w:pPr>
        <w:pStyle w:val="NormalHanging12a"/>
        <w:rPr>
          <w:b/>
          <w:i/>
          <w:szCs w:val="24"/>
        </w:rPr>
      </w:pPr>
      <w:r w:rsidRPr="00E21D95">
        <w:rPr>
          <w:b/>
          <w:i/>
        </w:rPr>
        <w:t>Učinkovitost i rezultati</w:t>
      </w:r>
    </w:p>
    <w:p w:rsidR="00BA17DE" w:rsidRPr="00E21D95" w:rsidRDefault="00BA17DE" w:rsidP="00BA17DE">
      <w:pPr>
        <w:pStyle w:val="NormalHanging12a"/>
        <w:rPr>
          <w:szCs w:val="24"/>
        </w:rPr>
      </w:pPr>
      <w:r w:rsidRPr="00E21D95">
        <w:t>11.</w:t>
      </w:r>
      <w:r w:rsidRPr="00E21D95">
        <w:tab/>
        <w:t xml:space="preserve">primjećuje da Agencija surađuje s Europskom agencijom za kemikalije u kontekstu nove strategije EU-a za kemikalije te Europskim centrom za sprečavanje i kontrolu bolesti kako bi razvila sustave za prikupljanje i analizu </w:t>
      </w:r>
      <w:proofErr w:type="spellStart"/>
      <w:r w:rsidRPr="00E21D95">
        <w:t>sekvenciranja</w:t>
      </w:r>
      <w:proofErr w:type="spellEnd"/>
      <w:r w:rsidRPr="00E21D95">
        <w:t xml:space="preserve"> genoma; nadalje napominje da Agencija dijeli ljudske resurse i istraživačke resurse sa sestrinskim agencijama i Zajedničkim istraživačkim centrom; nadalje naglašava horizontalne prednosti suradnje i prilagodbe najboljih praksi;</w:t>
      </w:r>
    </w:p>
    <w:p w:rsidR="00BA17DE" w:rsidRPr="00E21D95" w:rsidRDefault="00BA17DE" w:rsidP="00BA17DE">
      <w:pPr>
        <w:pStyle w:val="NormalHanging12a"/>
        <w:rPr>
          <w:szCs w:val="24"/>
        </w:rPr>
      </w:pPr>
      <w:r w:rsidRPr="00E21D95">
        <w:t>12.</w:t>
      </w:r>
      <w:r w:rsidRPr="00E21D95">
        <w:tab/>
        <w:t>napominje da je Agencija 2022. povećala svoje napore u konsolidiranju provedbe novih postupaka i informatičkih alata, nastojeći postići visoku razinu učinkovitosti i maksimalno povećati sinergije s drugim agencijama; nadalje napominje da za neke rezultate Agencije u pogledu učinkovitosti i rezultata informatičkih alata u razdoblju 2020. – 2022. ciljevi nisu bili postavljeni do kraja 2023.;</w:t>
      </w:r>
    </w:p>
    <w:p w:rsidR="00BA17DE" w:rsidRPr="00E21D95" w:rsidRDefault="00BA17DE" w:rsidP="00BA17DE">
      <w:pPr>
        <w:pStyle w:val="NormalHanging12a"/>
      </w:pPr>
      <w:r w:rsidRPr="00E21D95">
        <w:t>13.</w:t>
      </w:r>
      <w:r w:rsidRPr="00E21D95">
        <w:tab/>
        <w:t xml:space="preserve">pozdravlja činjenicu da Agencija namjerava unaprijediti upravljanje podacima u suradnji s državama članicama i drugim agencijama, čime bi se trebala poboljšati kvaliteta i </w:t>
      </w:r>
      <w:proofErr w:type="spellStart"/>
      <w:r w:rsidRPr="00E21D95">
        <w:t>interoperabilnost</w:t>
      </w:r>
      <w:proofErr w:type="spellEnd"/>
      <w:r w:rsidRPr="00E21D95">
        <w:t xml:space="preserve"> podataka (u skladu s pristupom „jedno zdravlje”);</w:t>
      </w:r>
    </w:p>
    <w:p w:rsidR="00BA17DE" w:rsidRPr="00E21D95" w:rsidRDefault="00BA17DE" w:rsidP="00BA17DE">
      <w:pPr>
        <w:spacing w:after="240"/>
        <w:ind w:left="567" w:hanging="567"/>
        <w:rPr>
          <w:b/>
          <w:i/>
          <w:szCs w:val="24"/>
        </w:rPr>
      </w:pPr>
      <w:r w:rsidRPr="00E21D95">
        <w:rPr>
          <w:b/>
          <w:i/>
        </w:rPr>
        <w:t>Kadrovska politika</w:t>
      </w:r>
    </w:p>
    <w:p w:rsidR="00BA17DE" w:rsidRPr="00E21D95" w:rsidRDefault="00BA17DE" w:rsidP="00BA17DE">
      <w:pPr>
        <w:spacing w:after="240"/>
        <w:ind w:left="567" w:hanging="567"/>
        <w:rPr>
          <w:rFonts w:eastAsia="Calibri"/>
          <w:szCs w:val="24"/>
        </w:rPr>
      </w:pPr>
      <w:r w:rsidRPr="00E21D95">
        <w:t>14.</w:t>
      </w:r>
      <w:r w:rsidRPr="00E21D95">
        <w:tab/>
        <w:t>napominje da je 31. prosinca 2022. razina popunjenosti plana radnih mjesta iznosila 95,55 % te da je na 405 radnih mjesta koja su odobrena u okviru proračuna Unije imenovano pet dužnosnika i 382 privremena djelatnika (u odnosu na 380 odobrenih radnih mjesta u 2021.); također napominje da je 2022. za Agenciju radilo 170 ugovornih djelatnika i 14 upućenih nacionalnih stručnjaka; nadalje napominje da je radi provedbe Uredbe (EU) 2019/1381 Agenciji odobreno 31 novo radno mjesto za 2022. i 15 dodatnih ugovornih djelatnika za razdoblje 2022. – 2024.;</w:t>
      </w:r>
    </w:p>
    <w:p w:rsidR="00BA17DE" w:rsidRPr="00E21D95" w:rsidRDefault="00BA17DE" w:rsidP="00BA17DE">
      <w:pPr>
        <w:widowControl/>
        <w:spacing w:after="240"/>
        <w:ind w:left="567" w:hanging="567"/>
        <w:rPr>
          <w:szCs w:val="24"/>
        </w:rPr>
      </w:pPr>
      <w:r w:rsidRPr="00E21D95">
        <w:t>15.</w:t>
      </w:r>
      <w:r w:rsidRPr="00E21D95">
        <w:tab/>
        <w:t>prima na znanje da je 2022. postignuta rodna ravnoteža među ukupnim osobljem Agencije, pri čemu su 335 od 557 (60,1 %) zaposlenika bile žene, dok je u upravnom odboru Agencije od ukupno 70 članova bilo 37 žena (52,9 %) ; primjećuje da je na višim i rukovodećim položajima veći udio muškaraca (63 %) u usporedbi sa ženama (37 %); poziva Agenciju da pojača napore kako bi se premostio rodni jaz na višim i rukovodećim položajima;</w:t>
      </w:r>
    </w:p>
    <w:p w:rsidR="00BA17DE" w:rsidRPr="00E21D95" w:rsidRDefault="00BA17DE" w:rsidP="00BA17DE">
      <w:pPr>
        <w:spacing w:after="240"/>
        <w:ind w:left="567" w:hanging="567"/>
        <w:rPr>
          <w:rFonts w:eastAsia="Calibri"/>
          <w:szCs w:val="24"/>
        </w:rPr>
      </w:pPr>
      <w:r w:rsidRPr="00E21D95">
        <w:t>16.</w:t>
      </w:r>
      <w:r w:rsidRPr="00E21D95">
        <w:tab/>
        <w:t>prima na znanje da je zdravstvena služba 2022. prijavila tri slučaja sindroma izgaranja na poslu;</w:t>
      </w:r>
      <w:r w:rsidRPr="00E21D95">
        <w:rPr>
          <w:rFonts w:ascii="Segoe UI" w:hAnsi="Segoe UI"/>
          <w:color w:val="374151"/>
        </w:rPr>
        <w:t xml:space="preserve"> </w:t>
      </w:r>
      <w:r w:rsidRPr="00E21D95">
        <w:t>naglašava ključnu važnost održavanja ravnoteže između profesionalnih odgovornosti i privatnog života; poziva Agenciju da nastavi promicati zdravu ravnotežu između poslovnog i privatnog života među osobljem;</w:t>
      </w:r>
    </w:p>
    <w:p w:rsidR="00BA17DE" w:rsidRPr="00E21D95" w:rsidRDefault="00BA17DE" w:rsidP="00BA17DE">
      <w:pPr>
        <w:spacing w:after="240"/>
        <w:ind w:left="567" w:hanging="567"/>
        <w:rPr>
          <w:rFonts w:eastAsia="Calibri"/>
          <w:szCs w:val="24"/>
        </w:rPr>
      </w:pPr>
      <w:r w:rsidRPr="00E21D95">
        <w:t>17.</w:t>
      </w:r>
      <w:r w:rsidRPr="00E21D95">
        <w:tab/>
        <w:t xml:space="preserve">napominje da Agencija podupire vrijednosti mreže agencija EU-a i Povelje o raznolikosti i uključivanju te da radi na njezinu usvajanju što je prije moguće; nadalje prima na znanje sudjelovanje Agencije u radnoj skupini mreže agencija EU-a za raznolikost i uključivanje dijeleći sinergije, informacije i resurse u pogledu raznolikosti i </w:t>
      </w:r>
      <w:proofErr w:type="spellStart"/>
      <w:r w:rsidRPr="00E21D95">
        <w:t>uključivosti</w:t>
      </w:r>
      <w:proofErr w:type="spellEnd"/>
      <w:r w:rsidRPr="00E21D95">
        <w:t xml:space="preserve">; osim toga, provedene su neke interne inicijative, kao što su nova </w:t>
      </w:r>
      <w:r w:rsidRPr="00E21D95">
        <w:lastRenderedPageBreak/>
        <w:t>internetska stranica namijenjena karijeri i videozapis o radu u Agenciji s posebnom temom o raznolikosti i uključenosti;</w:t>
      </w:r>
    </w:p>
    <w:p w:rsidR="00BA17DE" w:rsidRPr="00E21D95" w:rsidRDefault="00BA17DE" w:rsidP="00BA17DE">
      <w:pPr>
        <w:spacing w:after="240"/>
        <w:ind w:left="567" w:hanging="567"/>
        <w:rPr>
          <w:rFonts w:eastAsia="Calibri"/>
          <w:szCs w:val="24"/>
        </w:rPr>
      </w:pPr>
      <w:r w:rsidRPr="00E21D95">
        <w:t>18.</w:t>
      </w:r>
      <w:r w:rsidRPr="00E21D95">
        <w:tab/>
        <w:t>primjećuje da je Agencija usvojila „Smjernice za provedbu pomoći za osobe s invaliditetom” kojima se promiče socijalna politika i jednako postupanje na radnom mjestu; nadalje napominje da je zgrada Agencija projektirana u skladu s talijanskim propisima o pristupačnosti za osobe s invaliditetom;</w:t>
      </w:r>
    </w:p>
    <w:p w:rsidR="00BA17DE" w:rsidRPr="00E21D95" w:rsidRDefault="00BA17DE" w:rsidP="00BA17DE">
      <w:pPr>
        <w:spacing w:after="240"/>
        <w:ind w:left="567" w:hanging="567"/>
        <w:rPr>
          <w:rFonts w:eastAsia="Calibri"/>
          <w:szCs w:val="24"/>
        </w:rPr>
      </w:pPr>
      <w:r w:rsidRPr="00E21D95">
        <w:t>19.</w:t>
      </w:r>
      <w:r w:rsidRPr="00E21D95">
        <w:tab/>
        <w:t>napominje da je 1. siječnja 2022. uvedena nova organizacijska struktura osmišljena za potporu provedbi Uredbe (EU) 2019/1381 i ambicija strategije Agencije za 2027.;</w:t>
      </w:r>
    </w:p>
    <w:p w:rsidR="00BA17DE" w:rsidRPr="00E21D95" w:rsidRDefault="00BA17DE" w:rsidP="00BA17DE">
      <w:pPr>
        <w:spacing w:after="240"/>
        <w:ind w:left="567" w:hanging="567"/>
        <w:rPr>
          <w:b/>
          <w:i/>
          <w:szCs w:val="24"/>
        </w:rPr>
      </w:pPr>
      <w:r w:rsidRPr="00E21D95">
        <w:rPr>
          <w:b/>
          <w:i/>
        </w:rPr>
        <w:t>Sprečavanje i postupanje u slučaju sukoba interesa te transparentnost</w:t>
      </w:r>
    </w:p>
    <w:p w:rsidR="00BA17DE" w:rsidRPr="00E21D95" w:rsidRDefault="00BA17DE" w:rsidP="00BA17DE">
      <w:pPr>
        <w:spacing w:after="240"/>
        <w:ind w:left="567" w:hanging="567"/>
        <w:rPr>
          <w:rFonts w:eastAsia="Calibri"/>
          <w:szCs w:val="24"/>
        </w:rPr>
      </w:pPr>
      <w:r w:rsidRPr="00E21D95">
        <w:t>20.</w:t>
      </w:r>
      <w:r w:rsidRPr="00E21D95">
        <w:tab/>
        <w:t>napominje da su upravni odbor i operativno rukovodstvo Agencije potpisali izjavu o sukobu interesa te da je ona objavljena i dostupna na internetskoj stranici; nadalje napominje da su životopisi članova i zamjenika članova upravnog odbora trebali biti objavljeni do kraja 2023.;</w:t>
      </w:r>
    </w:p>
    <w:p w:rsidR="00BA17DE" w:rsidRPr="00E21D95" w:rsidRDefault="00BA17DE" w:rsidP="00BA17DE">
      <w:pPr>
        <w:spacing w:after="240"/>
        <w:ind w:left="567" w:hanging="567"/>
        <w:rPr>
          <w:rFonts w:eastAsia="Calibri"/>
          <w:szCs w:val="24"/>
        </w:rPr>
      </w:pPr>
      <w:r w:rsidRPr="00E21D95">
        <w:t>21.</w:t>
      </w:r>
      <w:r w:rsidRPr="00E21D95">
        <w:tab/>
        <w:t>primjećuje da je Agencija 2022. utvrdila sedam slučajeva sukoba interesa na razini godišnjih izjava o financijskim interesima koje se odnose na vanjske stručnjake te da je te sukobe riješila; napominje da im je Agencija zabranila da sudjeluju u znanstvenom radu;</w:t>
      </w:r>
    </w:p>
    <w:p w:rsidR="00BA17DE" w:rsidRPr="00E21D95" w:rsidRDefault="00BA17DE" w:rsidP="00BA17DE">
      <w:pPr>
        <w:spacing w:after="240"/>
        <w:ind w:left="567" w:hanging="567"/>
        <w:rPr>
          <w:rFonts w:eastAsia="Calibri"/>
          <w:szCs w:val="24"/>
        </w:rPr>
      </w:pPr>
      <w:r w:rsidRPr="00E21D95">
        <w:t>22.</w:t>
      </w:r>
      <w:r w:rsidRPr="00E21D95">
        <w:tab/>
        <w:t>prima na znanje da Agencija ima uspostavljen dobrovoljni kodeks ponašanja u skladu s kojim se članovi upravnog odbora obvezuju da će Agenciju obavještavati o svojim profesionalnim aktivnostima u razdoblju od dvije godine nakon isteka njihova mandata;</w:t>
      </w:r>
    </w:p>
    <w:p w:rsidR="00BA17DE" w:rsidRPr="00E21D95" w:rsidRDefault="00BA17DE" w:rsidP="00BA17DE">
      <w:pPr>
        <w:spacing w:after="240"/>
        <w:ind w:left="567" w:hanging="567"/>
        <w:rPr>
          <w:rFonts w:eastAsia="Calibri"/>
          <w:szCs w:val="24"/>
        </w:rPr>
      </w:pPr>
      <w:r w:rsidRPr="00E21D95">
        <w:t>23.</w:t>
      </w:r>
      <w:r w:rsidRPr="00E21D95">
        <w:tab/>
        <w:t>prima na znanje da Agencija do prvog tromjesečja 2024. planira donijeti novi standardni postupak nakon prestanka radnog odnosa, koji bi uključivao kriterije i postupak za prekid pristupa povjerljivim informacijama za osoblje nakon prestanka službe te zahtjeve za praćenje i provedbu i standarde transparentnosti;</w:t>
      </w:r>
    </w:p>
    <w:p w:rsidR="00BA17DE" w:rsidRPr="00E21D95" w:rsidRDefault="00BA17DE" w:rsidP="00BA17DE">
      <w:pPr>
        <w:spacing w:after="240"/>
        <w:ind w:left="567" w:hanging="567"/>
        <w:rPr>
          <w:rFonts w:eastAsia="Calibri"/>
          <w:szCs w:val="24"/>
        </w:rPr>
      </w:pPr>
      <w:r w:rsidRPr="00E21D95">
        <w:t>24.</w:t>
      </w:r>
      <w:r w:rsidRPr="00E21D95">
        <w:tab/>
        <w:t>napominje da je Agencija uspostavila strategiju za borbu protiv prijevara, razvijenu u bliskoj suradnji s Europskim uredom za borbu protiv prijevara, koja je popraćena povezanim provedbenim pravilima i akcijskim planom za sprečavanje prijevara i korupcije;</w:t>
      </w:r>
    </w:p>
    <w:p w:rsidR="00BA17DE" w:rsidRPr="00E21D95" w:rsidRDefault="00BA17DE" w:rsidP="00BA17DE">
      <w:pPr>
        <w:spacing w:after="240"/>
        <w:ind w:left="567" w:hanging="567"/>
        <w:rPr>
          <w:b/>
          <w:i/>
          <w:szCs w:val="24"/>
        </w:rPr>
      </w:pPr>
      <w:r w:rsidRPr="00E21D95">
        <w:rPr>
          <w:b/>
          <w:i/>
        </w:rPr>
        <w:t>Ostale napomene</w:t>
      </w:r>
    </w:p>
    <w:p w:rsidR="00BA17DE" w:rsidRPr="00E21D95" w:rsidRDefault="00BA17DE" w:rsidP="00BA17DE">
      <w:pPr>
        <w:spacing w:after="240"/>
        <w:ind w:left="567" w:hanging="567"/>
        <w:rPr>
          <w:szCs w:val="24"/>
        </w:rPr>
      </w:pPr>
      <w:r w:rsidRPr="00E21D95">
        <w:t>25.</w:t>
      </w:r>
      <w:r w:rsidRPr="00E21D95">
        <w:tab/>
        <w:t>primjećuje da je u lipnju 2022. Služba za unutarnju reviziju (IAS) objavila revizijsko izvješće o informacijskoj sigurnosti i oporavku od katastrofa, s ciljem procjene primjerenosti oblika i provedbe upravljanja, te je utvrdila dva opažanja i tri važne primjedbe o upravljanju sigurnošću informacijskih tehnologija; napominje da je Agencija prihvatila te preporuke IAS-a i da trenutačno provodi akcijski plan;</w:t>
      </w:r>
    </w:p>
    <w:p w:rsidR="00BA17DE" w:rsidRPr="00E21D95" w:rsidRDefault="00BA17DE" w:rsidP="00BA17DE">
      <w:pPr>
        <w:pStyle w:val="NormalHanging12a"/>
      </w:pPr>
      <w:r w:rsidRPr="00E21D95">
        <w:t>26.</w:t>
      </w:r>
      <w:r w:rsidRPr="00E21D95">
        <w:tab/>
        <w:t>pozdravlja napore koje Agencija ulaže u povećanje svoje vidljivosti i prisutnosti na internetu s obzirom da već drugu godinu povodi kampanju #</w:t>
      </w:r>
      <w:proofErr w:type="spellStart"/>
      <w:r w:rsidRPr="00E21D95">
        <w:t>EUChooseSafeFood</w:t>
      </w:r>
      <w:proofErr w:type="spellEnd"/>
      <w:r w:rsidRPr="00E21D95">
        <w:t xml:space="preserve"> u partnerstvu s nadležnim tijelima država članica s ciljem da na pristupačan način objasni znanost koja stoji iza sigurnosti hrane u Uniji te organizaciju konferencije „ONE – zdravlje, okoliš, društvo” u partnerstvu s ostalim četirima agencijama odbora ENVI, što je dovelo do pokretanja zajedničkog kanala na </w:t>
      </w:r>
      <w:proofErr w:type="spellStart"/>
      <w:r w:rsidRPr="00E21D95">
        <w:t>Instagramu</w:t>
      </w:r>
      <w:proofErr w:type="spellEnd"/>
      <w:r w:rsidRPr="00E21D95">
        <w:t xml:space="preserve"> pod nazivom „Jedno zdravlje, jedan okoliš”; nadalje prima na znanje da je Agencija uložila u višejezičnost </w:t>
      </w:r>
      <w:r w:rsidRPr="00E21D95">
        <w:lastRenderedPageBreak/>
        <w:t xml:space="preserve">svojih internetskih stranica uz pomoć umjetne inteligencije preko mini programa Europske komisije </w:t>
      </w:r>
      <w:proofErr w:type="spellStart"/>
      <w:r w:rsidRPr="00E21D95">
        <w:t>eTranslation</w:t>
      </w:r>
      <w:proofErr w:type="spellEnd"/>
      <w:r w:rsidRPr="00E21D95">
        <w:t>; osim toga, prima na znanje da je Agencija 2022. nastavila ulagati u razvoj svojeg portala „</w:t>
      </w:r>
      <w:proofErr w:type="spellStart"/>
      <w:r w:rsidRPr="00E21D95">
        <w:t>OpenEFSA</w:t>
      </w:r>
      <w:proofErr w:type="spellEnd"/>
      <w:r w:rsidRPr="00E21D95">
        <w:t>”, u skladu sa zahtjevima Uredbe (EU) 2019/1381;</w:t>
      </w:r>
    </w:p>
    <w:p w:rsidR="00BA17DE" w:rsidRPr="00E21D95" w:rsidRDefault="00BA17DE" w:rsidP="00BA17DE">
      <w:pPr>
        <w:spacing w:after="240"/>
        <w:ind w:left="567" w:hanging="567"/>
        <w:rPr>
          <w:rFonts w:eastAsia="Calibri"/>
          <w:szCs w:val="24"/>
        </w:rPr>
      </w:pPr>
      <w:r w:rsidRPr="00E21D95">
        <w:t>27.</w:t>
      </w:r>
      <w:r w:rsidRPr="00E21D95">
        <w:tab/>
        <w:t>pozdravlja činjenicu da je Agencija posljednjih nekoliko godina jedna od agencija certificiranih u okviru EMAS-a; prima na znanje da, ovisno o vrsti nabave, Agencija primjenjuje standarde „zelene javne nabave” kao minimalne zahtjeve natječajne specifikacije u kriterijima za odabir i/ili dodjelu;</w:t>
      </w:r>
    </w:p>
    <w:p w:rsidR="00BA17DE" w:rsidRPr="00E21D95" w:rsidRDefault="00BA17DE" w:rsidP="00BA17DE">
      <w:pPr>
        <w:spacing w:after="240"/>
        <w:jc w:val="center"/>
      </w:pPr>
      <w:r w:rsidRPr="00E21D95">
        <w:t>°</w:t>
      </w:r>
    </w:p>
    <w:p w:rsidR="00BA17DE" w:rsidRPr="00E21D95" w:rsidRDefault="00BA17DE" w:rsidP="00BA17DE">
      <w:pPr>
        <w:pStyle w:val="NormalCenter12a"/>
      </w:pPr>
      <w:r w:rsidRPr="00E21D95">
        <w:t>°</w:t>
      </w:r>
      <w:r w:rsidRPr="00E21D95">
        <w:tab/>
        <w:t>°</w:t>
      </w:r>
    </w:p>
    <w:p w:rsidR="00BA17DE" w:rsidRPr="00E21D95" w:rsidRDefault="00BA17DE" w:rsidP="00E21D95">
      <w:pPr>
        <w:ind w:left="567" w:hanging="567"/>
      </w:pPr>
      <w:r w:rsidRPr="00E21D95">
        <w:t>28.</w:t>
      </w:r>
      <w:r w:rsidRPr="00E21D95">
        <w:tab/>
        <w:t xml:space="preserve">u vezi s drugim primjedbama priloženima Odluci o razrješnici i horizontalne naravi upućuje na svoju Rezoluciju od </w:t>
      </w:r>
      <w:r w:rsidR="00C63E92">
        <w:t>11. travnja 2024.</w:t>
      </w:r>
      <w:r w:rsidRPr="00E21D95">
        <w:rPr>
          <w:rStyle w:val="FootnoteReference"/>
        </w:rPr>
        <w:footnoteReference w:id="13"/>
      </w:r>
      <w:r w:rsidRPr="00E21D95">
        <w:t xml:space="preserve"> o uspješnosti, financijskom upravljanju i nadzoru agencija.</w:t>
      </w:r>
    </w:p>
    <w:sectPr w:rsidR="00BA17DE" w:rsidRPr="00E21D95" w:rsidSect="00A85B8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C98" w:rsidRPr="00A85B89" w:rsidRDefault="004F1C98">
      <w:r w:rsidRPr="00A85B89">
        <w:separator/>
      </w:r>
    </w:p>
  </w:endnote>
  <w:endnote w:type="continuationSeparator" w:id="0">
    <w:p w:rsidR="004F1C98" w:rsidRPr="00A85B89" w:rsidRDefault="004F1C98">
      <w:r w:rsidRPr="00A85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7DE" w:rsidRPr="00A85B89" w:rsidRDefault="00BA17DE" w:rsidP="00DA438F">
    <w:pPr>
      <w:pStyle w:val="EPFooter"/>
    </w:pPr>
    <w:r w:rsidRPr="00A85B89">
      <w:t>PE</w:t>
    </w:r>
    <w:r w:rsidRPr="00A85B89">
      <w:rPr>
        <w:rStyle w:val="HideTWBExt"/>
      </w:rPr>
      <w:t>&lt;</w:t>
    </w:r>
    <w:proofErr w:type="spellStart"/>
    <w:r w:rsidRPr="00A85B89">
      <w:rPr>
        <w:rStyle w:val="HideTWBExt"/>
      </w:rPr>
      <w:t>NoPE</w:t>
    </w:r>
    <w:proofErr w:type="spellEnd"/>
    <w:r w:rsidRPr="00A85B89">
      <w:rPr>
        <w:rStyle w:val="HideTWBExt"/>
      </w:rPr>
      <w:t>&gt;</w:t>
    </w:r>
    <w:r w:rsidRPr="00A85B89">
      <w:t>753.519</w:t>
    </w:r>
    <w:r w:rsidRPr="00A85B89">
      <w:rPr>
        <w:rStyle w:val="HideTWBExt"/>
      </w:rPr>
      <w:t>&lt;/</w:t>
    </w:r>
    <w:proofErr w:type="spellStart"/>
    <w:r w:rsidRPr="00A85B89">
      <w:rPr>
        <w:rStyle w:val="HideTWBExt"/>
      </w:rPr>
      <w:t>NoPE</w:t>
    </w:r>
    <w:proofErr w:type="spellEnd"/>
    <w:r w:rsidRPr="00A85B89">
      <w:rPr>
        <w:rStyle w:val="HideTWBExt"/>
      </w:rPr>
      <w:t>&gt;&lt;Version&gt;</w:t>
    </w:r>
    <w:r w:rsidRPr="00A85B89">
      <w:t>v03-00</w:t>
    </w:r>
    <w:r w:rsidRPr="00A85B89">
      <w:rPr>
        <w:rStyle w:val="HideTWBExt"/>
      </w:rPr>
      <w:t>&lt;/</w:t>
    </w:r>
    <w:proofErr w:type="spellStart"/>
    <w:r w:rsidRPr="00A85B89">
      <w:rPr>
        <w:rStyle w:val="HideTWBExt"/>
      </w:rPr>
      <w:t>Version</w:t>
    </w:r>
    <w:proofErr w:type="spellEnd"/>
    <w:r w:rsidRPr="00A85B89">
      <w:rPr>
        <w:rStyle w:val="HideTWBExt"/>
      </w:rPr>
      <w:t>&gt;</w:t>
    </w:r>
    <w:r w:rsidRPr="00A85B89">
      <w:tab/>
    </w:r>
    <w:r w:rsidRPr="00A85B89">
      <w:fldChar w:fldCharType="begin"/>
    </w:r>
    <w:r w:rsidRPr="00A85B89">
      <w:instrText xml:space="preserve"> PAGE  \* MERGEFORMAT </w:instrText>
    </w:r>
    <w:r w:rsidRPr="00A85B89">
      <w:fldChar w:fldCharType="separate"/>
    </w:r>
    <w:r w:rsidR="00A85B89" w:rsidRPr="00A85B89">
      <w:rPr>
        <w:noProof/>
      </w:rPr>
      <w:t>2</w:t>
    </w:r>
    <w:r w:rsidRPr="00A85B89">
      <w:fldChar w:fldCharType="end"/>
    </w:r>
    <w:r w:rsidRPr="00A85B89">
      <w:t>/</w:t>
    </w:r>
    <w:r w:rsidR="00032483">
      <w:fldChar w:fldCharType="begin"/>
    </w:r>
    <w:r w:rsidR="00032483">
      <w:instrText xml:space="preserve"> NUMPAGES  \* MERGEFORMAT </w:instrText>
    </w:r>
    <w:r w:rsidR="00032483">
      <w:fldChar w:fldCharType="separate"/>
    </w:r>
    <w:r w:rsidR="00A85B89" w:rsidRPr="00A85B89">
      <w:rPr>
        <w:noProof/>
      </w:rPr>
      <w:t>4</w:t>
    </w:r>
    <w:r w:rsidR="00032483">
      <w:rPr>
        <w:noProof/>
      </w:rPr>
      <w:fldChar w:fldCharType="end"/>
    </w:r>
    <w:r w:rsidRPr="00A85B89">
      <w:tab/>
    </w:r>
    <w:r w:rsidRPr="00A85B89">
      <w:rPr>
        <w:rStyle w:val="HideTWBExt"/>
      </w:rPr>
      <w:t>&lt;PathFdR&gt;</w:t>
    </w:r>
    <w:r w:rsidRPr="00A85B89">
      <w:t>RR\1299220HR.docx</w:t>
    </w:r>
    <w:r w:rsidRPr="00A85B89">
      <w:rPr>
        <w:rStyle w:val="HideTWBExt"/>
      </w:rPr>
      <w:t>&lt;/</w:t>
    </w:r>
    <w:proofErr w:type="spellStart"/>
    <w:r w:rsidRPr="00A85B89">
      <w:rPr>
        <w:rStyle w:val="HideTWBExt"/>
      </w:rPr>
      <w:t>PathFdR</w:t>
    </w:r>
    <w:proofErr w:type="spellEnd"/>
    <w:r w:rsidRPr="00A85B89">
      <w:rPr>
        <w:rStyle w:val="HideTWBExt"/>
      </w:rPr>
      <w:t>&gt;</w:t>
    </w:r>
  </w:p>
  <w:p w:rsidR="00BA17DE" w:rsidRPr="00A85B89" w:rsidRDefault="00BA17DE" w:rsidP="00DA438F">
    <w:pPr>
      <w:pStyle w:val="EPFooter2"/>
    </w:pPr>
    <w:r w:rsidRPr="00A85B89">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7DE" w:rsidRPr="00A85B89" w:rsidRDefault="00BA17DE" w:rsidP="00DA438F">
    <w:pPr>
      <w:pStyle w:val="EPFooter"/>
    </w:pPr>
    <w:r w:rsidRPr="00A85B89">
      <w:rPr>
        <w:rStyle w:val="HideTWBExt"/>
      </w:rPr>
      <w:t>&lt;PathFdR&gt;</w:t>
    </w:r>
    <w:r w:rsidRPr="00A85B89">
      <w:t>RR\1299220HR.docx</w:t>
    </w:r>
    <w:r w:rsidRPr="00A85B89">
      <w:rPr>
        <w:rStyle w:val="HideTWBExt"/>
      </w:rPr>
      <w:t>&lt;/</w:t>
    </w:r>
    <w:proofErr w:type="spellStart"/>
    <w:r w:rsidRPr="00A85B89">
      <w:rPr>
        <w:rStyle w:val="HideTWBExt"/>
      </w:rPr>
      <w:t>PathFdR</w:t>
    </w:r>
    <w:proofErr w:type="spellEnd"/>
    <w:r w:rsidRPr="00A85B89">
      <w:rPr>
        <w:rStyle w:val="HideTWBExt"/>
      </w:rPr>
      <w:t>&gt;</w:t>
    </w:r>
    <w:r w:rsidRPr="00A85B89">
      <w:tab/>
    </w:r>
    <w:r w:rsidRPr="00A85B89">
      <w:tab/>
      <w:t>PE</w:t>
    </w:r>
    <w:r w:rsidRPr="00A85B89">
      <w:rPr>
        <w:rStyle w:val="HideTWBExt"/>
      </w:rPr>
      <w:t>&lt;</w:t>
    </w:r>
    <w:proofErr w:type="spellStart"/>
    <w:r w:rsidRPr="00A85B89">
      <w:rPr>
        <w:rStyle w:val="HideTWBExt"/>
      </w:rPr>
      <w:t>NoPE</w:t>
    </w:r>
    <w:proofErr w:type="spellEnd"/>
    <w:r w:rsidRPr="00A85B89">
      <w:rPr>
        <w:rStyle w:val="HideTWBExt"/>
      </w:rPr>
      <w:t>&gt;</w:t>
    </w:r>
    <w:r w:rsidRPr="00A85B89">
      <w:t>753.519</w:t>
    </w:r>
    <w:r w:rsidRPr="00A85B89">
      <w:rPr>
        <w:rStyle w:val="HideTWBExt"/>
      </w:rPr>
      <w:t>&lt;/</w:t>
    </w:r>
    <w:proofErr w:type="spellStart"/>
    <w:r w:rsidRPr="00A85B89">
      <w:rPr>
        <w:rStyle w:val="HideTWBExt"/>
      </w:rPr>
      <w:t>NoPE</w:t>
    </w:r>
    <w:proofErr w:type="spellEnd"/>
    <w:r w:rsidRPr="00A85B89">
      <w:rPr>
        <w:rStyle w:val="HideTWBExt"/>
      </w:rPr>
      <w:t>&gt;&lt;Version&gt;</w:t>
    </w:r>
    <w:r w:rsidRPr="00A85B89">
      <w:t>v03-00</w:t>
    </w:r>
    <w:r w:rsidRPr="00A85B89">
      <w:rPr>
        <w:rStyle w:val="HideTWBExt"/>
      </w:rPr>
      <w:t>&lt;/</w:t>
    </w:r>
    <w:proofErr w:type="spellStart"/>
    <w:r w:rsidRPr="00A85B89">
      <w:rPr>
        <w:rStyle w:val="HideTWBExt"/>
      </w:rPr>
      <w:t>Version</w:t>
    </w:r>
    <w:proofErr w:type="spellEnd"/>
    <w:r w:rsidRPr="00A85B89">
      <w:rPr>
        <w:rStyle w:val="HideTWBExt"/>
      </w:rPr>
      <w:t>&gt;</w:t>
    </w:r>
  </w:p>
  <w:p w:rsidR="00BA17DE" w:rsidRPr="00A85B89" w:rsidRDefault="00BA17DE" w:rsidP="00DA438F">
    <w:pPr>
      <w:pStyle w:val="EPFooter2"/>
    </w:pPr>
    <w:r w:rsidRPr="00A85B89">
      <w:t>HR</w:t>
    </w:r>
    <w:r w:rsidRPr="00A85B89">
      <w:tab/>
    </w:r>
    <w:r w:rsidRPr="00A85B89">
      <w:rPr>
        <w:b w:val="0"/>
        <w:i/>
        <w:color w:val="C0C0C0"/>
        <w:sz w:val="22"/>
      </w:rPr>
      <w:t>Ujedinjena u raznolikosti</w:t>
    </w:r>
    <w:r w:rsidRPr="00A85B89">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B8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B8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B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C98" w:rsidRPr="00A85B89" w:rsidRDefault="004F1C98">
      <w:r w:rsidRPr="00A85B89">
        <w:separator/>
      </w:r>
    </w:p>
  </w:footnote>
  <w:footnote w:type="continuationSeparator" w:id="0">
    <w:p w:rsidR="004F1C98" w:rsidRPr="00A85B89" w:rsidRDefault="004F1C98">
      <w:r w:rsidRPr="00A85B89">
        <w:continuationSeparator/>
      </w:r>
    </w:p>
  </w:footnote>
  <w:footnote w:id="1">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C, C/2023/594, 27.10.2023.</w:t>
      </w:r>
    </w:p>
  </w:footnote>
  <w:footnote w:id="2">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C, C/2023/112, 12.10.2023.</w:t>
      </w:r>
    </w:p>
  </w:footnote>
  <w:footnote w:id="3">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L 193, 30.7.2018., str. 1.</w:t>
      </w:r>
    </w:p>
  </w:footnote>
  <w:footnote w:id="4">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L 31, 1.2.2002., str. 1.</w:t>
      </w:r>
    </w:p>
  </w:footnote>
  <w:footnote w:id="5">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L 122, 10.5.2019., str. 1.</w:t>
      </w:r>
    </w:p>
  </w:footnote>
  <w:footnote w:id="6">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C, C/2023/594, 27.10.2023.</w:t>
      </w:r>
    </w:p>
  </w:footnote>
  <w:footnote w:id="7">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C, C/2023/112, 12.10.2023.</w:t>
      </w:r>
    </w:p>
  </w:footnote>
  <w:footnote w:id="8">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L 193, 30.7.2018., str. 1.</w:t>
      </w:r>
    </w:p>
  </w:footnote>
  <w:footnote w:id="9">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L 31, 1.2.2002., str. 1.</w:t>
      </w:r>
    </w:p>
  </w:footnote>
  <w:footnote w:id="10">
    <w:p w:rsidR="00BA17DE" w:rsidRPr="00A85B89" w:rsidRDefault="00BA17DE" w:rsidP="00A85B89">
      <w:pPr>
        <w:pStyle w:val="FootnoteText"/>
        <w:ind w:left="567" w:hanging="567"/>
        <w:rPr>
          <w:sz w:val="24"/>
          <w:szCs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L 122, 10.5.2019., str. 1.</w:t>
      </w:r>
    </w:p>
  </w:footnote>
  <w:footnote w:id="11">
    <w:p w:rsidR="00BA17DE" w:rsidRPr="00A85B89" w:rsidRDefault="00BA17DE" w:rsidP="00A85B89">
      <w:pPr>
        <w:pStyle w:val="FootnoteText"/>
        <w:ind w:left="567" w:hanging="567"/>
        <w:rPr>
          <w:rFonts w:eastAsia="Calibri"/>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SL C 178, 29.4.2022., str. 1.</w:t>
      </w:r>
    </w:p>
  </w:footnote>
  <w:footnote w:id="12">
    <w:p w:rsidR="00BA17DE" w:rsidRPr="00A85B89" w:rsidRDefault="00BA17DE" w:rsidP="00A85B89">
      <w:pPr>
        <w:pStyle w:val="FootnoteText"/>
        <w:ind w:left="567" w:hanging="567"/>
        <w:rPr>
          <w:sz w:val="24"/>
          <w:lang w:val="hr-HR"/>
        </w:rPr>
      </w:pPr>
      <w:r w:rsidRPr="00A85B89">
        <w:rPr>
          <w:rStyle w:val="FootnoteReference"/>
          <w:sz w:val="24"/>
          <w:lang w:val="hr-HR"/>
        </w:rPr>
        <w:footnoteRef/>
      </w:r>
      <w:r w:rsidR="00A85B89" w:rsidRPr="00A85B89">
        <w:rPr>
          <w:sz w:val="24"/>
          <w:lang w:val="hr-HR"/>
        </w:rPr>
        <w:t xml:space="preserve"> </w:t>
      </w:r>
      <w:r w:rsidR="00A85B89" w:rsidRPr="00A85B89">
        <w:rPr>
          <w:sz w:val="24"/>
          <w:lang w:val="hr-HR"/>
        </w:rPr>
        <w:tab/>
      </w:r>
      <w:r w:rsidRPr="00A85B89">
        <w:rPr>
          <w:sz w:val="24"/>
          <w:lang w:val="hr-HR"/>
        </w:rPr>
        <w:t>Uredba (EU) 2019/1381 Europskog parlamenta i Vijeća od 20. lipnja 2019. o transparentnosti i održivosti procjene rizika EU-a u prehrambenom lancu i o izmjeni uredbi (EZ) br. 178/2002, (EZ) br. 1829/2003, (EZ) br. 1831/2003, (EZ) br. 2065/2003, (EZ) br. 1935/2004, (EZ) br. 1331/2008, (EZ) br. 1107/2009 i (EU) 2015/2283 te Direktive 2001/18/EZ (SL L 231, 6.9.2019., str. 1.).</w:t>
      </w:r>
    </w:p>
  </w:footnote>
  <w:footnote w:id="13">
    <w:p w:rsidR="00BA17DE" w:rsidRPr="00A85B89" w:rsidRDefault="00BA17DE" w:rsidP="00A85B89">
      <w:pPr>
        <w:pStyle w:val="FootnoteText"/>
        <w:ind w:left="567" w:hanging="567"/>
        <w:rPr>
          <w:sz w:val="24"/>
          <w:szCs w:val="24"/>
          <w:lang w:val="hr-HR"/>
        </w:rPr>
      </w:pPr>
      <w:r w:rsidRPr="00A85B89">
        <w:rPr>
          <w:rStyle w:val="FootnoteReference"/>
          <w:sz w:val="24"/>
          <w:szCs w:val="24"/>
          <w:lang w:val="hr-HR"/>
        </w:rPr>
        <w:footnoteRef/>
      </w:r>
      <w:r w:rsidR="00A85B89" w:rsidRPr="00A85B89">
        <w:rPr>
          <w:sz w:val="24"/>
          <w:lang w:val="hr-HR"/>
        </w:rPr>
        <w:t xml:space="preserve"> </w:t>
      </w:r>
      <w:r w:rsidR="00A85B89" w:rsidRPr="00A85B89">
        <w:rPr>
          <w:sz w:val="24"/>
          <w:lang w:val="hr-HR"/>
        </w:rPr>
        <w:tab/>
      </w:r>
      <w:r w:rsidRPr="00A85B89">
        <w:rPr>
          <w:sz w:val="24"/>
          <w:lang w:val="hr-HR"/>
        </w:rPr>
        <w:t>Us</w:t>
      </w:r>
      <w:r w:rsidR="003506AD">
        <w:rPr>
          <w:sz w:val="24"/>
          <w:lang w:val="hr-HR"/>
        </w:rPr>
        <w:t>vojeni tekstovi, P9_TA(2024)0280</w:t>
      </w:r>
      <w:r w:rsidRPr="00A85B89">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B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B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85B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HR"/>
    <w:docVar w:name="dvnumam" w:val="0"/>
    <w:docVar w:name="dvpe" w:val="753.519"/>
    <w:docVar w:name="dvrapporteur" w:val="Izvjestitelj: "/>
    <w:docVar w:name="dvtitre" w:val="Odluka Europskog parlamenta od .... 2024. o razrješnici za izvršenje proračuna Europske agencije za sigurnost hrane za financijsku godinu 2022.(2023/2151(DEC))"/>
  </w:docVars>
  <w:rsids>
    <w:rsidRoot w:val="004F1C98"/>
    <w:rsid w:val="00002272"/>
    <w:rsid w:val="00032483"/>
    <w:rsid w:val="00064002"/>
    <w:rsid w:val="000677B9"/>
    <w:rsid w:val="000831BA"/>
    <w:rsid w:val="000A42CC"/>
    <w:rsid w:val="000E7DD9"/>
    <w:rsid w:val="0010095E"/>
    <w:rsid w:val="00125B37"/>
    <w:rsid w:val="00187494"/>
    <w:rsid w:val="001F32AE"/>
    <w:rsid w:val="002767FF"/>
    <w:rsid w:val="002B18FE"/>
    <w:rsid w:val="002B5493"/>
    <w:rsid w:val="00343214"/>
    <w:rsid w:val="003506AD"/>
    <w:rsid w:val="00361C00"/>
    <w:rsid w:val="00395FA1"/>
    <w:rsid w:val="003E15D4"/>
    <w:rsid w:val="00411CCE"/>
    <w:rsid w:val="0041666E"/>
    <w:rsid w:val="00421060"/>
    <w:rsid w:val="00471C19"/>
    <w:rsid w:val="004867E3"/>
    <w:rsid w:val="00494A28"/>
    <w:rsid w:val="004C0004"/>
    <w:rsid w:val="004C5D52"/>
    <w:rsid w:val="004F1C9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1BE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5B89"/>
    <w:rsid w:val="00AB441E"/>
    <w:rsid w:val="00AB6293"/>
    <w:rsid w:val="00AE0928"/>
    <w:rsid w:val="00AF3B82"/>
    <w:rsid w:val="00B12E95"/>
    <w:rsid w:val="00B22876"/>
    <w:rsid w:val="00B558F0"/>
    <w:rsid w:val="00BA17DE"/>
    <w:rsid w:val="00BD48FE"/>
    <w:rsid w:val="00BD7BD8"/>
    <w:rsid w:val="00BE6ADC"/>
    <w:rsid w:val="00C05BFE"/>
    <w:rsid w:val="00C23CD4"/>
    <w:rsid w:val="00C61C0C"/>
    <w:rsid w:val="00C63E92"/>
    <w:rsid w:val="00C941CB"/>
    <w:rsid w:val="00CC2357"/>
    <w:rsid w:val="00CF071A"/>
    <w:rsid w:val="00D058B8"/>
    <w:rsid w:val="00D56C11"/>
    <w:rsid w:val="00D834A0"/>
    <w:rsid w:val="00D872DF"/>
    <w:rsid w:val="00D91E21"/>
    <w:rsid w:val="00DA7FCD"/>
    <w:rsid w:val="00E21D9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C77E3"/>
  <w15:chartTrackingRefBased/>
  <w15:docId w15:val="{E177DC4D-422C-47AE-88BD-03080814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A17D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17DE"/>
    <w:pPr>
      <w:spacing w:before="480" w:after="240"/>
    </w:pPr>
  </w:style>
  <w:style w:type="paragraph" w:customStyle="1" w:styleId="PageHeading">
    <w:name w:val="PageHeading"/>
    <w:basedOn w:val="Normal"/>
    <w:rsid w:val="00BA17DE"/>
    <w:pPr>
      <w:keepNext/>
      <w:spacing w:after="480"/>
      <w:jc w:val="center"/>
    </w:pPr>
    <w:rPr>
      <w:rFonts w:ascii="Arial" w:hAnsi="Arial" w:cs="Arial"/>
      <w:b/>
    </w:rPr>
  </w:style>
  <w:style w:type="paragraph" w:customStyle="1" w:styleId="NormalBold">
    <w:name w:val="NormalBold"/>
    <w:basedOn w:val="Normal"/>
    <w:rsid w:val="00BA17DE"/>
    <w:rPr>
      <w:b/>
    </w:rPr>
  </w:style>
  <w:style w:type="paragraph" w:customStyle="1" w:styleId="NormalHanging12a">
    <w:name w:val="NormalHanging12a"/>
    <w:basedOn w:val="Normal"/>
    <w:link w:val="NormalHanging12aChar"/>
    <w:rsid w:val="00BA17DE"/>
    <w:pPr>
      <w:spacing w:after="240"/>
      <w:ind w:left="567" w:hanging="567"/>
    </w:pPr>
  </w:style>
  <w:style w:type="paragraph" w:customStyle="1" w:styleId="NormalCenter12a">
    <w:name w:val="NormalCenter12a"/>
    <w:basedOn w:val="Normal"/>
    <w:rsid w:val="00BA17DE"/>
    <w:pPr>
      <w:spacing w:after="240"/>
      <w:jc w:val="center"/>
    </w:pPr>
  </w:style>
  <w:style w:type="paragraph" w:styleId="Header">
    <w:name w:val="header"/>
    <w:basedOn w:val="Normal"/>
    <w:link w:val="HeaderChar"/>
    <w:rsid w:val="00BA17DE"/>
    <w:pPr>
      <w:tabs>
        <w:tab w:val="center" w:pos="4513"/>
        <w:tab w:val="right" w:pos="9026"/>
      </w:tabs>
    </w:pPr>
  </w:style>
  <w:style w:type="character" w:customStyle="1" w:styleId="HeaderChar">
    <w:name w:val="Header Char"/>
    <w:basedOn w:val="DefaultParagraphFont"/>
    <w:link w:val="Header"/>
    <w:rsid w:val="00BA17DE"/>
    <w:rPr>
      <w:sz w:val="24"/>
      <w:lang w:val="hr-HR"/>
    </w:rPr>
  </w:style>
  <w:style w:type="paragraph" w:customStyle="1" w:styleId="EPFooter">
    <w:name w:val="EPFooter"/>
    <w:basedOn w:val="Normal"/>
    <w:rsid w:val="00BA17D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A17DE"/>
    <w:rPr>
      <w:sz w:val="24"/>
      <w:lang w:val="hr-HR"/>
    </w:rPr>
  </w:style>
  <w:style w:type="paragraph" w:styleId="Footer">
    <w:name w:val="footer"/>
    <w:basedOn w:val="Normal"/>
    <w:link w:val="FooterChar"/>
    <w:rsid w:val="00E21D95"/>
    <w:pPr>
      <w:tabs>
        <w:tab w:val="center" w:pos="4513"/>
        <w:tab w:val="right" w:pos="9026"/>
      </w:tabs>
    </w:pPr>
  </w:style>
  <w:style w:type="character" w:customStyle="1" w:styleId="FooterChar">
    <w:name w:val="Footer Char"/>
    <w:basedOn w:val="DefaultParagraphFont"/>
    <w:link w:val="Footer"/>
    <w:rsid w:val="00E21D95"/>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D0F32-893E-4D40-A76A-6F2811B60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2619</Words>
  <Characters>15621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2024-05-23T09:23:00Z</dcterms:created>
  <dcterms:modified xsi:type="dcterms:W3CDTF">2024-05-23T09:23:00Z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P9_TA(2024)0250_</vt:lpwstr>
  </property>
  <property fmtid="{D5CDD505-2E9C-101B-9397-08002B2CF9AE}" pid="4" name="&lt;Type&gt;">
    <vt:lpwstr>RR</vt:lpwstr>
  </property>
</Properties>
</file>