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797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7972" w:rsidRDefault="008E73B9" w:rsidP="0010095E">
            <w:pPr>
              <w:pStyle w:val="EPName"/>
            </w:pPr>
            <w:r w:rsidRPr="00C07972">
              <w:t>Európai Parlament</w:t>
            </w:r>
          </w:p>
          <w:p w:rsidR="00751A4A" w:rsidRPr="00C0797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797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07972" w:rsidRDefault="00187494" w:rsidP="0010095E">
            <w:pPr>
              <w:pStyle w:val="EPLogo"/>
            </w:pPr>
            <w:r w:rsidRPr="00C0797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7972" w:rsidRDefault="00D058B8" w:rsidP="004C5D52">
      <w:pPr>
        <w:pStyle w:val="LineTop"/>
      </w:pPr>
    </w:p>
    <w:p w:rsidR="00680577" w:rsidRPr="00C07972" w:rsidRDefault="008E73B9" w:rsidP="00680577">
      <w:pPr>
        <w:pStyle w:val="EPBodyTA1"/>
      </w:pPr>
      <w:r w:rsidRPr="00C07972">
        <w:t>ELFOGADOTT SZÖVEGEK</w:t>
      </w:r>
    </w:p>
    <w:p w:rsidR="00D058B8" w:rsidRPr="00C07972" w:rsidRDefault="00D058B8" w:rsidP="00D058B8">
      <w:pPr>
        <w:pStyle w:val="LineBottom"/>
      </w:pPr>
    </w:p>
    <w:p w:rsidR="008E73B9" w:rsidRPr="00C07972" w:rsidRDefault="008E73B9" w:rsidP="008E73B9">
      <w:pPr>
        <w:pStyle w:val="ATHeading1"/>
      </w:pPr>
      <w:bookmarkStart w:id="0" w:name="TANumber"/>
      <w:r w:rsidRPr="00C07972">
        <w:t>P9_</w:t>
      </w:r>
      <w:proofErr w:type="gramStart"/>
      <w:r w:rsidRPr="00C07972">
        <w:t>TA(</w:t>
      </w:r>
      <w:proofErr w:type="gramEnd"/>
      <w:r w:rsidRPr="00C07972">
        <w:t>2024)0</w:t>
      </w:r>
      <w:r w:rsidR="00981FCB" w:rsidRPr="00C07972">
        <w:t>25</w:t>
      </w:r>
      <w:r w:rsidRPr="00C07972">
        <w:t>0</w:t>
      </w:r>
      <w:bookmarkEnd w:id="0"/>
    </w:p>
    <w:p w:rsidR="008E73B9" w:rsidRPr="00C07972" w:rsidRDefault="003603A7" w:rsidP="008E73B9">
      <w:pPr>
        <w:pStyle w:val="ATHeading2"/>
      </w:pPr>
      <w:r w:rsidRPr="00C07972">
        <w:t xml:space="preserve">2022. évi </w:t>
      </w:r>
      <w:proofErr w:type="gramStart"/>
      <w:r w:rsidRPr="00C07972">
        <w:t>mentesítés</w:t>
      </w:r>
      <w:proofErr w:type="gramEnd"/>
      <w:r w:rsidRPr="00C07972">
        <w:t>: Európai Élelmiszerbiztonsági Hatóság</w:t>
      </w:r>
    </w:p>
    <w:p w:rsidR="008E73B9" w:rsidRPr="00C07972" w:rsidRDefault="008E73B9" w:rsidP="008E73B9">
      <w:pPr>
        <w:rPr>
          <w:i/>
          <w:vanish/>
        </w:rPr>
      </w:pPr>
      <w:r w:rsidRPr="00C07972">
        <w:rPr>
          <w:i/>
        </w:rPr>
        <w:fldChar w:fldCharType="begin"/>
      </w:r>
      <w:r w:rsidRPr="00C07972">
        <w:rPr>
          <w:i/>
        </w:rPr>
        <w:instrText xml:space="preserve"> TC"(</w:instrText>
      </w:r>
      <w:bookmarkStart w:id="1" w:name="DocNumber"/>
      <w:r w:rsidRPr="00C07972">
        <w:rPr>
          <w:i/>
        </w:rPr>
        <w:instrText>A9-0129/2024</w:instrText>
      </w:r>
      <w:bookmarkEnd w:id="1"/>
      <w:r w:rsidRPr="00C07972">
        <w:rPr>
          <w:i/>
        </w:rPr>
        <w:instrText xml:space="preserve"> - Előadó: Petri </w:instrText>
      </w:r>
      <w:proofErr w:type="spellStart"/>
      <w:r w:rsidRPr="00C07972">
        <w:rPr>
          <w:i/>
        </w:rPr>
        <w:instrText>Sarvamaa</w:instrText>
      </w:r>
      <w:proofErr w:type="spellEnd"/>
      <w:r w:rsidRPr="00C07972">
        <w:rPr>
          <w:i/>
        </w:rPr>
        <w:instrText xml:space="preserve">)"\l3 \n&gt; \* MERGEFORMAT </w:instrText>
      </w:r>
      <w:r w:rsidRPr="00C07972">
        <w:rPr>
          <w:i/>
        </w:rPr>
        <w:fldChar w:fldCharType="end"/>
      </w:r>
    </w:p>
    <w:p w:rsidR="008E73B9" w:rsidRPr="00C07972" w:rsidRDefault="008E73B9" w:rsidP="008E73B9">
      <w:pPr>
        <w:rPr>
          <w:vanish/>
        </w:rPr>
      </w:pPr>
      <w:bookmarkStart w:id="2" w:name="Commission"/>
      <w:r w:rsidRPr="00C07972">
        <w:rPr>
          <w:vanish/>
        </w:rPr>
        <w:t>Költségvetési Ellenőrző Bizottság</w:t>
      </w:r>
      <w:bookmarkEnd w:id="2"/>
    </w:p>
    <w:p w:rsidR="008E73B9" w:rsidRPr="00C07972" w:rsidRDefault="008E73B9" w:rsidP="008E73B9">
      <w:pPr>
        <w:rPr>
          <w:vanish/>
        </w:rPr>
      </w:pPr>
      <w:bookmarkStart w:id="3" w:name="PE"/>
      <w:r w:rsidRPr="00C07972">
        <w:rPr>
          <w:vanish/>
        </w:rPr>
        <w:t>PE753.519</w:t>
      </w:r>
      <w:bookmarkEnd w:id="3"/>
    </w:p>
    <w:p w:rsidR="008E73B9" w:rsidRPr="00C07972" w:rsidRDefault="003603A7" w:rsidP="008E73B9">
      <w:pPr>
        <w:pStyle w:val="ATHeading3"/>
      </w:pPr>
      <w:bookmarkStart w:id="4" w:name="Sujet"/>
      <w:r w:rsidRPr="00C07972">
        <w:t xml:space="preserve">1. </w:t>
      </w:r>
      <w:r w:rsidR="008E73B9" w:rsidRPr="00C07972">
        <w:t xml:space="preserve">Az Európai Parlament 2024. </w:t>
      </w:r>
      <w:r w:rsidRPr="00C07972">
        <w:t>április 11</w:t>
      </w:r>
      <w:r w:rsidR="008E73B9" w:rsidRPr="00C07972">
        <w:t>-i határozata az Európai Élelmiszerbiztonsági Hatóság 2022. évi pénzügyi évre szóló költségvetésének végrehajtására vonatkozó mentesítésről</w:t>
      </w:r>
      <w:bookmarkEnd w:id="4"/>
      <w:r w:rsidR="008E73B9" w:rsidRPr="00C07972">
        <w:t xml:space="preserve"> </w:t>
      </w:r>
      <w:bookmarkStart w:id="5" w:name="References"/>
      <w:r w:rsidR="008E73B9" w:rsidRPr="00C07972">
        <w:t>(2023/</w:t>
      </w:r>
      <w:proofErr w:type="gramStart"/>
      <w:r w:rsidR="008E73B9" w:rsidRPr="00C07972">
        <w:t>2151(</w:t>
      </w:r>
      <w:proofErr w:type="gramEnd"/>
      <w:r w:rsidR="008E73B9" w:rsidRPr="00C07972">
        <w:t>DEC))</w:t>
      </w:r>
      <w:bookmarkEnd w:id="5"/>
    </w:p>
    <w:p w:rsidR="008A4296" w:rsidRPr="00C07972" w:rsidRDefault="008A4296" w:rsidP="008A4296">
      <w:pPr>
        <w:pStyle w:val="EPComma"/>
      </w:pPr>
      <w:bookmarkStart w:id="6" w:name="TextBodyBegin"/>
      <w:bookmarkEnd w:id="6"/>
      <w:r w:rsidRPr="00C07972">
        <w:rPr>
          <w:i/>
        </w:rPr>
        <w:t>Az Európai Parlament,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az Európai Élelmiszerbiztonsági Hatóság 2022. évi pénzügyi évre vonatkozó végleges éves beszámolójára,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</w:r>
      <w:r w:rsidR="00081AEE" w:rsidRPr="00C07972">
        <w:t>tekintettel a 2022. évi pénzügyi évre vonatkozóan az uniós ügynökségekről szóló éves számvevőszéki jelentésre az ügynökségek válaszaival együtt</w:t>
      </w:r>
      <w:r w:rsidRPr="00C07972">
        <w:rPr>
          <w:rStyle w:val="FootnoteReference"/>
        </w:rPr>
        <w:footnoteReference w:id="1"/>
      </w:r>
      <w:r w:rsidRPr="00C07972">
        <w:t>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081AEE" w:rsidRPr="00C07972">
        <w:t xml:space="preserve">megbízhatósági </w:t>
      </w:r>
      <w:r w:rsidRPr="00C07972">
        <w:t>nyilatkozatára</w:t>
      </w:r>
      <w:r w:rsidRPr="00C07972">
        <w:rPr>
          <w:rStyle w:val="FootnoteReference"/>
        </w:rPr>
        <w:footnoteReference w:id="2"/>
      </w:r>
      <w:r w:rsidRPr="00C07972">
        <w:t>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 xml:space="preserve">tekintettel a 2022-es pénzügyi évre szóló költségvetés végrehajtása tekintetében a Hatóság számára adandó </w:t>
      </w:r>
      <w:proofErr w:type="gramStart"/>
      <w:r w:rsidRPr="00C07972">
        <w:t>mentesítésről</w:t>
      </w:r>
      <w:proofErr w:type="gramEnd"/>
      <w:r w:rsidRPr="00C07972">
        <w:t xml:space="preserve"> szóló, 2024. február 22-i tanácsi ajánlásra (</w:t>
      </w:r>
      <w:r w:rsidR="001D2980" w:rsidRPr="00C07972">
        <w:t>06180</w:t>
      </w:r>
      <w:r w:rsidRPr="00C07972">
        <w:t>/2024 – C9-</w:t>
      </w:r>
      <w:r w:rsidR="001D2980" w:rsidRPr="00C07972">
        <w:t>0089</w:t>
      </w:r>
      <w:r w:rsidRPr="00C07972">
        <w:t>/2024),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az Európai Unió működéséről szóló szerződés 319. cikkére,</w:t>
      </w:r>
    </w:p>
    <w:p w:rsidR="008A4296" w:rsidRPr="00C07972" w:rsidRDefault="008A4296" w:rsidP="003603A7">
      <w:pPr>
        <w:pStyle w:val="NormalHanging12a"/>
        <w:widowControl/>
      </w:pPr>
      <w:proofErr w:type="gramStart"/>
      <w:r w:rsidRPr="00C07972">
        <w:t>–</w:t>
      </w:r>
      <w:r w:rsidRPr="00C07972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C07972">
        <w:rPr>
          <w:rStyle w:val="FootnoteReference"/>
        </w:rPr>
        <w:footnoteReference w:id="3"/>
      </w:r>
      <w:r w:rsidRPr="00C07972">
        <w:t xml:space="preserve"> és különösen annak 70. cikkére,</w:t>
      </w:r>
      <w:proofErr w:type="gramEnd"/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 xml:space="preserve">tekintettel az élelmiszerjog általános elveiről és követelményeiről, az Európai Élelmiszerbiztonsági Hatóság létrehozásáról és az élelmiszer-biztonságra vonatkozó </w:t>
      </w:r>
      <w:r w:rsidRPr="00C07972">
        <w:lastRenderedPageBreak/>
        <w:t>eljárások megállapításáról szóló, 2002. január 28-i 178/2002/EK európai parlamenti és tanácsi rendeletre</w:t>
      </w:r>
      <w:r w:rsidRPr="00C07972">
        <w:rPr>
          <w:rStyle w:val="FootnoteReference"/>
        </w:rPr>
        <w:footnoteReference w:id="4"/>
      </w:r>
      <w:r w:rsidRPr="00C07972">
        <w:t xml:space="preserve"> és különösen annak 44. cikkére,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C07972">
        <w:rPr>
          <w:rStyle w:val="FootnoteReference"/>
        </w:rPr>
        <w:footnoteReference w:id="5"/>
      </w:r>
      <w:r w:rsidRPr="00C07972">
        <w:t xml:space="preserve"> és különösen annak 105. cikkére,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eljárási szabályzata 100. cikkére és V. mellékletére,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a Környezetvédelmi, Közegészségügyi és Élelmiszer-biztonsági Bizottság véleményére,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a Költségvetési Ellenőrző Bizottság jelentésére (A9-0129/2024),</w:t>
      </w:r>
    </w:p>
    <w:p w:rsidR="008A4296" w:rsidRPr="00C07972" w:rsidRDefault="008A4296" w:rsidP="003603A7">
      <w:pPr>
        <w:pStyle w:val="NormalHanging12a"/>
        <w:widowControl/>
      </w:pPr>
      <w:r w:rsidRPr="00C07972">
        <w:t>1.</w:t>
      </w:r>
      <w:r w:rsidRPr="00C07972">
        <w:tab/>
      </w:r>
      <w:proofErr w:type="gramStart"/>
      <w:r w:rsidRPr="00C07972">
        <w:t>mentesítést</w:t>
      </w:r>
      <w:proofErr w:type="gramEnd"/>
      <w:r w:rsidRPr="00C07972">
        <w:t xml:space="preserve"> ad az Európai Élelmiszerbiztonsági Hatóság ügyvezető igazgatója számára a Hatóság 2022-es pénzügyi évre szóló költségvetésének végrehajtására vonatkozóan;</w:t>
      </w:r>
    </w:p>
    <w:p w:rsidR="008A4296" w:rsidRPr="00C07972" w:rsidRDefault="008A4296" w:rsidP="003603A7">
      <w:pPr>
        <w:pStyle w:val="NormalHanging12a"/>
        <w:widowControl/>
      </w:pPr>
      <w:r w:rsidRPr="00C07972">
        <w:t>2.</w:t>
      </w:r>
      <w:r w:rsidRPr="00C07972">
        <w:tab/>
        <w:t>megjegyzéseit a mellékelt állásfoglalásban foglalja össze;</w:t>
      </w:r>
    </w:p>
    <w:p w:rsidR="008A4296" w:rsidRPr="00C07972" w:rsidRDefault="008A4296" w:rsidP="003603A7">
      <w:pPr>
        <w:pStyle w:val="NormalHanging12a"/>
        <w:widowControl/>
      </w:pPr>
      <w:r w:rsidRPr="00C07972">
        <w:t>3.</w:t>
      </w:r>
      <w:r w:rsidRPr="00C07972">
        <w:tab/>
        <w:t>utasítja elnökét, hogy továbbítsa ezt a határozatot, valamint az annak szerves részét képező állásfoglalást az Európai Élelmiszerbiztonsági Hatóság ügyvezető igazgatójának, a Tanácsnak, a Bizottságnak és a Számvevőszéknek</w:t>
      </w:r>
      <w:r w:rsidR="00081AEE" w:rsidRPr="00C07972">
        <w:t>,</w:t>
      </w:r>
      <w:r w:rsidRPr="00C07972">
        <w:t xml:space="preserve"> és gondoskodjon az </w:t>
      </w:r>
      <w:r w:rsidRPr="00C07972">
        <w:rPr>
          <w:i/>
        </w:rPr>
        <w:t>Európai Unió Hivatalos Lapjában</w:t>
      </w:r>
      <w:r w:rsidRPr="00C07972">
        <w:t xml:space="preserve"> (L sorozat) való közzétételükről.</w:t>
      </w:r>
    </w:p>
    <w:p w:rsidR="008A4296" w:rsidRPr="00C07972" w:rsidRDefault="008A4296" w:rsidP="008A4296"/>
    <w:p w:rsidR="008A4296" w:rsidRPr="00C07972" w:rsidRDefault="008A4296" w:rsidP="008A4296">
      <w:pPr>
        <w:widowControl/>
        <w:rPr>
          <w:rFonts w:ascii="Arial" w:hAnsi="Arial" w:cs="Arial"/>
          <w:b/>
        </w:rPr>
        <w:sectPr w:rsidR="008A4296" w:rsidRPr="00C07972" w:rsidSect="00735DAB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8A4296" w:rsidRPr="00C07972" w:rsidRDefault="008A4296" w:rsidP="00C07972">
      <w:pPr>
        <w:pStyle w:val="ATHeading3"/>
      </w:pPr>
      <w:bookmarkStart w:id="7" w:name="_Toc146807918"/>
      <w:bookmarkStart w:id="8" w:name="_Toc161677743"/>
      <w:bookmarkStart w:id="9" w:name="_Toc161993917"/>
      <w:r w:rsidRPr="00C07972">
        <w:lastRenderedPageBreak/>
        <w:t xml:space="preserve">2. </w:t>
      </w:r>
      <w:bookmarkEnd w:id="7"/>
      <w:bookmarkEnd w:id="8"/>
      <w:bookmarkEnd w:id="9"/>
      <w:r w:rsidR="003603A7" w:rsidRPr="00C07972">
        <w:t xml:space="preserve">Az Európai Parlament 2024. április 11-i határozata </w:t>
      </w:r>
      <w:r w:rsidRPr="00C07972">
        <w:t>az Európai Élelmiszerbiztonsági Hatóság 2022. évi pénzügyi évre vonatkozó elszámolásának lezárásáról</w:t>
      </w:r>
      <w:r w:rsidR="003603A7" w:rsidRPr="00C07972">
        <w:t xml:space="preserve"> </w:t>
      </w:r>
      <w:r w:rsidRPr="00C07972">
        <w:t>(2023/</w:t>
      </w:r>
      <w:proofErr w:type="gramStart"/>
      <w:r w:rsidRPr="00C07972">
        <w:t>2151(</w:t>
      </w:r>
      <w:proofErr w:type="gramEnd"/>
      <w:r w:rsidRPr="00C07972">
        <w:t>DEC))</w:t>
      </w:r>
    </w:p>
    <w:p w:rsidR="008A4296" w:rsidRPr="00C07972" w:rsidRDefault="008A4296" w:rsidP="008A4296">
      <w:pPr>
        <w:pStyle w:val="EPComma"/>
      </w:pPr>
      <w:r w:rsidRPr="00C07972">
        <w:rPr>
          <w:i/>
        </w:rPr>
        <w:t>Az Európai Parlament,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az Európai Élelmiszerbiztonsági Hatóság 2022. évi pénzügyi évre vonatkozó végleges éves beszámolójára,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</w:r>
      <w:r w:rsidR="00081AEE" w:rsidRPr="00C07972">
        <w:t>tekintettel a 2022. évi pénzügyi évre vonatkozóan az uniós ügynökségekről szóló éves számvevőszéki jelentésre az ügynökségek válaszaival együtt</w:t>
      </w:r>
      <w:r w:rsidRPr="00C07972">
        <w:rPr>
          <w:rStyle w:val="FootnoteReference"/>
        </w:rPr>
        <w:footnoteReference w:id="6"/>
      </w:r>
      <w:r w:rsidRPr="00C07972">
        <w:t>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081AEE" w:rsidRPr="00C07972">
        <w:t xml:space="preserve">megbízhatósági </w:t>
      </w:r>
      <w:r w:rsidRPr="00C07972">
        <w:t>nyilatkozatára</w:t>
      </w:r>
      <w:r w:rsidRPr="00C07972">
        <w:rPr>
          <w:rStyle w:val="FootnoteReference"/>
        </w:rPr>
        <w:footnoteReference w:id="7"/>
      </w:r>
      <w:r w:rsidRPr="00C07972">
        <w:t>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 xml:space="preserve">tekintettel a 2022-es pénzügyi évre szóló költségvetés végrehajtása tekintetében a Hatóság számára adandó </w:t>
      </w:r>
      <w:proofErr w:type="gramStart"/>
      <w:r w:rsidRPr="00C07972">
        <w:t>mentesítésről</w:t>
      </w:r>
      <w:proofErr w:type="gramEnd"/>
      <w:r w:rsidRPr="00C07972">
        <w:t xml:space="preserve"> szóló, 2024. február 22-i tanácsi ajánlásra (</w:t>
      </w:r>
      <w:r w:rsidR="001D2980" w:rsidRPr="00C07972">
        <w:t>06180</w:t>
      </w:r>
      <w:r w:rsidRPr="00C07972">
        <w:t>/2024 – C9-</w:t>
      </w:r>
      <w:r w:rsidR="001D2980" w:rsidRPr="00C07972">
        <w:t>0089</w:t>
      </w:r>
      <w:r w:rsidRPr="00C07972">
        <w:t>/2024),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az Európai Unió működéséről szóló szerződés 319. cikkére,</w:t>
      </w:r>
    </w:p>
    <w:p w:rsidR="008A4296" w:rsidRPr="00C07972" w:rsidRDefault="008A4296" w:rsidP="003603A7">
      <w:pPr>
        <w:pStyle w:val="NormalHanging12a"/>
        <w:widowControl/>
      </w:pPr>
      <w:proofErr w:type="gramStart"/>
      <w:r w:rsidRPr="00C07972">
        <w:t>–</w:t>
      </w:r>
      <w:r w:rsidRPr="00C07972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C07972">
        <w:rPr>
          <w:rStyle w:val="FootnoteReference"/>
        </w:rPr>
        <w:footnoteReference w:id="8"/>
      </w:r>
      <w:r w:rsidRPr="00C07972">
        <w:t xml:space="preserve"> és különösen annak 70. cikkére,</w:t>
      </w:r>
      <w:proofErr w:type="gramEnd"/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az élelmiszerjog általános elveiről és követelményeiről, az Európai Élelmiszerbiztonsági Hatóság létrehozásáról és az élelmiszer-biztonságra vonatkozó eljárások megállapításáról szóló, 2002. január 28-i 178/2002/EK európai parlamenti és tanácsi rendeletre</w:t>
      </w:r>
      <w:r w:rsidRPr="00C07972">
        <w:rPr>
          <w:rStyle w:val="FootnoteReference"/>
        </w:rPr>
        <w:footnoteReference w:id="9"/>
      </w:r>
      <w:r w:rsidRPr="00C07972">
        <w:t xml:space="preserve"> és különösen annak 44. cikkére,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C07972">
        <w:rPr>
          <w:rStyle w:val="FootnoteReference"/>
        </w:rPr>
        <w:footnoteReference w:id="10"/>
      </w:r>
      <w:r w:rsidRPr="00C07972">
        <w:t xml:space="preserve"> és különösen annak 105. cikkére,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eljárási szabályzata 100. cikkére és V. mellékletére,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a Környezetvédelmi, Közegészségügyi és Élelmiszer-biztonsági Bizottság véleményére,</w:t>
      </w:r>
    </w:p>
    <w:p w:rsidR="008A4296" w:rsidRPr="00C07972" w:rsidRDefault="008A4296" w:rsidP="003603A7">
      <w:pPr>
        <w:pStyle w:val="NormalHanging12a"/>
        <w:widowControl/>
      </w:pPr>
      <w:r w:rsidRPr="00C07972">
        <w:lastRenderedPageBreak/>
        <w:t>–</w:t>
      </w:r>
      <w:r w:rsidRPr="00C07972">
        <w:tab/>
        <w:t>tekintettel a Költségvetési Ellenőrző Bizottság jelentésére (A9-0129/2024),</w:t>
      </w:r>
    </w:p>
    <w:p w:rsidR="008A4296" w:rsidRPr="00C07972" w:rsidRDefault="008A4296" w:rsidP="003603A7">
      <w:pPr>
        <w:pStyle w:val="NormalHanging12a"/>
        <w:widowControl/>
      </w:pPr>
      <w:r w:rsidRPr="00C07972">
        <w:t>1.</w:t>
      </w:r>
      <w:r w:rsidRPr="00C07972">
        <w:tab/>
        <w:t>jóváhagyja az Európai Élelmiszerbiztonsági Hatóság 2022-es pénzügyi évre szóló elszámolásának lezárását;</w:t>
      </w:r>
    </w:p>
    <w:p w:rsidR="008A4296" w:rsidRPr="00C07972" w:rsidRDefault="008A4296" w:rsidP="003603A7">
      <w:pPr>
        <w:pStyle w:val="NormalHanging12a"/>
        <w:widowControl/>
      </w:pPr>
      <w:r w:rsidRPr="00C07972">
        <w:t>2.</w:t>
      </w:r>
      <w:r w:rsidRPr="00C07972">
        <w:tab/>
        <w:t>utasítja elnökét, hogy továbbítsa ezt a határozatot az Európai Élelmiszerbiztonsági Hatóság ügyvezető igazgatójának, a Tanácsnak, a Bizottságnak és a Számvevőszéknek</w:t>
      </w:r>
      <w:r w:rsidR="00081AEE" w:rsidRPr="00C07972">
        <w:t>,</w:t>
      </w:r>
      <w:r w:rsidRPr="00C07972">
        <w:t xml:space="preserve"> és gondoskodjon az </w:t>
      </w:r>
      <w:r w:rsidRPr="00C07972">
        <w:rPr>
          <w:i/>
        </w:rPr>
        <w:t>Európai Unió Hivatalos Lapjában</w:t>
      </w:r>
      <w:r w:rsidRPr="00C07972">
        <w:t xml:space="preserve"> (L sorozat) való közzétételéről.</w:t>
      </w:r>
    </w:p>
    <w:p w:rsidR="008A4296" w:rsidRPr="00C07972" w:rsidRDefault="008A4296" w:rsidP="008A4296"/>
    <w:p w:rsidR="008A4296" w:rsidRPr="00C07972" w:rsidRDefault="008A4296" w:rsidP="008A4296">
      <w:pPr>
        <w:widowControl/>
        <w:rPr>
          <w:rFonts w:ascii="Arial" w:hAnsi="Arial" w:cs="Arial"/>
          <w:b/>
        </w:rPr>
        <w:sectPr w:rsidR="008A4296" w:rsidRPr="00C07972" w:rsidSect="00735DAB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8A4296" w:rsidRPr="00C07972" w:rsidRDefault="008A4296" w:rsidP="00C07972">
      <w:pPr>
        <w:pStyle w:val="ATHeading3"/>
      </w:pPr>
      <w:bookmarkStart w:id="10" w:name="_Toc146807919"/>
      <w:bookmarkStart w:id="11" w:name="_Toc161677744"/>
      <w:bookmarkStart w:id="12" w:name="_Toc161993918"/>
      <w:r w:rsidRPr="00C07972">
        <w:lastRenderedPageBreak/>
        <w:t xml:space="preserve">3. </w:t>
      </w:r>
      <w:bookmarkEnd w:id="10"/>
      <w:bookmarkEnd w:id="11"/>
      <w:bookmarkEnd w:id="12"/>
      <w:r w:rsidR="003603A7" w:rsidRPr="00C07972">
        <w:t xml:space="preserve">Az Európai Parlament 2024. április 11-i állásfoglalása </w:t>
      </w:r>
      <w:r w:rsidRPr="00C07972">
        <w:t>az Európai Élelmiszerbiztonsági Hatóság 2022. évi pénzügyi évre szóló költségvetésének végrehajtására vonatkozó mentesítésről szóló határozat szerves részét képező megjegyzésekkel</w:t>
      </w:r>
      <w:r w:rsidR="003603A7" w:rsidRPr="00C07972">
        <w:t xml:space="preserve"> </w:t>
      </w:r>
      <w:r w:rsidRPr="00C07972">
        <w:t>(2023/</w:t>
      </w:r>
      <w:proofErr w:type="gramStart"/>
      <w:r w:rsidRPr="00C07972">
        <w:t>2151(</w:t>
      </w:r>
      <w:proofErr w:type="gramEnd"/>
      <w:r w:rsidRPr="00C07972">
        <w:t>DEC))</w:t>
      </w:r>
    </w:p>
    <w:p w:rsidR="008A4296" w:rsidRPr="00C07972" w:rsidRDefault="008A4296" w:rsidP="008A4296">
      <w:pPr>
        <w:pStyle w:val="EPComma"/>
      </w:pPr>
      <w:r w:rsidRPr="00C07972">
        <w:rPr>
          <w:i/>
        </w:rPr>
        <w:t>Az Európai Parlament,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 xml:space="preserve">tekintettel az Európai Élelmiszerbiztonsági Hatóság 2022. évi pénzügyi évre szóló költségvetésének végrehajtására vonatkozó </w:t>
      </w:r>
      <w:proofErr w:type="gramStart"/>
      <w:r w:rsidRPr="00C07972">
        <w:t>mentesítésről</w:t>
      </w:r>
      <w:proofErr w:type="gramEnd"/>
      <w:r w:rsidRPr="00C07972">
        <w:t xml:space="preserve"> szóló határozatára,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eljárási szabályzata 100. cikkére és V. mellékletére,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a Környezetvédelmi, Közegészségügyi és Élelmiszer-biztonsági Bizottság véleményére,</w:t>
      </w:r>
    </w:p>
    <w:p w:rsidR="008A4296" w:rsidRPr="00C07972" w:rsidRDefault="008A4296" w:rsidP="003603A7">
      <w:pPr>
        <w:pStyle w:val="NormalHanging12a"/>
        <w:widowControl/>
      </w:pPr>
      <w:r w:rsidRPr="00C07972">
        <w:t>–</w:t>
      </w:r>
      <w:r w:rsidRPr="00C07972">
        <w:tab/>
        <w:t>tekintettel a Költségvetési Ellenőrző Bizottság jelentésére (A9-0129/2024),</w:t>
      </w:r>
    </w:p>
    <w:p w:rsidR="008A4296" w:rsidRPr="00C07972" w:rsidRDefault="008A4296" w:rsidP="003603A7">
      <w:pPr>
        <w:widowControl/>
        <w:autoSpaceDE w:val="0"/>
        <w:autoSpaceDN w:val="0"/>
        <w:adjustRightInd w:val="0"/>
        <w:spacing w:after="240"/>
        <w:ind w:left="567" w:hanging="567"/>
        <w:rPr>
          <w:rFonts w:eastAsia="Calibri"/>
          <w:szCs w:val="24"/>
        </w:rPr>
      </w:pPr>
      <w:r w:rsidRPr="00C07972">
        <w:t>A.</w:t>
      </w:r>
      <w:r w:rsidRPr="00C07972">
        <w:tab/>
      </w:r>
      <w:proofErr w:type="gramStart"/>
      <w:r w:rsidRPr="00C07972">
        <w:t>mivel</w:t>
      </w:r>
      <w:proofErr w:type="gramEnd"/>
      <w:r w:rsidRPr="00C07972">
        <w:t xml:space="preserve"> bevételi és kiadási kimutatása</w:t>
      </w:r>
      <w:r w:rsidRPr="00C07972">
        <w:rPr>
          <w:rFonts w:eastAsia="Calibri"/>
          <w:szCs w:val="24"/>
          <w:vertAlign w:val="superscript"/>
        </w:rPr>
        <w:footnoteReference w:id="11"/>
      </w:r>
      <w:r w:rsidRPr="00C07972">
        <w:t xml:space="preserve"> szerint az Európai Élelmiszerbiztonsági Hatóság (a továbbiakban: a hatóság) 2022. évi pénzügyi évre szóló végleges költségvetése 149 841 816,93 EUR volt, ami a 2021. évhez képest 15,99%-</w:t>
      </w:r>
      <w:proofErr w:type="spellStart"/>
      <w:r w:rsidRPr="00C07972">
        <w:t>os</w:t>
      </w:r>
      <w:proofErr w:type="spellEnd"/>
      <w:r w:rsidRPr="00C07972">
        <w:t xml:space="preserve"> növekedést jelent; mivel a hatóság költségvetése főként az uniós költségvetésből származik;</w:t>
      </w:r>
    </w:p>
    <w:p w:rsidR="008A4296" w:rsidRPr="00C07972" w:rsidRDefault="008A4296" w:rsidP="003603A7">
      <w:pPr>
        <w:widowControl/>
        <w:spacing w:after="240"/>
        <w:ind w:left="567" w:hanging="567"/>
        <w:rPr>
          <w:szCs w:val="24"/>
        </w:rPr>
      </w:pPr>
      <w:r w:rsidRPr="00C07972">
        <w:t>B.</w:t>
      </w:r>
      <w:r w:rsidRPr="00C07972">
        <w:tab/>
        <w:t>mivel a Számvevőszék a hatóság 2022. évi pénzügyi évről szóló éves beszámolójáról szóló jelentésében (a továbbiakban: a számvevőszéki jelentés) megállapítja, hogy kellő mértékben megbizonyosodott a hatóság éves beszámolójának megbízhatóságáról, valamint arról, hogy az annak alapjául szolgáló ügyletek jogszerűek és szabályszerűek;</w:t>
      </w:r>
    </w:p>
    <w:p w:rsidR="008A4296" w:rsidRPr="00C07972" w:rsidRDefault="008A4296" w:rsidP="003603A7">
      <w:pPr>
        <w:widowControl/>
        <w:spacing w:after="240"/>
        <w:ind w:left="567" w:hanging="567"/>
        <w:rPr>
          <w:szCs w:val="24"/>
        </w:rPr>
      </w:pPr>
      <w:r w:rsidRPr="00C07972">
        <w:t>C.</w:t>
      </w:r>
      <w:r w:rsidRPr="00C07972">
        <w:tab/>
        <w:t xml:space="preserve">mivel a hatóság közbeszerzési ágazatát illetően 2022-re vonatkozóan nem jelentettek </w:t>
      </w:r>
      <w:proofErr w:type="gramStart"/>
      <w:r w:rsidRPr="00C07972">
        <w:t>korrekciós</w:t>
      </w:r>
      <w:proofErr w:type="gramEnd"/>
      <w:r w:rsidRPr="00C07972">
        <w:t xml:space="preserve"> intézkedéseket igénylő problémákat, és a korábbi évek ellenőrzései és értékelései alapján sem voltak folyamatban lévő vagy még függőben lévő korrekciós intézkedések;</w:t>
      </w:r>
    </w:p>
    <w:p w:rsidR="008A4296" w:rsidRPr="00C07972" w:rsidRDefault="008A4296" w:rsidP="003603A7">
      <w:pPr>
        <w:widowControl/>
        <w:spacing w:after="240"/>
        <w:ind w:left="567" w:hanging="567"/>
        <w:rPr>
          <w:szCs w:val="24"/>
        </w:rPr>
      </w:pPr>
      <w:r w:rsidRPr="00C07972">
        <w:t>D.</w:t>
      </w:r>
      <w:r w:rsidRPr="00C07972">
        <w:tab/>
        <w:t xml:space="preserve">mivel a hatóság belső </w:t>
      </w:r>
      <w:proofErr w:type="gramStart"/>
      <w:r w:rsidRPr="00C07972">
        <w:t>kontroll</w:t>
      </w:r>
      <w:proofErr w:type="gramEnd"/>
      <w:r w:rsidRPr="00C07972">
        <w:t>rendszereit illetően 2022-re vonatkozóan nem jelentettek korrekciós intézkedéseket igénylő problémákat, és a korábbi évek ellenőrzései és értékelései alapján sem voltak folyamatban lévő vagy még függőben lévő korrekciós intézkedések;</w:t>
      </w:r>
    </w:p>
    <w:p w:rsidR="008A4296" w:rsidRPr="00C07972" w:rsidRDefault="008A4296" w:rsidP="003603A7">
      <w:pPr>
        <w:widowControl/>
        <w:spacing w:after="240"/>
        <w:ind w:left="567" w:hanging="567"/>
        <w:rPr>
          <w:b/>
          <w:i/>
          <w:szCs w:val="24"/>
        </w:rPr>
      </w:pPr>
      <w:r w:rsidRPr="00C07972">
        <w:rPr>
          <w:b/>
          <w:i/>
        </w:rPr>
        <w:t>Költségvetési és pénzgazdálkodás</w:t>
      </w:r>
    </w:p>
    <w:p w:rsidR="008A4296" w:rsidRPr="00C07972" w:rsidRDefault="008A4296" w:rsidP="003603A7">
      <w:pPr>
        <w:widowControl/>
        <w:spacing w:after="240"/>
        <w:ind w:left="567" w:hanging="567"/>
        <w:rPr>
          <w:szCs w:val="24"/>
        </w:rPr>
      </w:pPr>
      <w:proofErr w:type="gramStart"/>
      <w:r w:rsidRPr="00C07972">
        <w:t>1.</w:t>
      </w:r>
      <w:r w:rsidRPr="00C07972">
        <w:tab/>
        <w:t>elismeréssel nyugtázza, hogy a 2022. évi pénzügyi év során folytatott költségvetés-ellenőrzési erőfeszítések eredményeként a kötelezettségvállalási előirányzatok tekintetében a költségvetés folyó évi végrehajtási aránya 99,95%-</w:t>
      </w:r>
      <w:proofErr w:type="spellStart"/>
      <w:r w:rsidRPr="00C07972">
        <w:t>os</w:t>
      </w:r>
      <w:proofErr w:type="spellEnd"/>
      <w:r w:rsidRPr="00C07972">
        <w:t xml:space="preserve"> szintet ért el, ami 2021-hez képest enyhe, 0,04%-</w:t>
      </w:r>
      <w:proofErr w:type="spellStart"/>
      <w:r w:rsidRPr="00C07972">
        <w:t>os</w:t>
      </w:r>
      <w:proofErr w:type="spellEnd"/>
      <w:r w:rsidRPr="00C07972">
        <w:t xml:space="preserve"> mértékű csökkenést jelent; </w:t>
      </w:r>
      <w:proofErr w:type="spellStart"/>
      <w:r w:rsidRPr="00C07972">
        <w:t>megjegyzi</w:t>
      </w:r>
      <w:proofErr w:type="spellEnd"/>
      <w:r w:rsidRPr="00C07972">
        <w:t xml:space="preserve"> továbbá, hogy a kifizetési előirányzatok folyó évi végrehajtási aránya 89,77%-</w:t>
      </w:r>
      <w:proofErr w:type="spellStart"/>
      <w:r w:rsidRPr="00C07972">
        <w:t>os</w:t>
      </w:r>
      <w:proofErr w:type="spellEnd"/>
      <w:r w:rsidRPr="00C07972">
        <w:t xml:space="preserve"> volt, ami 2021-hez képest 0,92%-</w:t>
      </w:r>
      <w:proofErr w:type="spellStart"/>
      <w:r w:rsidRPr="00C07972">
        <w:t>os</w:t>
      </w:r>
      <w:proofErr w:type="spellEnd"/>
      <w:r w:rsidRPr="00C07972">
        <w:t xml:space="preserve"> javulást jelent;</w:t>
      </w:r>
      <w:proofErr w:type="gramEnd"/>
    </w:p>
    <w:p w:rsidR="008A4296" w:rsidRPr="00C07972" w:rsidRDefault="008A4296" w:rsidP="003603A7">
      <w:pPr>
        <w:pStyle w:val="NormalHanging12a"/>
        <w:widowControl/>
      </w:pPr>
      <w:proofErr w:type="gramStart"/>
      <w:r w:rsidRPr="00C07972">
        <w:t>2.</w:t>
      </w:r>
      <w:r w:rsidRPr="00C07972">
        <w:tab/>
      </w:r>
      <w:proofErr w:type="spellStart"/>
      <w:r w:rsidRPr="00C07972">
        <w:t>megjegyzi</w:t>
      </w:r>
      <w:proofErr w:type="spellEnd"/>
      <w:r w:rsidRPr="00C07972">
        <w:t xml:space="preserve">, hogy a növényvédő szereket szabályozó hatóságok erőforrásainak és álláshelyeinek hiánya késlelteti az alacsony kockázatú hatóanyagok jóváhagyását és a növényvédő szerek környezeti hatását hosszú távon csökkentő értékelési módszerek </w:t>
      </w:r>
      <w:r w:rsidRPr="00C07972">
        <w:lastRenderedPageBreak/>
        <w:t>tudományos fejleményeknek megfelelő frissítését; felhívja a Bizottságot, hogy tegye meg a megfelelő lépéseket annak biztosítása érdekében, hogy a hatóság elegendő erőforrással és álláshellyel rendelkezzen ahhoz, hogy segítse a tagállamokat az 1107/2009/EK rendeletben meghatározott határidők betartásában, valamint abban, hogy az évente értékelt növényvédő</w:t>
      </w:r>
      <w:proofErr w:type="gramEnd"/>
      <w:r w:rsidRPr="00C07972">
        <w:t xml:space="preserve"> </w:t>
      </w:r>
      <w:proofErr w:type="gramStart"/>
      <w:r w:rsidRPr="00C07972">
        <w:t>hatóanyagok</w:t>
      </w:r>
      <w:proofErr w:type="gramEnd"/>
      <w:r w:rsidRPr="00C07972">
        <w:t xml:space="preserve"> számát megkétszerezzék, illetve a kockázatértékeléseknek a legújabb tudományos fejleményekkel és a társadalmi elvárásokkal való összhangját biztosító módszerek kidolgozásának sebességét háromszorosára gyorsítsák;</w:t>
      </w:r>
    </w:p>
    <w:p w:rsidR="008A4296" w:rsidRPr="00C07972" w:rsidRDefault="008A4296" w:rsidP="003603A7">
      <w:pPr>
        <w:widowControl/>
        <w:spacing w:after="240"/>
        <w:ind w:left="567" w:hanging="567"/>
        <w:rPr>
          <w:b/>
          <w:i/>
          <w:szCs w:val="24"/>
        </w:rPr>
      </w:pPr>
      <w:r w:rsidRPr="00C07972">
        <w:rPr>
          <w:b/>
          <w:i/>
        </w:rPr>
        <w:t>Teljesítmény</w:t>
      </w:r>
    </w:p>
    <w:p w:rsidR="008A4296" w:rsidRPr="00C07972" w:rsidRDefault="008A4296" w:rsidP="003603A7">
      <w:pPr>
        <w:pStyle w:val="NormalHanging12a"/>
        <w:widowControl/>
      </w:pPr>
      <w:r w:rsidRPr="00C07972">
        <w:t>3.</w:t>
      </w:r>
      <w:r w:rsidRPr="00C07972">
        <w:tab/>
        <w:t xml:space="preserve">üdvözli, hogy a hatóság hozzájárult az uniós élelmiszer- és takarmánylánc biztonságához, és jelentős erőfeszítéseket tett e téren azáltal, hogy a kockázatkezelőket az élelmiszerlánccal kapcsolatban átfogó, független és naprakész tudományos tanácsokkal látta el, és hogy a nyilvánosság számára egyértelmű tájékoztatást nyújtott tevékenységéről és az annak alapjául szolgáló </w:t>
      </w:r>
      <w:proofErr w:type="gramStart"/>
      <w:r w:rsidRPr="00C07972">
        <w:t>információkról</w:t>
      </w:r>
      <w:proofErr w:type="gramEnd"/>
      <w:r w:rsidRPr="00C07972">
        <w:t>, továbbá hogy együttműködött az érdekelt felekkel és intézményi partnerekkel az élelmiszer-biztonsági rendszerbe vetett bizalom és a koherencia előmozdítása érdekében;</w:t>
      </w:r>
    </w:p>
    <w:p w:rsidR="008A4296" w:rsidRPr="00C07972" w:rsidRDefault="008A4296" w:rsidP="003603A7">
      <w:pPr>
        <w:pStyle w:val="NormalHanging12a"/>
        <w:widowControl/>
        <w:rPr>
          <w:szCs w:val="24"/>
        </w:rPr>
      </w:pPr>
      <w:proofErr w:type="gramStart"/>
      <w:r w:rsidRPr="00C07972">
        <w:t>4.</w:t>
      </w:r>
      <w:r w:rsidRPr="00C07972">
        <w:tab/>
        <w:t xml:space="preserve">megelégedéssel veszi tudomásul, hogy a hatóság integrált teljesítménymérési keretet vezetett be, amely összekapcsolja az erőforrásokat és a tevékenységeket az outputokkal és a várt eredményekkel, és amelyet a teljesítmény nyomon követése és előmozdítása érdekében fő teljesítménymutatók egészítenek ki; </w:t>
      </w:r>
      <w:proofErr w:type="spellStart"/>
      <w:r w:rsidRPr="00C07972">
        <w:t>megjegyzi</w:t>
      </w:r>
      <w:proofErr w:type="spellEnd"/>
      <w:r w:rsidRPr="00C07972">
        <w:t xml:space="preserve"> továbbá, hogy a teljesítménymérési keretben meghatározott célokhoz viszonyított teljesítmény összességében 96%-</w:t>
      </w:r>
      <w:proofErr w:type="spellStart"/>
      <w:r w:rsidRPr="00C07972">
        <w:t>ot</w:t>
      </w:r>
      <w:proofErr w:type="spellEnd"/>
      <w:r w:rsidRPr="00C07972">
        <w:t xml:space="preserve"> ért el; megállapítja, hogy a 2. stratégiai célkitűzés (A jövőbeli kockázatelemzési igényekre való felkészültség biztosítása) és a 3. stratégiai célkitűzés (Az emberek szerepvállalásának</w:t>
      </w:r>
      <w:proofErr w:type="gramEnd"/>
      <w:r w:rsidRPr="00C07972">
        <w:t xml:space="preserve"> </w:t>
      </w:r>
      <w:proofErr w:type="gramStart"/>
      <w:r w:rsidRPr="00C07972">
        <w:t>növelése</w:t>
      </w:r>
      <w:proofErr w:type="gramEnd"/>
      <w:r w:rsidRPr="00C07972">
        <w:t xml:space="preserve"> és a szervezeti agilitás biztosítása) területei összességében jó teljesítményt mutattak, míg az 1. stratégiai célkitűzés (Megbízható tudományos tanácsadás és a kockázatok kommunikációja a termelőtől a fogyasztóig) területe, amelyet súlyosan érintett az (EU) 2019/1381 rendelet</w:t>
      </w:r>
      <w:r w:rsidRPr="00C07972">
        <w:rPr>
          <w:rStyle w:val="FootnoteReference"/>
          <w:szCs w:val="24"/>
        </w:rPr>
        <w:footnoteReference w:id="12"/>
      </w:r>
      <w:r w:rsidRPr="00C07972">
        <w:t xml:space="preserve"> szerinti új szabályok és eljárások végrehajtása, eltért a céltól;</w:t>
      </w:r>
    </w:p>
    <w:p w:rsidR="008A4296" w:rsidRPr="00C07972" w:rsidRDefault="008A4296" w:rsidP="003603A7">
      <w:pPr>
        <w:pStyle w:val="NormalHanging12a"/>
        <w:widowControl/>
        <w:rPr>
          <w:szCs w:val="24"/>
        </w:rPr>
      </w:pPr>
      <w:r w:rsidRPr="00C07972">
        <w:t>5.</w:t>
      </w:r>
      <w:r w:rsidRPr="00C07972">
        <w:tab/>
        <w:t xml:space="preserve">kiemeli, hogy a hatóság az 1. célkitűzéssel (Megbízható tudományos tanácsadás és a kockázatok kommunikációja a termelőtől a fogyasztóig) kapcsolatban a megcélzott 701-ből 586 tudományos kérdést véglegesített; </w:t>
      </w:r>
      <w:proofErr w:type="spellStart"/>
      <w:r w:rsidRPr="00C07972">
        <w:t>megjegyzi</w:t>
      </w:r>
      <w:proofErr w:type="spellEnd"/>
      <w:r w:rsidRPr="00C07972">
        <w:t xml:space="preserve">, hogy annak ellenére, hogy a lezárt tudományos kérdések száma az </w:t>
      </w:r>
      <w:proofErr w:type="spellStart"/>
      <w:r w:rsidRPr="00C07972">
        <w:t>előrejelzettnél</w:t>
      </w:r>
      <w:proofErr w:type="spellEnd"/>
      <w:r w:rsidRPr="00C07972">
        <w:t xml:space="preserve"> alacsonyabb volt, ez nagyjából megfelelt az év során beérkező új kérdéseknek, ezáltal biztosítva, hogy a nyitott kérdések száma ne növekedjen;</w:t>
      </w:r>
    </w:p>
    <w:p w:rsidR="008A4296" w:rsidRPr="00C07972" w:rsidRDefault="008A4296" w:rsidP="003603A7">
      <w:pPr>
        <w:pStyle w:val="NormalHanging12a"/>
        <w:widowControl/>
        <w:rPr>
          <w:szCs w:val="24"/>
        </w:rPr>
      </w:pPr>
      <w:r w:rsidRPr="00C07972">
        <w:t>6.</w:t>
      </w:r>
      <w:r w:rsidRPr="00C07972">
        <w:tab/>
        <w:t>üdvözli, hogy a megállapítások közlésének területén nagyon pozitív eredmények születtek, és a hatóság kiadványában való közzététel időszerűségét illetően fenntartották az elmúlt 2 évben elért pozitív teljesítményt;</w:t>
      </w:r>
    </w:p>
    <w:p w:rsidR="008A4296" w:rsidRPr="00C07972" w:rsidRDefault="008A4296" w:rsidP="003603A7">
      <w:pPr>
        <w:pStyle w:val="NormalHanging12a"/>
        <w:widowControl/>
        <w:rPr>
          <w:szCs w:val="24"/>
        </w:rPr>
      </w:pPr>
      <w:r w:rsidRPr="00C07972">
        <w:lastRenderedPageBreak/>
        <w:t>7.</w:t>
      </w:r>
      <w:r w:rsidRPr="00C07972">
        <w:tab/>
        <w:t xml:space="preserve">tudomásul veszi, hogy 2022 volt a Stratégia 2027 végrehajtásának első éve; a Stratégia 2027-et a Stratégia 2020 </w:t>
      </w:r>
      <w:proofErr w:type="spellStart"/>
      <w:r w:rsidRPr="00C07972">
        <w:t>továbbfejlesztéseként</w:t>
      </w:r>
      <w:proofErr w:type="spellEnd"/>
      <w:r w:rsidRPr="00C07972">
        <w:t xml:space="preserve"> alakítottak ki, és amely stratégia az (EU) 2019/1381 rendelet végrehajtására összpontosít (</w:t>
      </w:r>
      <w:proofErr w:type="gramStart"/>
      <w:r w:rsidRPr="00C07972">
        <w:t>rövid távon</w:t>
      </w:r>
      <w:proofErr w:type="gramEnd"/>
      <w:r w:rsidRPr="00C07972">
        <w:t>), és felkészíti a hatóságot az új, változó uniós szakpolitikák kezelésére (hosszú távon);</w:t>
      </w:r>
    </w:p>
    <w:p w:rsidR="008A4296" w:rsidRPr="00C07972" w:rsidRDefault="008A4296" w:rsidP="003603A7">
      <w:pPr>
        <w:pStyle w:val="NormalHanging12a"/>
        <w:widowControl/>
        <w:rPr>
          <w:szCs w:val="24"/>
        </w:rPr>
      </w:pPr>
      <w:r w:rsidRPr="00C07972">
        <w:t>8.</w:t>
      </w:r>
      <w:r w:rsidRPr="00C07972">
        <w:tab/>
        <w:t xml:space="preserve">üdvözli, hogy a hatóság 2022 júniusában megszervezte az „EGY </w:t>
      </w:r>
      <w:proofErr w:type="gramStart"/>
      <w:r w:rsidRPr="00C07972">
        <w:t>konferencia</w:t>
      </w:r>
      <w:proofErr w:type="gramEnd"/>
      <w:r w:rsidRPr="00C07972">
        <w:t xml:space="preserve"> – Egészség, Környezet és Társadalom” elnevezésű konferenciát, kiemelve az emberi, állati és környezeti egészség közötti kapcsolatot, és elvezetve az „Egy az egészség – Egy a környezet” koncepcióhoz;</w:t>
      </w:r>
    </w:p>
    <w:p w:rsidR="008A4296" w:rsidRPr="00C07972" w:rsidRDefault="008A4296" w:rsidP="003603A7">
      <w:pPr>
        <w:pStyle w:val="NormalHanging12a"/>
        <w:widowControl/>
        <w:rPr>
          <w:szCs w:val="24"/>
        </w:rPr>
      </w:pPr>
      <w:r w:rsidRPr="00C07972">
        <w:t>9.</w:t>
      </w:r>
      <w:r w:rsidRPr="00C07972">
        <w:tab/>
      </w:r>
      <w:proofErr w:type="spellStart"/>
      <w:r w:rsidRPr="00C07972">
        <w:t>megjegyzi</w:t>
      </w:r>
      <w:proofErr w:type="spellEnd"/>
      <w:r w:rsidRPr="00C07972">
        <w:t xml:space="preserve">, hogy a hatóság 18 tagállammal partnerségben kampányt indított az afrikai sertéspestis ellen; </w:t>
      </w:r>
      <w:proofErr w:type="spellStart"/>
      <w:r w:rsidRPr="00C07972">
        <w:t>megjegyzi</w:t>
      </w:r>
      <w:proofErr w:type="spellEnd"/>
      <w:r w:rsidRPr="00C07972">
        <w:t xml:space="preserve"> továbbá, hogy a hatóság hozzájárult a vegyi anyagokra vonatkozó uniós stratégia kialakításához és végrehajtásához;</w:t>
      </w:r>
    </w:p>
    <w:p w:rsidR="008A4296" w:rsidRPr="00C07972" w:rsidRDefault="008A4296" w:rsidP="003603A7">
      <w:pPr>
        <w:pStyle w:val="NormalHanging12a"/>
        <w:widowControl/>
      </w:pPr>
      <w:r w:rsidRPr="00C07972">
        <w:t>10.</w:t>
      </w:r>
      <w:r w:rsidRPr="00C07972">
        <w:tab/>
      </w:r>
      <w:proofErr w:type="spellStart"/>
      <w:r w:rsidRPr="00C07972">
        <w:t>megjegyzi</w:t>
      </w:r>
      <w:proofErr w:type="spellEnd"/>
      <w:r w:rsidRPr="00C07972">
        <w:t>, hogy a hatóság által indított éves stratégiai felmérés, amely visszajelzést kér ügyfeleitől, partnereitől és a hatóság tudományos szakvéleményeinek elkészítésében közvetlenül vagy közvetve részt vevő érdekelt felektől, azt állapította meg, hogy a hatóság azon képessége, hogy időben tanácsot adjon, még nem működik kielégítően;</w:t>
      </w:r>
    </w:p>
    <w:p w:rsidR="008A4296" w:rsidRPr="00C07972" w:rsidRDefault="008A4296" w:rsidP="003603A7">
      <w:pPr>
        <w:pStyle w:val="NormalHanging12a"/>
        <w:widowControl/>
        <w:rPr>
          <w:b/>
          <w:i/>
          <w:szCs w:val="24"/>
        </w:rPr>
      </w:pPr>
      <w:r w:rsidRPr="00C07972">
        <w:rPr>
          <w:b/>
          <w:i/>
        </w:rPr>
        <w:t>Hatékonyság és hasznok</w:t>
      </w:r>
    </w:p>
    <w:p w:rsidR="008A4296" w:rsidRPr="00C07972" w:rsidRDefault="008A4296" w:rsidP="003603A7">
      <w:pPr>
        <w:pStyle w:val="NormalHanging12a"/>
        <w:widowControl/>
        <w:rPr>
          <w:szCs w:val="24"/>
        </w:rPr>
      </w:pPr>
      <w:r w:rsidRPr="00C07972">
        <w:t>11.</w:t>
      </w:r>
      <w:r w:rsidRPr="00C07972">
        <w:tab/>
        <w:t xml:space="preserve">megállapítja, hogy a hatóság a vegyi anyagokra vonatkozó új uniós stratégia keretében együttműködik az Európai Vegyianyag-ügynökséggel, az Európai Betegségmegelőzési és Járványvédelmi Központtal pedig a </w:t>
      </w:r>
      <w:proofErr w:type="spellStart"/>
      <w:r w:rsidRPr="00C07972">
        <w:t>genomszekvenálás</w:t>
      </w:r>
      <w:proofErr w:type="spellEnd"/>
      <w:r w:rsidRPr="00C07972">
        <w:t xml:space="preserve"> gyűjtésére és elemzésére szolgáló rendszerek kidolgozása érdekében; </w:t>
      </w:r>
      <w:proofErr w:type="spellStart"/>
      <w:r w:rsidRPr="00C07972">
        <w:t>megjegyzi</w:t>
      </w:r>
      <w:proofErr w:type="spellEnd"/>
      <w:r w:rsidRPr="00C07972">
        <w:t xml:space="preserve"> továbbá, hogy a hatóság megosztotta emberi erőforrásait és kutatási erőforrásait a testvérügynökségekkel és a Közös Kutatóközponttal; hangsúlyozza továbbá az együttműködés és a bevált gyakorlatok kiigazításának </w:t>
      </w:r>
      <w:proofErr w:type="gramStart"/>
      <w:r w:rsidRPr="00C07972">
        <w:t>horizontális</w:t>
      </w:r>
      <w:proofErr w:type="gramEnd"/>
      <w:r w:rsidRPr="00C07972">
        <w:t xml:space="preserve"> előnyeit;</w:t>
      </w:r>
    </w:p>
    <w:p w:rsidR="008A4296" w:rsidRPr="00C07972" w:rsidRDefault="008A4296" w:rsidP="003603A7">
      <w:pPr>
        <w:pStyle w:val="NormalHanging12a"/>
        <w:widowControl/>
        <w:rPr>
          <w:szCs w:val="24"/>
        </w:rPr>
      </w:pPr>
      <w:r w:rsidRPr="00C07972">
        <w:t>12.</w:t>
      </w:r>
      <w:r w:rsidRPr="00C07972">
        <w:tab/>
      </w:r>
      <w:proofErr w:type="spellStart"/>
      <w:r w:rsidRPr="00C07972">
        <w:t>megjegyzi</w:t>
      </w:r>
      <w:proofErr w:type="spellEnd"/>
      <w:r w:rsidRPr="00C07972">
        <w:t xml:space="preserve">, hogy a hatóság 2022-ben fokozta az új folyamatok és informatikai eszközök bevezetésének megszilárdítására irányuló erőfeszítéseit, törekedve a magas szintű hatékonyság elérésére és a más ügynökségekkel való szinergiák maximalizálására; </w:t>
      </w:r>
      <w:proofErr w:type="spellStart"/>
      <w:r w:rsidRPr="00C07972">
        <w:t>megjegyzi</w:t>
      </w:r>
      <w:proofErr w:type="spellEnd"/>
      <w:r w:rsidRPr="00C07972">
        <w:t xml:space="preserve"> továbbá, hogy a hatóság néhány, az informatikai eszközök hatékonysága és hatékonyságnövelése terén 2020–2022-ben elért eredményét csak 2023 végére tűzte ki célul;</w:t>
      </w:r>
    </w:p>
    <w:p w:rsidR="008A4296" w:rsidRPr="00C07972" w:rsidRDefault="008A4296" w:rsidP="003603A7">
      <w:pPr>
        <w:pStyle w:val="NormalHanging12a"/>
        <w:widowControl/>
      </w:pPr>
      <w:r w:rsidRPr="00C07972">
        <w:t>13.</w:t>
      </w:r>
      <w:r w:rsidRPr="00C07972">
        <w:tab/>
        <w:t xml:space="preserve">üdvözli a hatóság azon szándékát, hogy megerősítse a közös adatkezelést a tagállamokkal és más ügynökségekkel, mivel ez javítaná az adatminőséget és az adatok </w:t>
      </w:r>
      <w:proofErr w:type="spellStart"/>
      <w:r w:rsidRPr="00C07972">
        <w:t>interoperabilitását</w:t>
      </w:r>
      <w:proofErr w:type="spellEnd"/>
      <w:r w:rsidRPr="00C07972">
        <w:t xml:space="preserve"> (az „Egy az egészség” megközelítéssel összhangban);</w:t>
      </w:r>
    </w:p>
    <w:p w:rsidR="008A4296" w:rsidRPr="00C07972" w:rsidRDefault="008A4296" w:rsidP="003603A7">
      <w:pPr>
        <w:widowControl/>
        <w:spacing w:after="240"/>
        <w:ind w:left="567" w:hanging="567"/>
        <w:rPr>
          <w:b/>
          <w:i/>
          <w:szCs w:val="24"/>
        </w:rPr>
      </w:pPr>
      <w:r w:rsidRPr="00C07972">
        <w:rPr>
          <w:b/>
          <w:i/>
        </w:rPr>
        <w:t>Személyzeti politika</w:t>
      </w:r>
    </w:p>
    <w:p w:rsidR="008A4296" w:rsidRPr="00C07972" w:rsidRDefault="008A4296" w:rsidP="003603A7">
      <w:pPr>
        <w:widowControl/>
        <w:spacing w:after="240"/>
        <w:ind w:left="567" w:hanging="567"/>
        <w:rPr>
          <w:rFonts w:eastAsia="Calibri"/>
          <w:szCs w:val="24"/>
        </w:rPr>
      </w:pPr>
      <w:proofErr w:type="gramStart"/>
      <w:r w:rsidRPr="00C07972">
        <w:t>14.</w:t>
      </w:r>
      <w:r w:rsidRPr="00C07972">
        <w:tab/>
        <w:t>megállapítja, hogy 2022. december 31-én a létszámterv végrehajtása 95,55%-</w:t>
      </w:r>
      <w:proofErr w:type="spellStart"/>
      <w:r w:rsidRPr="00C07972">
        <w:t>os</w:t>
      </w:r>
      <w:proofErr w:type="spellEnd"/>
      <w:r w:rsidRPr="00C07972">
        <w:t xml:space="preserve"> volt: az uniós költségvetés értelmében engedélyezett 405 álláshelyből (vesd össze a 2021-ben engedélyezett 380 álláshellyel) 5-re neveztek ki tisztviselőt és 382-re ideiglenes alkalmazottat; megállapítja, hogy ezen felül 170 szerződéses alkalmazott és 14 kirendelt nemzeti szakértő dolgozott a hatóságnál 2022-ben; </w:t>
      </w:r>
      <w:proofErr w:type="spellStart"/>
      <w:r w:rsidRPr="00C07972">
        <w:t>megjegyzi</w:t>
      </w:r>
      <w:proofErr w:type="spellEnd"/>
      <w:r w:rsidRPr="00C07972">
        <w:t xml:space="preserve"> továbbá, hogy az (EU) 2019/1381 rendelet végrehajtása érdekében a hatóság 2022-ben 31 új személyzeti </w:t>
      </w:r>
      <w:proofErr w:type="spellStart"/>
      <w:r w:rsidRPr="00C07972">
        <w:t>álláshelyet</w:t>
      </w:r>
      <w:proofErr w:type="spellEnd"/>
      <w:r w:rsidRPr="00C07972">
        <w:t xml:space="preserve">, a 2022–2024-es időszakra pedig 15 további szerződéses alkalmazotti </w:t>
      </w:r>
      <w:proofErr w:type="spellStart"/>
      <w:r w:rsidRPr="00C07972">
        <w:t>álláshelyet</w:t>
      </w:r>
      <w:proofErr w:type="spellEnd"/>
      <w:r w:rsidRPr="00C07972">
        <w:t xml:space="preserve"> kapott</w:t>
      </w:r>
      <w:proofErr w:type="gramEnd"/>
      <w:r w:rsidRPr="00C07972">
        <w:t>;</w:t>
      </w:r>
    </w:p>
    <w:p w:rsidR="008A4296" w:rsidRPr="00C07972" w:rsidRDefault="008A4296" w:rsidP="003603A7">
      <w:pPr>
        <w:widowControl/>
        <w:spacing w:after="240"/>
        <w:ind w:left="567" w:hanging="567"/>
        <w:rPr>
          <w:szCs w:val="24"/>
        </w:rPr>
      </w:pPr>
      <w:proofErr w:type="gramStart"/>
      <w:r w:rsidRPr="00C07972">
        <w:lastRenderedPageBreak/>
        <w:t>15.</w:t>
      </w:r>
      <w:r w:rsidRPr="00C07972">
        <w:tab/>
        <w:t>megállapítja, hogy 2022-ben a hatóság teljes személyzetén belül sikerült elérni a nemek közötti egyensúlyt, mivel az 557 alkalmazottból 335 (60,1%) nő, a hatóság igazgatótanácsában pedig a 70 tagból 37 (52,9%) nő; megállapítja, hogy a vezetői és irányítói pozíciókban magasabb a férfiak által betöltött álláshelyek aránya (63%), mint a nők által betöltötteké (37%); felhívja a hatóságot, hogy fokozza a vezetői és irányítói pozíciókban a nemek közötti különbségek áthidalására irányuló erőfeszítéseit;</w:t>
      </w:r>
      <w:proofErr w:type="gramEnd"/>
    </w:p>
    <w:p w:rsidR="008A4296" w:rsidRPr="00C07972" w:rsidRDefault="008A4296" w:rsidP="003603A7">
      <w:pPr>
        <w:widowControl/>
        <w:spacing w:after="240"/>
        <w:ind w:left="567" w:hanging="567"/>
        <w:rPr>
          <w:rFonts w:eastAsia="Calibri"/>
          <w:szCs w:val="24"/>
        </w:rPr>
      </w:pPr>
      <w:r w:rsidRPr="00C07972">
        <w:t>16.</w:t>
      </w:r>
      <w:r w:rsidRPr="00C07972">
        <w:tab/>
        <w:t>tudomásul veszi, hogy az orvosi szolgálat 2022-ben három kiégési esetet jelentett;</w:t>
      </w:r>
      <w:r w:rsidRPr="00C07972">
        <w:rPr>
          <w:rFonts w:ascii="Segoe UI" w:hAnsi="Segoe UI"/>
          <w:color w:val="374151"/>
        </w:rPr>
        <w:t xml:space="preserve"> </w:t>
      </w:r>
      <w:r w:rsidRPr="00C07972">
        <w:t>hangsúlyozza a szakmai kötelezettségek és a magánélet közötti egyensúly fenntartásának kritikus fontosságát; felhívja a hatóságot, hogy továbbra is mozdítsa elő a munka és a magánélet közötti egészséges egyensúlyt a személyzet körében;</w:t>
      </w:r>
    </w:p>
    <w:p w:rsidR="008A4296" w:rsidRPr="00C07972" w:rsidRDefault="008A4296" w:rsidP="003603A7">
      <w:pPr>
        <w:widowControl/>
        <w:spacing w:after="240"/>
        <w:ind w:left="567" w:hanging="567"/>
        <w:rPr>
          <w:rFonts w:eastAsia="Calibri"/>
          <w:szCs w:val="24"/>
        </w:rPr>
      </w:pPr>
      <w:proofErr w:type="gramStart"/>
      <w:r w:rsidRPr="00C07972">
        <w:t>17.</w:t>
      </w:r>
      <w:r w:rsidRPr="00C07972">
        <w:tab/>
      </w:r>
      <w:proofErr w:type="spellStart"/>
      <w:r w:rsidRPr="00C07972">
        <w:t>megjegyzi</w:t>
      </w:r>
      <w:proofErr w:type="spellEnd"/>
      <w:r w:rsidRPr="00C07972">
        <w:t>, hogy a hatóság elkötelezett az uniós ügynökségek hálózata és a sokszínűségről és befogadásról szóló charta értékeinek tiszteletben tartása mellett, és törekszik annak mielőbbi elfogadására; tudomásul veszi továbbá a hatóság részvételét az uniós ügynökségek hálózatának sokszínűséggel és befogadással foglalkozó munkacsoportjában, amelyben a sokszínűséggel és a befogadással kapcsolatos szinergiákat, információkat és forrásokat osztanak meg; emellett néhány belső kezdeményezést is megvalósítottak, például készítettek egy új karrier-weboldalt és a hatóságnál való munkavégzésről szóló</w:t>
      </w:r>
      <w:proofErr w:type="gramEnd"/>
      <w:r w:rsidRPr="00C07972">
        <w:t xml:space="preserve"> </w:t>
      </w:r>
      <w:proofErr w:type="gramStart"/>
      <w:r w:rsidRPr="00C07972">
        <w:t>videót</w:t>
      </w:r>
      <w:proofErr w:type="gramEnd"/>
      <w:r w:rsidRPr="00C07972">
        <w:t>, amelynek külön témája a sokszínűség és a befogadás;</w:t>
      </w:r>
    </w:p>
    <w:p w:rsidR="008A4296" w:rsidRPr="00C07972" w:rsidRDefault="008A4296" w:rsidP="003603A7">
      <w:pPr>
        <w:widowControl/>
        <w:spacing w:after="240"/>
        <w:ind w:left="567" w:hanging="567"/>
        <w:rPr>
          <w:rFonts w:eastAsia="Calibri"/>
          <w:szCs w:val="24"/>
        </w:rPr>
      </w:pPr>
      <w:r w:rsidRPr="00C07972">
        <w:t>18.</w:t>
      </w:r>
      <w:r w:rsidRPr="00C07972">
        <w:tab/>
      </w:r>
      <w:proofErr w:type="spellStart"/>
      <w:r w:rsidRPr="00C07972">
        <w:t>megjegyzi</w:t>
      </w:r>
      <w:proofErr w:type="spellEnd"/>
      <w:r w:rsidRPr="00C07972">
        <w:t xml:space="preserve">, hogy a hatóság elfogadta a fogyatékossággal élő személyeknek nyújtott támogatás végrehajtására vonatkozó iránymutatásokat, amelyek előmozdítják a szociálpolitikát és az egyenlő bánásmódot a munkahelyen; </w:t>
      </w:r>
      <w:proofErr w:type="spellStart"/>
      <w:r w:rsidRPr="00C07972">
        <w:t>megjegyzi</w:t>
      </w:r>
      <w:proofErr w:type="spellEnd"/>
      <w:r w:rsidRPr="00C07972">
        <w:t xml:space="preserve"> továbbá, hogy a hatóság épületét az olasz akadálymentesítési rendeletekkel összhangban alakították ki a fogyatékossággal élő személyek számára;</w:t>
      </w:r>
    </w:p>
    <w:p w:rsidR="008A4296" w:rsidRPr="00C07972" w:rsidRDefault="008A4296" w:rsidP="003603A7">
      <w:pPr>
        <w:widowControl/>
        <w:spacing w:after="240"/>
        <w:ind w:left="567" w:hanging="567"/>
        <w:rPr>
          <w:rFonts w:eastAsia="Calibri"/>
          <w:szCs w:val="24"/>
        </w:rPr>
      </w:pPr>
      <w:r w:rsidRPr="00C07972">
        <w:t>19.</w:t>
      </w:r>
      <w:r w:rsidRPr="00C07972">
        <w:tab/>
      </w:r>
      <w:proofErr w:type="spellStart"/>
      <w:r w:rsidRPr="00C07972">
        <w:t>megjegyzi</w:t>
      </w:r>
      <w:proofErr w:type="spellEnd"/>
      <w:r w:rsidRPr="00C07972">
        <w:t xml:space="preserve">, hogy 2022. január 1-jétől új szervezeti </w:t>
      </w:r>
      <w:proofErr w:type="gramStart"/>
      <w:r w:rsidRPr="00C07972">
        <w:t>struktúrát</w:t>
      </w:r>
      <w:proofErr w:type="gramEnd"/>
      <w:r w:rsidRPr="00C07972">
        <w:t xml:space="preserve"> vezettek be, amelynek célja az (EU) 2019/1381 rendelet végrehajtásának és a hatóság Stratégia 2027 elnevezésű stratégiája törekvéseinek támogatása;</w:t>
      </w:r>
    </w:p>
    <w:p w:rsidR="008A4296" w:rsidRPr="00C07972" w:rsidRDefault="008A4296" w:rsidP="003603A7">
      <w:pPr>
        <w:widowControl/>
        <w:spacing w:after="240"/>
        <w:ind w:left="567" w:hanging="567"/>
        <w:rPr>
          <w:b/>
          <w:i/>
          <w:szCs w:val="24"/>
        </w:rPr>
      </w:pPr>
      <w:r w:rsidRPr="00C07972">
        <w:rPr>
          <w:b/>
          <w:i/>
        </w:rPr>
        <w:t>Az összeférhetetlenségek megelőzése és kezelése, valamint az átláthatóság</w:t>
      </w:r>
    </w:p>
    <w:p w:rsidR="008A4296" w:rsidRPr="00C07972" w:rsidRDefault="008A4296" w:rsidP="003603A7">
      <w:pPr>
        <w:widowControl/>
        <w:spacing w:after="240"/>
        <w:ind w:left="567" w:hanging="567"/>
        <w:rPr>
          <w:rFonts w:eastAsia="Calibri"/>
          <w:szCs w:val="24"/>
        </w:rPr>
      </w:pPr>
      <w:r w:rsidRPr="00C07972">
        <w:t>20.</w:t>
      </w:r>
      <w:r w:rsidRPr="00C07972">
        <w:tab/>
      </w:r>
      <w:proofErr w:type="spellStart"/>
      <w:r w:rsidRPr="00C07972">
        <w:t>megjegyzi</w:t>
      </w:r>
      <w:proofErr w:type="spellEnd"/>
      <w:r w:rsidRPr="00C07972">
        <w:t xml:space="preserve">, hogy a hatóság igazgatótanácsa és operatív vezetése összeférhetetlenségi nyilatkozatot írt alá, amelyet a honlapon közzétesznek és elérhetővé tesznek; </w:t>
      </w:r>
      <w:proofErr w:type="spellStart"/>
      <w:r w:rsidRPr="00C07972">
        <w:t>megjegyzi</w:t>
      </w:r>
      <w:proofErr w:type="spellEnd"/>
      <w:r w:rsidRPr="00C07972">
        <w:t xml:space="preserve"> továbbá, hogy az igazgatótanács tagjainak és póttagjainak önéletrajzát 2023 végéig közzéteszik;</w:t>
      </w:r>
    </w:p>
    <w:p w:rsidR="008A4296" w:rsidRPr="00C07972" w:rsidRDefault="008A4296" w:rsidP="003603A7">
      <w:pPr>
        <w:widowControl/>
        <w:spacing w:after="240"/>
        <w:ind w:left="567" w:hanging="567"/>
        <w:rPr>
          <w:rFonts w:eastAsia="Calibri"/>
          <w:szCs w:val="24"/>
        </w:rPr>
      </w:pPr>
      <w:r w:rsidRPr="00C07972">
        <w:t>21.</w:t>
      </w:r>
      <w:r w:rsidRPr="00C07972">
        <w:tab/>
      </w:r>
      <w:proofErr w:type="spellStart"/>
      <w:r w:rsidRPr="00C07972">
        <w:t>megjegyzi</w:t>
      </w:r>
      <w:proofErr w:type="spellEnd"/>
      <w:r w:rsidRPr="00C07972">
        <w:t xml:space="preserve">, hogy 2022-ben a hatóság hét összeférhetetlenséget azonosított és kezelt a külső szakértőkre vonatkozó éves érdekeltségi nyilatkozatok szintjén; </w:t>
      </w:r>
      <w:proofErr w:type="spellStart"/>
      <w:r w:rsidRPr="00C07972">
        <w:t>megjegyzi</w:t>
      </w:r>
      <w:proofErr w:type="spellEnd"/>
      <w:r w:rsidRPr="00C07972">
        <w:t>, hogy a hatóság megakadályozta az érintett személyeket abban, hogy részt vegyenek a tudományos tevékenységekben;</w:t>
      </w:r>
    </w:p>
    <w:p w:rsidR="008A4296" w:rsidRPr="00C07972" w:rsidRDefault="008A4296" w:rsidP="003603A7">
      <w:pPr>
        <w:widowControl/>
        <w:spacing w:after="240"/>
        <w:ind w:left="567" w:hanging="567"/>
        <w:rPr>
          <w:rFonts w:eastAsia="Calibri"/>
          <w:szCs w:val="24"/>
        </w:rPr>
      </w:pPr>
      <w:r w:rsidRPr="00C07972">
        <w:t>22.</w:t>
      </w:r>
      <w:r w:rsidRPr="00C07972">
        <w:tab/>
        <w:t xml:space="preserve">tudomásul veszi, hogy a hatóság önkéntes magatartási </w:t>
      </w:r>
      <w:proofErr w:type="gramStart"/>
      <w:r w:rsidRPr="00C07972">
        <w:t>kódexszel</w:t>
      </w:r>
      <w:proofErr w:type="gramEnd"/>
      <w:r w:rsidRPr="00C07972">
        <w:t xml:space="preserve"> rendelkezik, amelynek értelmében az igazgatótanács tagjai kötelezik magukat arra, hogy a hivatali idejük lejárta utáni kétéves időszakon belül vállalt szakmai tevékenységeikről tájékoztassák a hatóságot;</w:t>
      </w:r>
    </w:p>
    <w:p w:rsidR="008A4296" w:rsidRPr="00C07972" w:rsidRDefault="008A4296" w:rsidP="003603A7">
      <w:pPr>
        <w:widowControl/>
        <w:spacing w:after="240"/>
        <w:ind w:left="567" w:hanging="567"/>
        <w:rPr>
          <w:rFonts w:eastAsia="Calibri"/>
          <w:szCs w:val="24"/>
        </w:rPr>
      </w:pPr>
      <w:r w:rsidRPr="00C07972">
        <w:t>23.</w:t>
      </w:r>
      <w:r w:rsidRPr="00C07972">
        <w:tab/>
        <w:t xml:space="preserve">tudomásul veszi, hogy a hatóság 2024 első negyedévére új, a munkaviszony megszűnését követő standard eljárást tervez elfogadni, amely magában foglalná a </w:t>
      </w:r>
      <w:r w:rsidRPr="00C07972">
        <w:lastRenderedPageBreak/>
        <w:t xml:space="preserve">szolgálatból kilépő személyzet bizalmas </w:t>
      </w:r>
      <w:proofErr w:type="gramStart"/>
      <w:r w:rsidRPr="00C07972">
        <w:t>információkhoz</w:t>
      </w:r>
      <w:proofErr w:type="gramEnd"/>
      <w:r w:rsidRPr="00C07972">
        <w:t xml:space="preserve"> való hozzáférésének megszüntetésére vonatkozó kritériumokat és eljárást, a nyomon követési és végrehajtási követelményeket, valamint az átláthatósági előírásokat;</w:t>
      </w:r>
    </w:p>
    <w:p w:rsidR="008A4296" w:rsidRPr="00C07972" w:rsidRDefault="008A4296" w:rsidP="003603A7">
      <w:pPr>
        <w:widowControl/>
        <w:spacing w:after="240"/>
        <w:ind w:left="567" w:hanging="567"/>
        <w:rPr>
          <w:rFonts w:eastAsia="Calibri"/>
          <w:szCs w:val="24"/>
        </w:rPr>
      </w:pPr>
      <w:r w:rsidRPr="00C07972">
        <w:t>24.</w:t>
      </w:r>
      <w:r w:rsidRPr="00C07972">
        <w:tab/>
      </w:r>
      <w:proofErr w:type="spellStart"/>
      <w:r w:rsidRPr="00C07972">
        <w:t>megjegyzi</w:t>
      </w:r>
      <w:proofErr w:type="spellEnd"/>
      <w:r w:rsidRPr="00C07972">
        <w:t xml:space="preserve">, hogy a hatóság csalás elleni stratégiát vezetett be, amelyet az Európai Csalás Elleni Hivatallal szoros együttműködésben dolgoztak ki, és amelyet kapcsolódó végrehajtási szabályok és cselekvési terv kísér a csalás és a </w:t>
      </w:r>
      <w:proofErr w:type="gramStart"/>
      <w:r w:rsidRPr="00C07972">
        <w:t>korrupció</w:t>
      </w:r>
      <w:proofErr w:type="gramEnd"/>
      <w:r w:rsidRPr="00C07972">
        <w:t xml:space="preserve"> megelőzése érdekében;</w:t>
      </w:r>
    </w:p>
    <w:p w:rsidR="008A4296" w:rsidRPr="00C07972" w:rsidRDefault="008A4296" w:rsidP="003603A7">
      <w:pPr>
        <w:widowControl/>
        <w:spacing w:after="240"/>
        <w:ind w:left="567" w:hanging="567"/>
        <w:rPr>
          <w:b/>
          <w:i/>
          <w:szCs w:val="24"/>
        </w:rPr>
      </w:pPr>
      <w:r w:rsidRPr="00C07972">
        <w:rPr>
          <w:b/>
          <w:i/>
        </w:rPr>
        <w:t>Egyéb megjegyzések</w:t>
      </w:r>
    </w:p>
    <w:p w:rsidR="008A4296" w:rsidRPr="00C07972" w:rsidRDefault="008A4296" w:rsidP="003603A7">
      <w:pPr>
        <w:widowControl/>
        <w:spacing w:after="240"/>
        <w:ind w:left="567" w:hanging="567"/>
        <w:rPr>
          <w:szCs w:val="24"/>
        </w:rPr>
      </w:pPr>
      <w:r w:rsidRPr="00C07972">
        <w:t>25.</w:t>
      </w:r>
      <w:r w:rsidRPr="00C07972">
        <w:tab/>
      </w:r>
      <w:proofErr w:type="spellStart"/>
      <w:r w:rsidRPr="00C07972">
        <w:t>megjegyzi</w:t>
      </w:r>
      <w:proofErr w:type="spellEnd"/>
      <w:r w:rsidRPr="00C07972">
        <w:t xml:space="preserve">, hogy 2022 júniusában a Belső Ellenőrzési Szolgálat (IAS) ellenőrzési jelentést adott ki az </w:t>
      </w:r>
      <w:proofErr w:type="gramStart"/>
      <w:r w:rsidRPr="00C07972">
        <w:t>információ</w:t>
      </w:r>
      <w:proofErr w:type="gramEnd"/>
      <w:r w:rsidRPr="00C07972">
        <w:t xml:space="preserve">biztonságról és a katasztrófa utáni helyreállításról azzal a céllal, hogy értékelje az irányítás kialakításának és végrehajtásának megfelelőségét, és két észrevételt és három fontos észrevételt azonosított az informatikai biztonsági irányítással kapcsolatban; </w:t>
      </w:r>
      <w:proofErr w:type="spellStart"/>
      <w:r w:rsidRPr="00C07972">
        <w:t>megjegyzi</w:t>
      </w:r>
      <w:proofErr w:type="spellEnd"/>
      <w:r w:rsidRPr="00C07972">
        <w:t>, hogy a hatóság elfogadta az IAS ajánlásait, és jelenleg cselekvési tervet hajt végre;</w:t>
      </w:r>
    </w:p>
    <w:p w:rsidR="008A4296" w:rsidRPr="00C07972" w:rsidRDefault="008A4296" w:rsidP="003603A7">
      <w:pPr>
        <w:pStyle w:val="NormalHanging12a"/>
        <w:widowControl/>
      </w:pPr>
      <w:proofErr w:type="gramStart"/>
      <w:r w:rsidRPr="00C07972">
        <w:t>26.</w:t>
      </w:r>
      <w:r w:rsidRPr="00C07972">
        <w:tab/>
        <w:t>üdvözli a hatóság arra irányuló erőfeszítéseit, hogy növelje nyilvános láthatóságát és online jelenlétét a „#</w:t>
      </w:r>
      <w:proofErr w:type="spellStart"/>
      <w:r w:rsidRPr="00C07972">
        <w:t>EUChooseSafeFood</w:t>
      </w:r>
      <w:proofErr w:type="spellEnd"/>
      <w:r w:rsidRPr="00C07972">
        <w:t xml:space="preserve">” kampány második évi elindítása révén, amelyet az illetékes tagállami hatóságokkal partnerségben hajtanak végre azzal a céllal, hogy érthető módon elmagyarázzák az </w:t>
      </w:r>
      <w:proofErr w:type="spellStart"/>
      <w:r w:rsidRPr="00C07972">
        <w:t>unióbeli</w:t>
      </w:r>
      <w:proofErr w:type="spellEnd"/>
      <w:r w:rsidRPr="00C07972">
        <w:t xml:space="preserve"> élelmiszer-biztonság mögött meghúzódó tudományos eredményeket, valamint üdvözli az „EGY – Egészség, környezet, társadalom” elnevezésű konferencia megszervezését a többi négy ENVI-ügynökséggel partnerségben, amely a „</w:t>
      </w:r>
      <w:proofErr w:type="spellStart"/>
      <w:r w:rsidRPr="00C07972">
        <w:t>One</w:t>
      </w:r>
      <w:proofErr w:type="spellEnd"/>
      <w:r w:rsidRPr="00C07972">
        <w:t xml:space="preserve"> Health </w:t>
      </w:r>
      <w:proofErr w:type="spellStart"/>
      <w:r w:rsidRPr="00C07972">
        <w:t>One</w:t>
      </w:r>
      <w:proofErr w:type="spellEnd"/>
      <w:r w:rsidRPr="00C07972">
        <w:t xml:space="preserve"> </w:t>
      </w:r>
      <w:proofErr w:type="spellStart"/>
      <w:r w:rsidRPr="00C07972">
        <w:t>Environment</w:t>
      </w:r>
      <w:proofErr w:type="spellEnd"/>
      <w:r w:rsidRPr="00C07972">
        <w:t xml:space="preserve">” (Egy az egészség, egy a környezet) elnevezésű közös </w:t>
      </w:r>
      <w:proofErr w:type="spellStart"/>
      <w:r w:rsidRPr="00C07972">
        <w:t>Instagram</w:t>
      </w:r>
      <w:proofErr w:type="spellEnd"/>
      <w:r w:rsidRPr="00C07972">
        <w:t>-csatorn</w:t>
      </w:r>
      <w:proofErr w:type="gramEnd"/>
      <w:r w:rsidRPr="00C07972">
        <w:t xml:space="preserve">a </w:t>
      </w:r>
      <w:proofErr w:type="gramStart"/>
      <w:r w:rsidRPr="00C07972">
        <w:t>elindításához</w:t>
      </w:r>
      <w:proofErr w:type="gramEnd"/>
      <w:r w:rsidRPr="00C07972">
        <w:t xml:space="preserve"> vezetett; </w:t>
      </w:r>
      <w:proofErr w:type="spellStart"/>
      <w:r w:rsidRPr="00C07972">
        <w:t>megjegyzi</w:t>
      </w:r>
      <w:proofErr w:type="spellEnd"/>
      <w:r w:rsidRPr="00C07972">
        <w:t xml:space="preserve"> továbbá, hogy a hatóság a Bizottság </w:t>
      </w:r>
      <w:proofErr w:type="spellStart"/>
      <w:r w:rsidRPr="00C07972">
        <w:t>eTranslation</w:t>
      </w:r>
      <w:proofErr w:type="spellEnd"/>
      <w:r w:rsidRPr="00C07972">
        <w:t xml:space="preserve"> </w:t>
      </w:r>
      <w:proofErr w:type="spellStart"/>
      <w:r w:rsidRPr="00C07972">
        <w:t>widgetjén</w:t>
      </w:r>
      <w:proofErr w:type="spellEnd"/>
      <w:r w:rsidRPr="00C07972">
        <w:t xml:space="preserve"> keresztül beruházott weboldalának többnyelvűvé tételébe, a mesterséges intelligencia felhasználásával; </w:t>
      </w:r>
      <w:proofErr w:type="spellStart"/>
      <w:r w:rsidRPr="00C07972">
        <w:t>megjegyzi</w:t>
      </w:r>
      <w:proofErr w:type="spellEnd"/>
      <w:r w:rsidRPr="00C07972">
        <w:t xml:space="preserve"> továbbá, hogy a hatóság 2022-ben is beruházott az „Open EFSA” portál fejlesztésébe, az (EU) 2019/1381 rendelet követelményeinek megfelelően;</w:t>
      </w:r>
    </w:p>
    <w:p w:rsidR="008A4296" w:rsidRPr="00C07972" w:rsidRDefault="008A4296" w:rsidP="003603A7">
      <w:pPr>
        <w:widowControl/>
        <w:spacing w:after="240"/>
        <w:ind w:left="567" w:hanging="567"/>
        <w:rPr>
          <w:rFonts w:eastAsia="Calibri"/>
          <w:szCs w:val="24"/>
        </w:rPr>
      </w:pPr>
      <w:r w:rsidRPr="00C07972">
        <w:t>27.</w:t>
      </w:r>
      <w:r w:rsidRPr="00C07972">
        <w:tab/>
        <w:t xml:space="preserve">üdvözli, hogy a hatóság néhány éve az EMAS tanúsítvánnyal rendelkező ügynökségek közé tartozik; tudomásul veszi, hogy a beszerzés típusától függően a hatóság a „zöld közbeszerzés” előírásait alkalmazza a kiválasztási és/vagy odaítélési </w:t>
      </w:r>
      <w:proofErr w:type="gramStart"/>
      <w:r w:rsidRPr="00C07972">
        <w:t>kritériumokra</w:t>
      </w:r>
      <w:proofErr w:type="gramEnd"/>
      <w:r w:rsidRPr="00C07972">
        <w:t xml:space="preserve"> vonatkozó minimumkövetelményekként;</w:t>
      </w:r>
    </w:p>
    <w:p w:rsidR="008A4296" w:rsidRPr="00C07972" w:rsidRDefault="008A4296" w:rsidP="003603A7">
      <w:pPr>
        <w:widowControl/>
        <w:spacing w:after="240"/>
        <w:ind w:left="567" w:hanging="567"/>
        <w:jc w:val="center"/>
      </w:pPr>
      <w:r w:rsidRPr="00C07972">
        <w:t>°</w:t>
      </w:r>
    </w:p>
    <w:p w:rsidR="008A4296" w:rsidRPr="00C07972" w:rsidRDefault="008A4296" w:rsidP="003603A7">
      <w:pPr>
        <w:pStyle w:val="NormalCenter12a"/>
        <w:widowControl/>
        <w:ind w:left="567" w:hanging="567"/>
      </w:pPr>
      <w:r w:rsidRPr="00C07972">
        <w:t>°</w:t>
      </w:r>
      <w:r w:rsidRPr="00C07972">
        <w:tab/>
        <w:t>°</w:t>
      </w:r>
    </w:p>
    <w:p w:rsidR="008A4296" w:rsidRPr="00735DAB" w:rsidRDefault="008A4296" w:rsidP="003603A7">
      <w:pPr>
        <w:widowControl/>
        <w:spacing w:after="240"/>
        <w:ind w:left="567" w:hanging="567"/>
        <w:rPr>
          <w:szCs w:val="24"/>
        </w:rPr>
      </w:pPr>
      <w:r w:rsidRPr="00C07972">
        <w:t>28.</w:t>
      </w:r>
      <w:r w:rsidRPr="00C07972">
        <w:tab/>
        <w:t xml:space="preserve">a mentesítő határozatot kísérő </w:t>
      </w:r>
      <w:proofErr w:type="gramStart"/>
      <w:r w:rsidRPr="00C07972">
        <w:t>horizontális</w:t>
      </w:r>
      <w:proofErr w:type="gramEnd"/>
      <w:r w:rsidRPr="00C07972">
        <w:t xml:space="preserve"> jellegű egyéb észrevételei tekintetében utal az ügynökségek teljesítményéről, pénzgazdálkodásáról és ellenőrzéséről szóló, </w:t>
      </w:r>
      <w:r w:rsidR="00081AEE" w:rsidRPr="00C07972">
        <w:t>2024. április 11-</w:t>
      </w:r>
      <w:r w:rsidRPr="00C07972">
        <w:t>i állásfoglalására</w:t>
      </w:r>
      <w:r w:rsidRPr="00C07972">
        <w:rPr>
          <w:rStyle w:val="FootnoteReference"/>
        </w:rPr>
        <w:footnoteReference w:id="13"/>
      </w:r>
      <w:r w:rsidRPr="00C07972">
        <w:t>.</w:t>
      </w:r>
    </w:p>
    <w:sectPr w:rsidR="008A4296" w:rsidRPr="00735DAB" w:rsidSect="00735D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3B9" w:rsidRPr="00735DAB" w:rsidRDefault="008E73B9">
      <w:r w:rsidRPr="00735DAB">
        <w:separator/>
      </w:r>
    </w:p>
  </w:endnote>
  <w:endnote w:type="continuationSeparator" w:id="0">
    <w:p w:rsidR="008E73B9" w:rsidRPr="00735DAB" w:rsidRDefault="008E73B9">
      <w:r w:rsidRPr="00735D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296" w:rsidRPr="00735DAB" w:rsidRDefault="008A4296" w:rsidP="00A7256A">
    <w:pPr>
      <w:pStyle w:val="EPFooter"/>
    </w:pPr>
    <w:proofErr w:type="gramStart"/>
    <w:r w:rsidRPr="00735DAB">
      <w:t>PE</w:t>
    </w:r>
    <w:r w:rsidRPr="00735DAB">
      <w:rPr>
        <w:rStyle w:val="HideTWBExt"/>
      </w:rPr>
      <w:t>&lt;</w:t>
    </w:r>
    <w:proofErr w:type="spellStart"/>
    <w:proofErr w:type="gramEnd"/>
    <w:r w:rsidRPr="00735DAB">
      <w:rPr>
        <w:rStyle w:val="HideTWBExt"/>
      </w:rPr>
      <w:t>NoPE</w:t>
    </w:r>
    <w:proofErr w:type="spellEnd"/>
    <w:r w:rsidRPr="00735DAB">
      <w:rPr>
        <w:rStyle w:val="HideTWBExt"/>
      </w:rPr>
      <w:t>&gt;</w:t>
    </w:r>
    <w:r w:rsidRPr="00735DAB">
      <w:t>753.519</w:t>
    </w:r>
    <w:r w:rsidRPr="00735DAB">
      <w:rPr>
        <w:rStyle w:val="HideTWBExt"/>
      </w:rPr>
      <w:t>&lt;/</w:t>
    </w:r>
    <w:proofErr w:type="spellStart"/>
    <w:r w:rsidRPr="00735DAB">
      <w:rPr>
        <w:rStyle w:val="HideTWBExt"/>
      </w:rPr>
      <w:t>NoPE</w:t>
    </w:r>
    <w:proofErr w:type="spellEnd"/>
    <w:r w:rsidRPr="00735DAB">
      <w:rPr>
        <w:rStyle w:val="HideTWBExt"/>
      </w:rPr>
      <w:t>&gt;&lt;Version&gt;</w:t>
    </w:r>
    <w:r w:rsidRPr="00735DAB">
      <w:t>v03-00</w:t>
    </w:r>
    <w:r w:rsidRPr="00735DAB">
      <w:rPr>
        <w:rStyle w:val="HideTWBExt"/>
      </w:rPr>
      <w:t>&lt;/Version&gt;</w:t>
    </w:r>
    <w:r w:rsidRPr="00735DAB">
      <w:tab/>
    </w:r>
    <w:r w:rsidRPr="00735DAB">
      <w:fldChar w:fldCharType="begin"/>
    </w:r>
    <w:r w:rsidRPr="00735DAB">
      <w:instrText xml:space="preserve"> PAGE  \* MERGEFORMAT </w:instrText>
    </w:r>
    <w:r w:rsidRPr="00735DAB">
      <w:fldChar w:fldCharType="separate"/>
    </w:r>
    <w:r w:rsidR="00735DAB" w:rsidRPr="00735DAB">
      <w:rPr>
        <w:noProof/>
      </w:rPr>
      <w:t>2</w:t>
    </w:r>
    <w:r w:rsidRPr="00735DAB">
      <w:fldChar w:fldCharType="end"/>
    </w:r>
    <w:r w:rsidRPr="00735DAB">
      <w:t>/</w:t>
    </w:r>
    <w:fldSimple w:instr=" NUMPAGES  \* MERGEFORMAT ">
      <w:r w:rsidR="00735DAB" w:rsidRPr="00735DAB">
        <w:rPr>
          <w:noProof/>
        </w:rPr>
        <w:t>3</w:t>
      </w:r>
    </w:fldSimple>
    <w:r w:rsidRPr="00735DAB">
      <w:tab/>
    </w:r>
    <w:r w:rsidRPr="00735DAB">
      <w:rPr>
        <w:rStyle w:val="HideTWBExt"/>
      </w:rPr>
      <w:t>&lt;PathFdR&gt;</w:t>
    </w:r>
    <w:r w:rsidRPr="00735DAB">
      <w:t>RR\1299220HU.docx</w:t>
    </w:r>
    <w:r w:rsidRPr="00735DAB">
      <w:rPr>
        <w:rStyle w:val="HideTWBExt"/>
      </w:rPr>
      <w:t>&lt;/</w:t>
    </w:r>
    <w:proofErr w:type="spellStart"/>
    <w:r w:rsidRPr="00735DAB">
      <w:rPr>
        <w:rStyle w:val="HideTWBExt"/>
      </w:rPr>
      <w:t>PathFdR</w:t>
    </w:r>
    <w:proofErr w:type="spellEnd"/>
    <w:r w:rsidRPr="00735DAB">
      <w:rPr>
        <w:rStyle w:val="HideTWBExt"/>
      </w:rPr>
      <w:t>&gt;</w:t>
    </w:r>
  </w:p>
  <w:p w:rsidR="008A4296" w:rsidRPr="00735DAB" w:rsidRDefault="008A4296" w:rsidP="00A7256A">
    <w:pPr>
      <w:pStyle w:val="EPFooter2"/>
    </w:pPr>
    <w:r w:rsidRPr="00735DAB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296" w:rsidRPr="00735DAB" w:rsidRDefault="008A4296" w:rsidP="00A7256A">
    <w:pPr>
      <w:pStyle w:val="EPFooter"/>
    </w:pPr>
    <w:r w:rsidRPr="00735DAB">
      <w:rPr>
        <w:rStyle w:val="HideTWBExt"/>
      </w:rPr>
      <w:t>&lt;PathFdR</w:t>
    </w:r>
    <w:proofErr w:type="gramStart"/>
    <w:r w:rsidRPr="00735DAB">
      <w:rPr>
        <w:rStyle w:val="HideTWBExt"/>
      </w:rPr>
      <w:t>&gt;</w:t>
    </w:r>
    <w:r w:rsidRPr="00735DAB">
      <w:t>RR</w:t>
    </w:r>
    <w:proofErr w:type="gramEnd"/>
    <w:r w:rsidRPr="00735DAB">
      <w:t>\1299220HU.docx</w:t>
    </w:r>
    <w:r w:rsidRPr="00735DAB">
      <w:rPr>
        <w:rStyle w:val="HideTWBExt"/>
      </w:rPr>
      <w:t>&lt;/</w:t>
    </w:r>
    <w:proofErr w:type="spellStart"/>
    <w:r w:rsidRPr="00735DAB">
      <w:rPr>
        <w:rStyle w:val="HideTWBExt"/>
      </w:rPr>
      <w:t>PathFdR</w:t>
    </w:r>
    <w:proofErr w:type="spellEnd"/>
    <w:r w:rsidRPr="00735DAB">
      <w:rPr>
        <w:rStyle w:val="HideTWBExt"/>
      </w:rPr>
      <w:t>&gt;</w:t>
    </w:r>
    <w:r w:rsidRPr="00735DAB">
      <w:tab/>
    </w:r>
    <w:r w:rsidRPr="00735DAB">
      <w:tab/>
      <w:t>PE</w:t>
    </w:r>
    <w:r w:rsidRPr="00735DAB">
      <w:rPr>
        <w:rStyle w:val="HideTWBExt"/>
      </w:rPr>
      <w:t>&lt;</w:t>
    </w:r>
    <w:proofErr w:type="spellStart"/>
    <w:r w:rsidRPr="00735DAB">
      <w:rPr>
        <w:rStyle w:val="HideTWBExt"/>
      </w:rPr>
      <w:t>NoPE</w:t>
    </w:r>
    <w:proofErr w:type="spellEnd"/>
    <w:r w:rsidRPr="00735DAB">
      <w:rPr>
        <w:rStyle w:val="HideTWBExt"/>
      </w:rPr>
      <w:t>&gt;</w:t>
    </w:r>
    <w:r w:rsidRPr="00735DAB">
      <w:t>753.519</w:t>
    </w:r>
    <w:r w:rsidRPr="00735DAB">
      <w:rPr>
        <w:rStyle w:val="HideTWBExt"/>
      </w:rPr>
      <w:t>&lt;/</w:t>
    </w:r>
    <w:proofErr w:type="spellStart"/>
    <w:r w:rsidRPr="00735DAB">
      <w:rPr>
        <w:rStyle w:val="HideTWBExt"/>
      </w:rPr>
      <w:t>NoPE</w:t>
    </w:r>
    <w:proofErr w:type="spellEnd"/>
    <w:r w:rsidRPr="00735DAB">
      <w:rPr>
        <w:rStyle w:val="HideTWBExt"/>
      </w:rPr>
      <w:t>&gt;&lt;Version&gt;</w:t>
    </w:r>
    <w:r w:rsidRPr="00735DAB">
      <w:t>v03-00</w:t>
    </w:r>
    <w:r w:rsidRPr="00735DAB">
      <w:rPr>
        <w:rStyle w:val="HideTWBExt"/>
      </w:rPr>
      <w:t>&lt;/Version&gt;</w:t>
    </w:r>
  </w:p>
  <w:p w:rsidR="008A4296" w:rsidRPr="00735DAB" w:rsidRDefault="008A4296" w:rsidP="00A7256A">
    <w:pPr>
      <w:pStyle w:val="EPFooter2"/>
    </w:pPr>
    <w:proofErr w:type="gramStart"/>
    <w:r w:rsidRPr="00735DAB">
      <w:t>HU</w:t>
    </w:r>
    <w:proofErr w:type="gramEnd"/>
    <w:r w:rsidRPr="00735DAB">
      <w:tab/>
    </w:r>
    <w:r w:rsidRPr="00735DAB">
      <w:rPr>
        <w:b w:val="0"/>
        <w:i/>
        <w:color w:val="C0C0C0"/>
        <w:sz w:val="22"/>
      </w:rPr>
      <w:t>Egyesülve a sokféleségben</w:t>
    </w:r>
    <w:r w:rsidRPr="00735DAB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5DA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5DA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5D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3B9" w:rsidRPr="00735DAB" w:rsidRDefault="008E73B9">
      <w:r w:rsidRPr="00735DAB">
        <w:separator/>
      </w:r>
    </w:p>
  </w:footnote>
  <w:footnote w:type="continuationSeparator" w:id="0">
    <w:p w:rsidR="008E73B9" w:rsidRPr="00735DAB" w:rsidRDefault="008E73B9">
      <w:r w:rsidRPr="00735DAB">
        <w:continuationSeparator/>
      </w:r>
    </w:p>
  </w:footnote>
  <w:footnote w:id="1">
    <w:p w:rsidR="008A4296" w:rsidRPr="00735DAB" w:rsidRDefault="008A4296" w:rsidP="00735DAB">
      <w:pPr>
        <w:pStyle w:val="FootnoteText"/>
        <w:ind w:left="567" w:hanging="567"/>
        <w:rPr>
          <w:sz w:val="24"/>
          <w:lang w:val="hu-HU"/>
        </w:rPr>
      </w:pPr>
      <w:r w:rsidRPr="00735DAB">
        <w:rPr>
          <w:rStyle w:val="FootnoteReference"/>
          <w:sz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r w:rsidRPr="00735DAB">
        <w:rPr>
          <w:sz w:val="24"/>
          <w:lang w:val="hu-HU"/>
        </w:rPr>
        <w:t>HL C, C/2023/594, 2023.10.27.</w:t>
      </w:r>
    </w:p>
  </w:footnote>
  <w:footnote w:id="2">
    <w:p w:rsidR="008A4296" w:rsidRPr="00735DAB" w:rsidRDefault="008A4296" w:rsidP="00735DAB">
      <w:pPr>
        <w:pStyle w:val="FootnoteText"/>
        <w:ind w:left="567" w:hanging="567"/>
        <w:rPr>
          <w:sz w:val="24"/>
          <w:lang w:val="hu-HU"/>
        </w:rPr>
      </w:pPr>
      <w:r w:rsidRPr="00735DAB">
        <w:rPr>
          <w:rStyle w:val="FootnoteReference"/>
          <w:sz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r w:rsidRPr="00735DAB">
        <w:rPr>
          <w:sz w:val="24"/>
          <w:lang w:val="hu-HU"/>
        </w:rPr>
        <w:t>HL C, C/2023/112, 2023.10.12.</w:t>
      </w:r>
    </w:p>
  </w:footnote>
  <w:footnote w:id="3">
    <w:p w:rsidR="008A4296" w:rsidRPr="00735DAB" w:rsidRDefault="008A4296" w:rsidP="00735DAB">
      <w:pPr>
        <w:pStyle w:val="FootnoteText"/>
        <w:ind w:left="567" w:hanging="567"/>
        <w:rPr>
          <w:sz w:val="24"/>
          <w:lang w:val="hu-HU"/>
        </w:rPr>
      </w:pPr>
      <w:r w:rsidRPr="00735DAB">
        <w:rPr>
          <w:rStyle w:val="FootnoteReference"/>
          <w:sz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r w:rsidRPr="00735DAB">
        <w:rPr>
          <w:sz w:val="24"/>
          <w:lang w:val="hu-HU"/>
        </w:rPr>
        <w:t>HL L 193., 2018.7.30</w:t>
      </w:r>
      <w:proofErr w:type="gramStart"/>
      <w:r w:rsidRPr="00735DAB">
        <w:rPr>
          <w:sz w:val="24"/>
          <w:lang w:val="hu-HU"/>
        </w:rPr>
        <w:t>.,</w:t>
      </w:r>
      <w:proofErr w:type="gramEnd"/>
      <w:r w:rsidRPr="00735DAB">
        <w:rPr>
          <w:sz w:val="24"/>
          <w:lang w:val="hu-HU"/>
        </w:rPr>
        <w:t xml:space="preserve"> 1. o.</w:t>
      </w:r>
    </w:p>
  </w:footnote>
  <w:footnote w:id="4">
    <w:p w:rsidR="008A4296" w:rsidRPr="00735DAB" w:rsidRDefault="008A4296" w:rsidP="00735DAB">
      <w:pPr>
        <w:pStyle w:val="FootnoteText"/>
        <w:ind w:left="567" w:hanging="567"/>
        <w:rPr>
          <w:sz w:val="24"/>
          <w:lang w:val="hu-HU"/>
        </w:rPr>
      </w:pPr>
      <w:r w:rsidRPr="00735DAB">
        <w:rPr>
          <w:rStyle w:val="FootnoteReference"/>
          <w:sz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r w:rsidRPr="00735DAB">
        <w:rPr>
          <w:sz w:val="24"/>
          <w:lang w:val="hu-HU"/>
        </w:rPr>
        <w:t>HL L 31</w:t>
      </w:r>
      <w:proofErr w:type="gramStart"/>
      <w:r w:rsidRPr="00735DAB">
        <w:rPr>
          <w:sz w:val="24"/>
          <w:lang w:val="hu-HU"/>
        </w:rPr>
        <w:t>.,</w:t>
      </w:r>
      <w:proofErr w:type="gramEnd"/>
      <w:r w:rsidRPr="00735DAB">
        <w:rPr>
          <w:sz w:val="24"/>
          <w:lang w:val="hu-HU"/>
        </w:rPr>
        <w:t xml:space="preserve"> 2002.2.1., 1. o.</w:t>
      </w:r>
    </w:p>
  </w:footnote>
  <w:footnote w:id="5">
    <w:p w:rsidR="008A4296" w:rsidRPr="00735DAB" w:rsidRDefault="008A4296" w:rsidP="00735DAB">
      <w:pPr>
        <w:pStyle w:val="FootnoteText"/>
        <w:ind w:left="567" w:hanging="567"/>
        <w:rPr>
          <w:sz w:val="24"/>
          <w:szCs w:val="24"/>
          <w:lang w:val="hu-HU"/>
        </w:rPr>
      </w:pPr>
      <w:r w:rsidRPr="00735DAB">
        <w:rPr>
          <w:rStyle w:val="FootnoteReference"/>
          <w:sz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r w:rsidRPr="00735DAB">
        <w:rPr>
          <w:sz w:val="24"/>
          <w:lang w:val="hu-HU"/>
        </w:rPr>
        <w:t>HL L 122., 2019.5.10</w:t>
      </w:r>
      <w:proofErr w:type="gramStart"/>
      <w:r w:rsidRPr="00735DAB">
        <w:rPr>
          <w:sz w:val="24"/>
          <w:lang w:val="hu-HU"/>
        </w:rPr>
        <w:t>.,</w:t>
      </w:r>
      <w:proofErr w:type="gramEnd"/>
      <w:r w:rsidRPr="00735DAB">
        <w:rPr>
          <w:sz w:val="24"/>
          <w:lang w:val="hu-HU"/>
        </w:rPr>
        <w:t xml:space="preserve"> 1. o.</w:t>
      </w:r>
    </w:p>
  </w:footnote>
  <w:footnote w:id="6">
    <w:p w:rsidR="008A4296" w:rsidRPr="00735DAB" w:rsidRDefault="008A4296" w:rsidP="00735DAB">
      <w:pPr>
        <w:pStyle w:val="FootnoteText"/>
        <w:ind w:left="567" w:hanging="567"/>
        <w:rPr>
          <w:sz w:val="24"/>
          <w:lang w:val="hu-HU"/>
        </w:rPr>
      </w:pPr>
      <w:r w:rsidRPr="00735DAB">
        <w:rPr>
          <w:rStyle w:val="FootnoteReference"/>
          <w:sz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r w:rsidRPr="00735DAB">
        <w:rPr>
          <w:sz w:val="24"/>
          <w:lang w:val="hu-HU"/>
        </w:rPr>
        <w:t>HL C, C/2023/594, 2023.10.27.</w:t>
      </w:r>
    </w:p>
  </w:footnote>
  <w:footnote w:id="7">
    <w:p w:rsidR="008A4296" w:rsidRPr="00735DAB" w:rsidRDefault="008A4296" w:rsidP="00735DAB">
      <w:pPr>
        <w:pStyle w:val="FootnoteText"/>
        <w:ind w:left="567" w:hanging="567"/>
        <w:rPr>
          <w:sz w:val="24"/>
          <w:lang w:val="hu-HU"/>
        </w:rPr>
      </w:pPr>
      <w:r w:rsidRPr="00735DAB">
        <w:rPr>
          <w:rStyle w:val="FootnoteReference"/>
          <w:sz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r w:rsidRPr="00735DAB">
        <w:rPr>
          <w:sz w:val="24"/>
          <w:lang w:val="hu-HU"/>
        </w:rPr>
        <w:t>HL C, C/2023/112, 2023.10.12.</w:t>
      </w:r>
    </w:p>
  </w:footnote>
  <w:footnote w:id="8">
    <w:p w:rsidR="008A4296" w:rsidRPr="00735DAB" w:rsidRDefault="008A4296" w:rsidP="00735DAB">
      <w:pPr>
        <w:pStyle w:val="FootnoteText"/>
        <w:ind w:left="567" w:hanging="567"/>
        <w:rPr>
          <w:sz w:val="24"/>
          <w:lang w:val="hu-HU"/>
        </w:rPr>
      </w:pPr>
      <w:r w:rsidRPr="00735DAB">
        <w:rPr>
          <w:rStyle w:val="FootnoteReference"/>
          <w:sz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r w:rsidRPr="00735DAB">
        <w:rPr>
          <w:sz w:val="24"/>
          <w:lang w:val="hu-HU"/>
        </w:rPr>
        <w:t>HL L 193., 2018.7.30</w:t>
      </w:r>
      <w:proofErr w:type="gramStart"/>
      <w:r w:rsidRPr="00735DAB">
        <w:rPr>
          <w:sz w:val="24"/>
          <w:lang w:val="hu-HU"/>
        </w:rPr>
        <w:t>.,</w:t>
      </w:r>
      <w:proofErr w:type="gramEnd"/>
      <w:r w:rsidRPr="00735DAB">
        <w:rPr>
          <w:sz w:val="24"/>
          <w:lang w:val="hu-HU"/>
        </w:rPr>
        <w:t xml:space="preserve"> 1. o.</w:t>
      </w:r>
    </w:p>
  </w:footnote>
  <w:footnote w:id="9">
    <w:p w:rsidR="008A4296" w:rsidRPr="00735DAB" w:rsidRDefault="008A4296" w:rsidP="00735DAB">
      <w:pPr>
        <w:pStyle w:val="FootnoteText"/>
        <w:ind w:left="567" w:hanging="567"/>
        <w:rPr>
          <w:sz w:val="24"/>
          <w:lang w:val="hu-HU"/>
        </w:rPr>
      </w:pPr>
      <w:r w:rsidRPr="00735DAB">
        <w:rPr>
          <w:rStyle w:val="FootnoteReference"/>
          <w:sz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r w:rsidRPr="00735DAB">
        <w:rPr>
          <w:sz w:val="24"/>
          <w:lang w:val="hu-HU"/>
        </w:rPr>
        <w:t>HL L 31</w:t>
      </w:r>
      <w:proofErr w:type="gramStart"/>
      <w:r w:rsidRPr="00735DAB">
        <w:rPr>
          <w:sz w:val="24"/>
          <w:lang w:val="hu-HU"/>
        </w:rPr>
        <w:t>.,</w:t>
      </w:r>
      <w:proofErr w:type="gramEnd"/>
      <w:r w:rsidRPr="00735DAB">
        <w:rPr>
          <w:sz w:val="24"/>
          <w:lang w:val="hu-HU"/>
        </w:rPr>
        <w:t xml:space="preserve"> 2002.2.1., 1. o.</w:t>
      </w:r>
    </w:p>
  </w:footnote>
  <w:footnote w:id="10">
    <w:p w:rsidR="008A4296" w:rsidRPr="00735DAB" w:rsidRDefault="008A4296" w:rsidP="00735DAB">
      <w:pPr>
        <w:pStyle w:val="FootnoteText"/>
        <w:ind w:left="567" w:hanging="567"/>
        <w:rPr>
          <w:sz w:val="24"/>
          <w:szCs w:val="24"/>
          <w:lang w:val="hu-HU"/>
        </w:rPr>
      </w:pPr>
      <w:r w:rsidRPr="00735DAB">
        <w:rPr>
          <w:rStyle w:val="FootnoteReference"/>
          <w:sz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r w:rsidRPr="00735DAB">
        <w:rPr>
          <w:sz w:val="24"/>
          <w:lang w:val="hu-HU"/>
        </w:rPr>
        <w:t>HL L 122., 2019.5.10</w:t>
      </w:r>
      <w:proofErr w:type="gramStart"/>
      <w:r w:rsidRPr="00735DAB">
        <w:rPr>
          <w:sz w:val="24"/>
          <w:lang w:val="hu-HU"/>
        </w:rPr>
        <w:t>.,</w:t>
      </w:r>
      <w:proofErr w:type="gramEnd"/>
      <w:r w:rsidRPr="00735DAB">
        <w:rPr>
          <w:sz w:val="24"/>
          <w:lang w:val="hu-HU"/>
        </w:rPr>
        <w:t xml:space="preserve"> 1. o.</w:t>
      </w:r>
    </w:p>
  </w:footnote>
  <w:footnote w:id="11">
    <w:p w:rsidR="008A4296" w:rsidRPr="00735DAB" w:rsidRDefault="008A4296" w:rsidP="00735DAB">
      <w:pPr>
        <w:pStyle w:val="FootnoteText"/>
        <w:ind w:left="567" w:hanging="567"/>
        <w:rPr>
          <w:rFonts w:eastAsia="Calibri"/>
          <w:sz w:val="24"/>
          <w:lang w:val="hu-HU"/>
        </w:rPr>
      </w:pPr>
      <w:r w:rsidRPr="00735DAB">
        <w:rPr>
          <w:rStyle w:val="FootnoteReference"/>
          <w:sz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r w:rsidRPr="00735DAB">
        <w:rPr>
          <w:sz w:val="24"/>
          <w:lang w:val="hu-HU"/>
        </w:rPr>
        <w:t>HL C 178., 2022.4.29</w:t>
      </w:r>
      <w:proofErr w:type="gramStart"/>
      <w:r w:rsidRPr="00735DAB">
        <w:rPr>
          <w:sz w:val="24"/>
          <w:lang w:val="hu-HU"/>
        </w:rPr>
        <w:t>.,</w:t>
      </w:r>
      <w:proofErr w:type="gramEnd"/>
      <w:r w:rsidRPr="00735DAB">
        <w:rPr>
          <w:sz w:val="24"/>
          <w:lang w:val="hu-HU"/>
        </w:rPr>
        <w:t xml:space="preserve"> 1. o.</w:t>
      </w:r>
    </w:p>
  </w:footnote>
  <w:footnote w:id="12">
    <w:p w:rsidR="008A4296" w:rsidRPr="00735DAB" w:rsidRDefault="008A4296" w:rsidP="00735DAB">
      <w:pPr>
        <w:pStyle w:val="FootnoteText"/>
        <w:ind w:left="567" w:hanging="567"/>
        <w:rPr>
          <w:sz w:val="24"/>
          <w:lang w:val="hu-HU"/>
        </w:rPr>
      </w:pPr>
      <w:r w:rsidRPr="00735DAB">
        <w:rPr>
          <w:rStyle w:val="FootnoteReference"/>
          <w:sz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proofErr w:type="gramStart"/>
      <w:r w:rsidRPr="00735DAB">
        <w:rPr>
          <w:sz w:val="24"/>
          <w:lang w:val="hu-HU"/>
        </w:rPr>
        <w:t xml:space="preserve">Az </w:t>
      </w:r>
      <w:r w:rsidR="003603A7">
        <w:rPr>
          <w:sz w:val="24"/>
          <w:lang w:val="hu-HU"/>
        </w:rPr>
        <w:t>Eu</w:t>
      </w:r>
      <w:r w:rsidR="003603A7" w:rsidRPr="00735DAB">
        <w:rPr>
          <w:sz w:val="24"/>
          <w:lang w:val="hu-HU"/>
        </w:rPr>
        <w:t xml:space="preserve">rópai </w:t>
      </w:r>
      <w:r w:rsidR="003603A7">
        <w:rPr>
          <w:sz w:val="24"/>
          <w:lang w:val="hu-HU"/>
        </w:rPr>
        <w:t>P</w:t>
      </w:r>
      <w:r w:rsidR="003603A7" w:rsidRPr="00735DAB">
        <w:rPr>
          <w:sz w:val="24"/>
          <w:lang w:val="hu-HU"/>
        </w:rPr>
        <w:t>arlament és</w:t>
      </w:r>
      <w:r w:rsidR="003603A7">
        <w:rPr>
          <w:sz w:val="24"/>
          <w:lang w:val="hu-HU"/>
        </w:rPr>
        <w:t xml:space="preserve"> a</w:t>
      </w:r>
      <w:r w:rsidR="003603A7" w:rsidRPr="00735DAB">
        <w:rPr>
          <w:sz w:val="24"/>
          <w:lang w:val="hu-HU"/>
        </w:rPr>
        <w:t xml:space="preserve"> </w:t>
      </w:r>
      <w:r w:rsidR="003603A7">
        <w:rPr>
          <w:sz w:val="24"/>
          <w:lang w:val="hu-HU"/>
        </w:rPr>
        <w:t>T</w:t>
      </w:r>
      <w:r w:rsidR="003603A7" w:rsidRPr="00735DAB">
        <w:rPr>
          <w:sz w:val="24"/>
          <w:lang w:val="hu-HU"/>
        </w:rPr>
        <w:t>anács (EU) 2019/1381 rendelet</w:t>
      </w:r>
      <w:r w:rsidR="003603A7">
        <w:rPr>
          <w:sz w:val="24"/>
          <w:lang w:val="hu-HU"/>
        </w:rPr>
        <w:t>e (</w:t>
      </w:r>
      <w:r w:rsidR="003603A7" w:rsidRPr="00735DAB">
        <w:rPr>
          <w:sz w:val="24"/>
          <w:lang w:val="hu-HU"/>
        </w:rPr>
        <w:t>2019. június 20</w:t>
      </w:r>
      <w:r w:rsidR="003603A7">
        <w:rPr>
          <w:sz w:val="24"/>
          <w:lang w:val="hu-HU"/>
        </w:rPr>
        <w:t>.) az é</w:t>
      </w:r>
      <w:r w:rsidRPr="00735DAB">
        <w:rPr>
          <w:sz w:val="24"/>
          <w:lang w:val="hu-HU"/>
        </w:rPr>
        <w:t xml:space="preserve">lelmiszerláncban alkalmazott uniós kockázatértékelés átláthatóságáról és fenntarthatóságáról, továbbá a 178/2002/EK, az 1829/2003/EK, az 1831/2003/EK, a 2065/2003/EK, az 1935/2004/EK, az 1331/2008/EK, az 1107/2009/EK, valamint az (EU) 2015/2283 rendelet és a 2001/18/EK irányelv módosításáról </w:t>
      </w:r>
      <w:r w:rsidR="003603A7">
        <w:rPr>
          <w:sz w:val="24"/>
          <w:lang w:val="hu-HU"/>
        </w:rPr>
        <w:t>(</w:t>
      </w:r>
      <w:r w:rsidRPr="00735DAB">
        <w:rPr>
          <w:sz w:val="24"/>
          <w:lang w:val="hu-HU"/>
        </w:rPr>
        <w:t>HL L 231., 2019.9.6., 1. o.).</w:t>
      </w:r>
      <w:proofErr w:type="gramEnd"/>
    </w:p>
  </w:footnote>
  <w:footnote w:id="13">
    <w:p w:rsidR="008A4296" w:rsidRPr="00735DAB" w:rsidRDefault="008A4296" w:rsidP="00735DAB">
      <w:pPr>
        <w:pStyle w:val="FootnoteText"/>
        <w:ind w:left="567" w:hanging="567"/>
        <w:rPr>
          <w:sz w:val="24"/>
          <w:szCs w:val="24"/>
          <w:lang w:val="hu-HU"/>
        </w:rPr>
      </w:pPr>
      <w:r w:rsidRPr="00735DAB">
        <w:rPr>
          <w:rStyle w:val="FootnoteReference"/>
          <w:sz w:val="24"/>
          <w:szCs w:val="24"/>
          <w:lang w:val="hu-HU"/>
        </w:rPr>
        <w:footnoteRef/>
      </w:r>
      <w:r w:rsidR="00735DAB" w:rsidRPr="00735DAB">
        <w:rPr>
          <w:sz w:val="24"/>
          <w:lang w:val="hu-HU"/>
        </w:rPr>
        <w:t xml:space="preserve"> </w:t>
      </w:r>
      <w:r w:rsidR="00735DAB" w:rsidRPr="00735DAB">
        <w:rPr>
          <w:sz w:val="24"/>
          <w:lang w:val="hu-HU"/>
        </w:rPr>
        <w:tab/>
      </w:r>
      <w:r w:rsidRPr="00735DAB">
        <w:rPr>
          <w:sz w:val="24"/>
          <w:lang w:val="hu-HU"/>
        </w:rPr>
        <w:t>Elfogadott szövegek, P9_TA(2024)</w:t>
      </w:r>
      <w:r w:rsidR="00293094">
        <w:rPr>
          <w:sz w:val="24"/>
          <w:lang w:val="hu-HU"/>
        </w:rPr>
        <w:t>0280</w:t>
      </w:r>
      <w:bookmarkStart w:id="13" w:name="_GoBack"/>
      <w:bookmarkEnd w:id="13"/>
      <w:r w:rsidRPr="00735DAB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5D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5D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5D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9/2024"/>
    <w:docVar w:name="dvlangue" w:val="HU"/>
    <w:docVar w:name="dvnumam" w:val="0"/>
    <w:docVar w:name="dvpe" w:val="753.519"/>
    <w:docVar w:name="dvrapporteur" w:val="Előadó: "/>
    <w:docVar w:name="dvtitre" w:val="Az Európai Parlament 2024.  ...-i határozata az Európai Élelmiszerbiztonsági Hatóság 2022. évi pénzügyi évre szóló költségvetésének végrehajtására vonatkozó mentesítésről(2023/2151(DEC))"/>
  </w:docVars>
  <w:rsids>
    <w:rsidRoot w:val="008E73B9"/>
    <w:rsid w:val="00002272"/>
    <w:rsid w:val="00064002"/>
    <w:rsid w:val="000677B9"/>
    <w:rsid w:val="00081AEE"/>
    <w:rsid w:val="000831BA"/>
    <w:rsid w:val="000A42CC"/>
    <w:rsid w:val="000E7DD9"/>
    <w:rsid w:val="0010095E"/>
    <w:rsid w:val="00125B37"/>
    <w:rsid w:val="00187494"/>
    <w:rsid w:val="001D2980"/>
    <w:rsid w:val="001F32AE"/>
    <w:rsid w:val="002767FF"/>
    <w:rsid w:val="00293094"/>
    <w:rsid w:val="002B18FE"/>
    <w:rsid w:val="002B5493"/>
    <w:rsid w:val="00343214"/>
    <w:rsid w:val="003603A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5DA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4296"/>
    <w:rsid w:val="008C2AC6"/>
    <w:rsid w:val="008E73B9"/>
    <w:rsid w:val="00930C23"/>
    <w:rsid w:val="0093193B"/>
    <w:rsid w:val="009509D8"/>
    <w:rsid w:val="00950B64"/>
    <w:rsid w:val="00981893"/>
    <w:rsid w:val="00981FC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97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A3341"/>
  <w15:chartTrackingRefBased/>
  <w15:docId w15:val="{F4F40937-B07E-4E3A-A3BD-C41034D0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A429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A4296"/>
    <w:pPr>
      <w:spacing w:before="480" w:after="240"/>
    </w:pPr>
  </w:style>
  <w:style w:type="paragraph" w:customStyle="1" w:styleId="PageHeading">
    <w:name w:val="PageHeading"/>
    <w:basedOn w:val="Normal"/>
    <w:rsid w:val="008A429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A4296"/>
    <w:rPr>
      <w:b/>
    </w:rPr>
  </w:style>
  <w:style w:type="paragraph" w:customStyle="1" w:styleId="NormalHanging12a">
    <w:name w:val="NormalHanging12a"/>
    <w:basedOn w:val="Normal"/>
    <w:link w:val="NormalHanging12aChar"/>
    <w:rsid w:val="008A429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A4296"/>
    <w:pPr>
      <w:spacing w:after="240"/>
      <w:jc w:val="center"/>
    </w:pPr>
  </w:style>
  <w:style w:type="paragraph" w:styleId="Header">
    <w:name w:val="header"/>
    <w:basedOn w:val="Normal"/>
    <w:link w:val="HeaderChar"/>
    <w:rsid w:val="008A42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A4296"/>
    <w:rPr>
      <w:sz w:val="24"/>
      <w:lang w:val="hu-HU"/>
    </w:rPr>
  </w:style>
  <w:style w:type="paragraph" w:customStyle="1" w:styleId="EPFooter">
    <w:name w:val="EPFooter"/>
    <w:basedOn w:val="Normal"/>
    <w:rsid w:val="008A429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8A4296"/>
    <w:rPr>
      <w:sz w:val="24"/>
      <w:lang w:val="hu-HU"/>
    </w:rPr>
  </w:style>
  <w:style w:type="paragraph" w:customStyle="1" w:styleId="Normal24a">
    <w:name w:val="Normal24a"/>
    <w:basedOn w:val="Normal"/>
    <w:rsid w:val="008A4296"/>
    <w:pPr>
      <w:spacing w:after="480"/>
    </w:pPr>
  </w:style>
  <w:style w:type="paragraph" w:customStyle="1" w:styleId="Normal12a">
    <w:name w:val="Normal12a"/>
    <w:basedOn w:val="Normal"/>
    <w:rsid w:val="008A4296"/>
    <w:pPr>
      <w:spacing w:after="240"/>
    </w:pPr>
  </w:style>
  <w:style w:type="paragraph" w:customStyle="1" w:styleId="PageHeadingNotTOC">
    <w:name w:val="PageHeadingNotTOC"/>
    <w:basedOn w:val="Normal"/>
    <w:rsid w:val="008A4296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rsid w:val="003603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603A7"/>
    <w:rPr>
      <w:sz w:val="24"/>
      <w:lang w:val="hu-HU"/>
    </w:rPr>
  </w:style>
  <w:style w:type="paragraph" w:styleId="BalloonText">
    <w:name w:val="Balloon Text"/>
    <w:basedOn w:val="Normal"/>
    <w:link w:val="BalloonTextChar"/>
    <w:rsid w:val="003603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03A7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4DA8F-0A42-46EB-BB90-422BE1108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2378</Words>
  <Characters>17548</Characters>
  <Application>Microsoft Office Word</Application>
  <DocSecurity>0</DocSecurity>
  <Lines>146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2024-04-11T12:57:00Z</dcterms:created>
  <dcterms:modified xsi:type="dcterms:W3CDTF">2024-04-11T12:57:00Z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A9-0129/2024</vt:lpwstr>
  </property>
  <property fmtid="{D5CDD505-2E9C-101B-9397-08002B2CF9AE}" pid="4" name="&lt;Type&gt;">
    <vt:lpwstr>RR</vt:lpwstr>
  </property>
</Properties>
</file>