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509" w:rsidTr="0010095E">
        <w:trPr>
          <w:trHeight w:hRule="exact" w:val="1418"/>
        </w:trPr>
        <w:tc>
          <w:tcPr>
            <w:tcW w:w="6804" w:type="dxa"/>
            <w:shd w:val="clear" w:color="auto" w:fill="auto"/>
            <w:vAlign w:val="center"/>
          </w:tcPr>
          <w:p w:rsidR="00751A4A" w:rsidRPr="00D24509" w:rsidRDefault="00760A95" w:rsidP="0010095E">
            <w:pPr>
              <w:pStyle w:val="EPName"/>
            </w:pPr>
            <w:r w:rsidRPr="00D24509">
              <w:t>Eiropas Parlaments</w:t>
            </w:r>
          </w:p>
          <w:p w:rsidR="00751A4A" w:rsidRPr="00D24509" w:rsidRDefault="00817416" w:rsidP="00756632">
            <w:pPr>
              <w:pStyle w:val="EPTerm"/>
              <w:rPr>
                <w:rStyle w:val="HideTWBExt"/>
                <w:noProof w:val="0"/>
                <w:vanish w:val="0"/>
                <w:color w:val="auto"/>
              </w:rPr>
            </w:pPr>
            <w:r w:rsidRPr="00D24509">
              <w:t>2019-2024</w:t>
            </w:r>
          </w:p>
        </w:tc>
        <w:tc>
          <w:tcPr>
            <w:tcW w:w="2268" w:type="dxa"/>
            <w:shd w:val="clear" w:color="auto" w:fill="auto"/>
          </w:tcPr>
          <w:p w:rsidR="00751A4A" w:rsidRPr="00D24509" w:rsidRDefault="00187494" w:rsidP="0010095E">
            <w:pPr>
              <w:pStyle w:val="EPLogo"/>
            </w:pPr>
            <w:r w:rsidRPr="00D245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4509" w:rsidRDefault="00D058B8" w:rsidP="004C5D52">
      <w:pPr>
        <w:pStyle w:val="LineTop"/>
      </w:pPr>
    </w:p>
    <w:p w:rsidR="00680577" w:rsidRPr="00D24509" w:rsidRDefault="00760A95" w:rsidP="00680577">
      <w:pPr>
        <w:pStyle w:val="EPBodyTA1"/>
      </w:pPr>
      <w:r w:rsidRPr="00D24509">
        <w:t>PIEŅEMTIE TEKSTI</w:t>
      </w:r>
    </w:p>
    <w:p w:rsidR="00D058B8" w:rsidRPr="00D24509" w:rsidRDefault="00D058B8" w:rsidP="00D058B8">
      <w:pPr>
        <w:pStyle w:val="LineBottom"/>
      </w:pPr>
    </w:p>
    <w:p w:rsidR="00760A95" w:rsidRPr="00D24509" w:rsidRDefault="00760A95" w:rsidP="00760A95">
      <w:pPr>
        <w:pStyle w:val="ATHeading1"/>
      </w:pPr>
      <w:bookmarkStart w:id="0" w:name="TANumber"/>
      <w:r w:rsidRPr="00D24509">
        <w:t>P9_TA(2024)0</w:t>
      </w:r>
      <w:r w:rsidR="00D24509" w:rsidRPr="00D24509">
        <w:t>25</w:t>
      </w:r>
      <w:r w:rsidRPr="00D24509">
        <w:t>0</w:t>
      </w:r>
      <w:bookmarkEnd w:id="0"/>
    </w:p>
    <w:p w:rsidR="00760A95" w:rsidRPr="00D24509" w:rsidRDefault="00760A95" w:rsidP="00760A95">
      <w:pPr>
        <w:pStyle w:val="ATHeading2"/>
      </w:pPr>
      <w:bookmarkStart w:id="1" w:name="title"/>
      <w:r w:rsidRPr="00D24509">
        <w:t>2022. finanšu gada budžeta izpildes apstiprināšana: Eiropas Pārtikas nekaitīguma iestāde</w:t>
      </w:r>
      <w:bookmarkEnd w:id="1"/>
    </w:p>
    <w:p w:rsidR="00760A95" w:rsidRPr="00D24509" w:rsidRDefault="00760A95" w:rsidP="00760A95">
      <w:pPr>
        <w:rPr>
          <w:i/>
          <w:vanish/>
        </w:rPr>
      </w:pPr>
      <w:r w:rsidRPr="00D24509">
        <w:rPr>
          <w:i/>
        </w:rPr>
        <w:fldChar w:fldCharType="begin"/>
      </w:r>
      <w:r w:rsidRPr="00D24509">
        <w:rPr>
          <w:i/>
        </w:rPr>
        <w:instrText xml:space="preserve"> TC"(</w:instrText>
      </w:r>
      <w:bookmarkStart w:id="2" w:name="DocNumber"/>
      <w:r w:rsidRPr="00D24509">
        <w:rPr>
          <w:i/>
        </w:rPr>
        <w:instrText>A9-0129/2024</w:instrText>
      </w:r>
      <w:bookmarkEnd w:id="2"/>
      <w:r w:rsidRPr="00D24509">
        <w:rPr>
          <w:i/>
        </w:rPr>
        <w:instrText xml:space="preserve"> - Referents: Petri </w:instrText>
      </w:r>
      <w:proofErr w:type="spellStart"/>
      <w:r w:rsidRPr="00D24509">
        <w:rPr>
          <w:i/>
        </w:rPr>
        <w:instrText>Sarvamaa</w:instrText>
      </w:r>
      <w:proofErr w:type="spellEnd"/>
      <w:r w:rsidRPr="00D24509">
        <w:rPr>
          <w:i/>
        </w:rPr>
        <w:instrText xml:space="preserve">)"\l3 \n&gt; \* MERGEFORMAT </w:instrText>
      </w:r>
      <w:r w:rsidRPr="00D24509">
        <w:rPr>
          <w:i/>
        </w:rPr>
        <w:fldChar w:fldCharType="end"/>
      </w:r>
    </w:p>
    <w:p w:rsidR="00760A95" w:rsidRPr="00D24509" w:rsidRDefault="00760A95" w:rsidP="00760A95">
      <w:pPr>
        <w:rPr>
          <w:vanish/>
        </w:rPr>
      </w:pPr>
      <w:bookmarkStart w:id="3" w:name="Commission"/>
      <w:r w:rsidRPr="00D24509">
        <w:rPr>
          <w:vanish/>
        </w:rPr>
        <w:t>Budžeta kontroles komiteja</w:t>
      </w:r>
      <w:bookmarkEnd w:id="3"/>
    </w:p>
    <w:p w:rsidR="00760A95" w:rsidRPr="00D24509" w:rsidRDefault="00760A95" w:rsidP="00760A95">
      <w:pPr>
        <w:rPr>
          <w:vanish/>
        </w:rPr>
      </w:pPr>
      <w:bookmarkStart w:id="4" w:name="PE"/>
      <w:r w:rsidRPr="00D24509">
        <w:rPr>
          <w:vanish/>
        </w:rPr>
        <w:t>PE753.519</w:t>
      </w:r>
      <w:bookmarkEnd w:id="4"/>
    </w:p>
    <w:p w:rsidR="008D07C2" w:rsidRPr="00D24509" w:rsidRDefault="00EA7A7A" w:rsidP="00EA7A7A">
      <w:pPr>
        <w:pStyle w:val="ATHeading3"/>
      </w:pPr>
      <w:bookmarkStart w:id="5" w:name="Sujet"/>
      <w:r w:rsidRPr="00D24509">
        <w:t xml:space="preserve">1. </w:t>
      </w:r>
      <w:r w:rsidR="00760A95" w:rsidRPr="00D24509">
        <w:t xml:space="preserve">Eiropas Parlamenta 2024. gada </w:t>
      </w:r>
      <w:r w:rsidRPr="00D24509">
        <w:t>11</w:t>
      </w:r>
      <w:r w:rsidR="00760A95" w:rsidRPr="00D24509">
        <w:t xml:space="preserve">. </w:t>
      </w:r>
      <w:r w:rsidRPr="00D24509">
        <w:t>aprīļa</w:t>
      </w:r>
      <w:r w:rsidR="00760A95" w:rsidRPr="00D24509">
        <w:t xml:space="preserve"> lēmums par Eiropas Pārtikas nekaitīguma iestādes 2022. finanšu gada budžeta izpildes apstiprināšanu</w:t>
      </w:r>
      <w:bookmarkEnd w:id="5"/>
      <w:r w:rsidR="00760A95" w:rsidRPr="00D24509">
        <w:t xml:space="preserve"> </w:t>
      </w:r>
      <w:bookmarkStart w:id="6" w:name="References"/>
      <w:r w:rsidR="00760A95" w:rsidRPr="00D24509">
        <w:t>(2023/2151(DEC))</w:t>
      </w:r>
      <w:bookmarkStart w:id="7" w:name="TextBodyBegin"/>
      <w:bookmarkEnd w:id="6"/>
      <w:bookmarkEnd w:id="7"/>
    </w:p>
    <w:p w:rsidR="008D07C2" w:rsidRPr="00D24509" w:rsidRDefault="008D07C2" w:rsidP="008D07C2">
      <w:pPr>
        <w:pStyle w:val="EPComma"/>
      </w:pPr>
      <w:r w:rsidRPr="00D24509">
        <w:rPr>
          <w:i/>
        </w:rPr>
        <w:t>Eiropas Parlaments</w:t>
      </w:r>
      <w:r w:rsidRPr="00D24509">
        <w:t>,</w:t>
      </w:r>
    </w:p>
    <w:p w:rsidR="008D07C2" w:rsidRPr="00D24509" w:rsidRDefault="008D07C2" w:rsidP="008D07C2">
      <w:pPr>
        <w:pStyle w:val="NormalHanging12a"/>
      </w:pPr>
      <w:r w:rsidRPr="00D24509">
        <w:t>–</w:t>
      </w:r>
      <w:r w:rsidRPr="00D24509">
        <w:tab/>
        <w:t>ņemot vērā Eiropas Pārtikas nekaitīguma iestādes 2022. finanšu gada galīgos pārskatus,</w:t>
      </w:r>
    </w:p>
    <w:p w:rsidR="008D07C2" w:rsidRPr="00D24509" w:rsidRDefault="008D07C2" w:rsidP="008D07C2">
      <w:pPr>
        <w:pStyle w:val="NormalHanging12a"/>
      </w:pPr>
      <w:r w:rsidRPr="00D24509">
        <w:t>–</w:t>
      </w:r>
      <w:r w:rsidRPr="00D24509">
        <w:tab/>
        <w:t>ņemot vērā Revīzijas palātas gada ziņojumu par ES aģentūrām attiecībā uz 2022. finanšu gadu ar aģentūru atbildēm</w:t>
      </w:r>
      <w:r w:rsidRPr="00D24509">
        <w:rPr>
          <w:rStyle w:val="FootnoteReference"/>
        </w:rPr>
        <w:footnoteReference w:id="1"/>
      </w:r>
      <w:r w:rsidRPr="00D24509">
        <w:t>,</w:t>
      </w:r>
    </w:p>
    <w:p w:rsidR="008D07C2" w:rsidRPr="00D24509" w:rsidRDefault="008D07C2" w:rsidP="008D07C2">
      <w:pPr>
        <w:pStyle w:val="NormalHanging12a"/>
      </w:pPr>
      <w:r w:rsidRPr="00D24509">
        <w:t>–</w:t>
      </w:r>
      <w:r w:rsidRPr="00D24509">
        <w:tab/>
        <w:t>ņemot vērā deklarāciju</w:t>
      </w:r>
      <w:r w:rsidRPr="00D24509">
        <w:rPr>
          <w:rStyle w:val="FootnoteReference"/>
        </w:rPr>
        <w:footnoteReference w:id="2"/>
      </w:r>
      <w:r w:rsidRPr="00D24509">
        <w:t xml:space="preserve"> par pārskatu ticamību, kā arī par pakārtoto darījumu likumību un pareizību, kuru Revīzijas palāta sniegusi par 2022. finanšu gadu saskaņā ar Līguma par Eiropas Savienības darbību 287. pantu,</w:t>
      </w:r>
    </w:p>
    <w:p w:rsidR="008D07C2" w:rsidRPr="00D24509" w:rsidRDefault="008D07C2" w:rsidP="008D07C2">
      <w:pPr>
        <w:pStyle w:val="NormalHanging12a"/>
      </w:pPr>
      <w:r w:rsidRPr="00D24509">
        <w:t>–</w:t>
      </w:r>
      <w:r w:rsidRPr="00D24509">
        <w:tab/>
        <w:t>ņemot vērā Padomes 2024. gada 22. februāra ieteikumu par apstiprinājumu, ko sniedz Iestādei par 2022. finanšu gada budžeta izpildi (</w:t>
      </w:r>
      <w:r w:rsidR="00EA7A7A" w:rsidRPr="00D24509">
        <w:t>06180</w:t>
      </w:r>
      <w:r w:rsidRPr="00D24509">
        <w:t>/2024 – C9</w:t>
      </w:r>
      <w:r w:rsidRPr="00D24509">
        <w:noBreakHyphen/>
      </w:r>
      <w:r w:rsidR="00EA7A7A" w:rsidRPr="00D24509">
        <w:t>0089</w:t>
      </w:r>
      <w:r w:rsidRPr="00D24509">
        <w:t>/2024),</w:t>
      </w:r>
    </w:p>
    <w:p w:rsidR="008D07C2" w:rsidRPr="00D24509" w:rsidRDefault="008D07C2" w:rsidP="008D07C2">
      <w:pPr>
        <w:pStyle w:val="NormalHanging12a"/>
      </w:pPr>
      <w:r w:rsidRPr="00D24509">
        <w:t>–</w:t>
      </w:r>
      <w:r w:rsidRPr="00D24509">
        <w:tab/>
        <w:t>ņemot vērā Līguma par Eiropas Savienības darbību 319. pantu,</w:t>
      </w:r>
    </w:p>
    <w:p w:rsidR="008D07C2" w:rsidRPr="00D24509" w:rsidRDefault="008D07C2" w:rsidP="008D07C2">
      <w:pPr>
        <w:pStyle w:val="NormalHanging12a"/>
      </w:pPr>
      <w:r w:rsidRPr="00D24509">
        <w:t>–</w:t>
      </w:r>
      <w:r w:rsidRPr="00D24509">
        <w:tab/>
        <w:t xml:space="preserve">ņemot vērā Eiropas Parlamenta un Padomes 2018. gada 18. jūlija Regulu (ES, </w:t>
      </w:r>
      <w:r w:rsidRPr="00D24509">
        <w:rPr>
          <w:i/>
        </w:rPr>
        <w:t>Euratom</w:t>
      </w:r>
      <w:r w:rsidRPr="00D2450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24509">
        <w:rPr>
          <w:i/>
        </w:rPr>
        <w:t>Euratom</w:t>
      </w:r>
      <w:r w:rsidRPr="00D24509">
        <w:t>) Nr. 966/2012</w:t>
      </w:r>
      <w:r w:rsidRPr="00D24509">
        <w:rPr>
          <w:rStyle w:val="FootnoteReference"/>
        </w:rPr>
        <w:footnoteReference w:id="3"/>
      </w:r>
      <w:r w:rsidRPr="00D24509">
        <w:t>, un jo īpaši tās 70. pantu,</w:t>
      </w:r>
    </w:p>
    <w:p w:rsidR="008D07C2" w:rsidRPr="00D24509" w:rsidRDefault="008D07C2" w:rsidP="008D07C2">
      <w:pPr>
        <w:pStyle w:val="NormalHanging12a"/>
      </w:pPr>
      <w:r w:rsidRPr="00D24509">
        <w:t>–</w:t>
      </w:r>
      <w:r w:rsidRPr="00D24509">
        <w:tab/>
        <w:t xml:space="preserve">ņemot vērā Eiropas Parlamenta un Padomes 2002. gada 28. janvāra Regulu (EK) Nr. 178/2002, ar ko paredz pārtikas aprites tiesību aktu vispārīgus principus un prasības, izveido Eiropas Pārtikas nekaitīguma iestādi un paredz procedūras saistībā ar pārtikas </w:t>
      </w:r>
      <w:r w:rsidRPr="00D24509">
        <w:lastRenderedPageBreak/>
        <w:t>nekaitīgumu</w:t>
      </w:r>
      <w:r w:rsidRPr="00D24509">
        <w:rPr>
          <w:rStyle w:val="FootnoteReference"/>
        </w:rPr>
        <w:footnoteReference w:id="4"/>
      </w:r>
      <w:r w:rsidRPr="00D24509">
        <w:t>, un jo īpaši tās 44. pantu,</w:t>
      </w:r>
    </w:p>
    <w:p w:rsidR="008D07C2" w:rsidRPr="00D24509" w:rsidRDefault="008D07C2" w:rsidP="008D07C2">
      <w:pPr>
        <w:pStyle w:val="NormalHanging12a"/>
      </w:pPr>
      <w:r w:rsidRPr="00D24509">
        <w:t>–</w:t>
      </w:r>
      <w:r w:rsidRPr="00D24509">
        <w:tab/>
        <w:t xml:space="preserve">ņemot vērā Komisijas 2018. gada 18. decembra Deleģēto regulu (ES) 2019/715 par finanšu </w:t>
      </w:r>
      <w:proofErr w:type="spellStart"/>
      <w:r w:rsidRPr="00D24509">
        <w:t>pamatregulu</w:t>
      </w:r>
      <w:proofErr w:type="spellEnd"/>
      <w:r w:rsidRPr="00D24509">
        <w:t xml:space="preserve"> struktūrām, kas izveidotas saskaņā ar LESD un </w:t>
      </w:r>
      <w:r w:rsidRPr="00D24509">
        <w:rPr>
          <w:i/>
        </w:rPr>
        <w:t>Euratom</w:t>
      </w:r>
      <w:r w:rsidRPr="00D24509">
        <w:t xml:space="preserve"> līgumu un minētas Eiropas Parlamenta un Padomes Regulas (ES, </w:t>
      </w:r>
      <w:r w:rsidRPr="00D24509">
        <w:rPr>
          <w:i/>
        </w:rPr>
        <w:t>Euratom</w:t>
      </w:r>
      <w:r w:rsidRPr="00D24509">
        <w:t>) 2018/1046 70. pantā</w:t>
      </w:r>
      <w:r w:rsidRPr="00D24509">
        <w:rPr>
          <w:rStyle w:val="FootnoteReference"/>
        </w:rPr>
        <w:footnoteReference w:id="5"/>
      </w:r>
      <w:r w:rsidRPr="00D24509">
        <w:t>, un jo īpaši tās 105. pantu,</w:t>
      </w:r>
    </w:p>
    <w:p w:rsidR="008D07C2" w:rsidRPr="00D24509" w:rsidRDefault="008D07C2" w:rsidP="008D07C2">
      <w:pPr>
        <w:pStyle w:val="NormalHanging12a"/>
      </w:pPr>
      <w:r w:rsidRPr="00D24509">
        <w:t>–</w:t>
      </w:r>
      <w:r w:rsidRPr="00D24509">
        <w:tab/>
        <w:t>ņemot vērā Reglamenta 100. pantu un V pielikumu,</w:t>
      </w:r>
    </w:p>
    <w:p w:rsidR="008D07C2" w:rsidRPr="00D24509" w:rsidRDefault="008D07C2" w:rsidP="008D07C2">
      <w:pPr>
        <w:pStyle w:val="NormalHanging12a"/>
      </w:pPr>
      <w:r w:rsidRPr="00D24509">
        <w:t>–</w:t>
      </w:r>
      <w:r w:rsidRPr="00D24509">
        <w:tab/>
        <w:t>ņemot vērā Vides, sabiedrības veselības un pārtikas nekaitīguma komitejas atzinumu,</w:t>
      </w:r>
    </w:p>
    <w:p w:rsidR="008D07C2" w:rsidRPr="00D24509" w:rsidRDefault="008D07C2" w:rsidP="008D07C2">
      <w:pPr>
        <w:pStyle w:val="NormalHanging12a"/>
      </w:pPr>
      <w:r w:rsidRPr="00D24509">
        <w:t>–</w:t>
      </w:r>
      <w:r w:rsidRPr="00D24509">
        <w:tab/>
        <w:t>ņemot vērā Budžeta kontroles komitejas ziņojumu (A9</w:t>
      </w:r>
      <w:r w:rsidRPr="00D24509">
        <w:noBreakHyphen/>
        <w:t>0129/2024),</w:t>
      </w:r>
    </w:p>
    <w:p w:rsidR="008D07C2" w:rsidRPr="00D24509" w:rsidRDefault="008D07C2" w:rsidP="008D07C2">
      <w:pPr>
        <w:pStyle w:val="NormalHanging12a"/>
      </w:pPr>
      <w:r w:rsidRPr="00D24509">
        <w:t>1.</w:t>
      </w:r>
      <w:r w:rsidRPr="00D24509">
        <w:tab/>
        <w:t>sniedz Eiropas Pārtikas nekaitīguma iestādes izpilddirektoram apstiprinājumu par Iestādes 2022. finanšu gada budžeta izpildi;</w:t>
      </w:r>
    </w:p>
    <w:p w:rsidR="008D07C2" w:rsidRPr="00D24509" w:rsidRDefault="008D07C2" w:rsidP="008D07C2">
      <w:pPr>
        <w:pStyle w:val="NormalHanging12a"/>
      </w:pPr>
      <w:r w:rsidRPr="00D24509">
        <w:t>2.</w:t>
      </w:r>
      <w:r w:rsidRPr="00D24509">
        <w:tab/>
        <w:t>izklāsta savus konstatējumus turpmāk tekstā iekļautajā rezolūcijā;</w:t>
      </w:r>
    </w:p>
    <w:p w:rsidR="008D07C2" w:rsidRPr="00D24509" w:rsidRDefault="008D07C2" w:rsidP="008D07C2">
      <w:pPr>
        <w:pStyle w:val="NormalHanging12a"/>
      </w:pPr>
      <w:r w:rsidRPr="00D24509">
        <w:t>3.</w:t>
      </w:r>
      <w:r w:rsidRPr="00D24509">
        <w:tab/>
        <w:t xml:space="preserve">uzdod priekšsēdētājai šo lēmumu un rezolūciju, kas ir tā neatņemama daļa, nosūtīt Eiropas Pārtikas nekaitīguma iestādes izpilddirektoram, Padomei, Komisijai un Revīzijas palātai un nodrošināt to publicēšanu </w:t>
      </w:r>
      <w:r w:rsidRPr="00D24509">
        <w:rPr>
          <w:i/>
        </w:rPr>
        <w:t>Eiropas Savienības Oficiālajā Vēstnesī</w:t>
      </w:r>
      <w:r w:rsidRPr="00D24509">
        <w:t xml:space="preserve"> (L sērijā).</w:t>
      </w:r>
    </w:p>
    <w:p w:rsidR="008D07C2" w:rsidRPr="00D24509" w:rsidRDefault="008D07C2" w:rsidP="008D07C2"/>
    <w:p w:rsidR="008D07C2" w:rsidRPr="00D24509" w:rsidRDefault="008D07C2" w:rsidP="008D07C2">
      <w:pPr>
        <w:pStyle w:val="PageHeading"/>
        <w:sectPr w:rsidR="008D07C2" w:rsidRPr="00D24509" w:rsidSect="004244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D07C2" w:rsidRPr="00D24509" w:rsidRDefault="008D07C2" w:rsidP="00EA7A7A">
      <w:pPr>
        <w:pStyle w:val="ATHeading3"/>
      </w:pPr>
      <w:bookmarkStart w:id="8" w:name="_Toc161913581"/>
      <w:r w:rsidRPr="00D24509">
        <w:lastRenderedPageBreak/>
        <w:t xml:space="preserve">2. </w:t>
      </w:r>
      <w:bookmarkEnd w:id="8"/>
      <w:r w:rsidR="00EA7A7A" w:rsidRPr="00D24509">
        <w:t xml:space="preserve">Eiropas Parlamenta 2024. gada 11. aprīļa lēmums </w:t>
      </w:r>
      <w:r w:rsidRPr="00D24509">
        <w:t>par Eiropas Pārtikas nekaitīguma iestādes 2022. finanšu gada pārskatu apstiprināšanu</w:t>
      </w:r>
      <w:r w:rsidR="00EA7A7A" w:rsidRPr="00D24509">
        <w:t xml:space="preserve"> </w:t>
      </w:r>
      <w:r w:rsidRPr="00D24509">
        <w:t>(2023/2151(DEC))</w:t>
      </w:r>
    </w:p>
    <w:p w:rsidR="008D07C2" w:rsidRPr="00D24509" w:rsidRDefault="008D07C2" w:rsidP="008D07C2">
      <w:pPr>
        <w:pStyle w:val="EPComma"/>
      </w:pPr>
      <w:r w:rsidRPr="00D24509">
        <w:rPr>
          <w:i/>
        </w:rPr>
        <w:t>Eiropas Parlaments</w:t>
      </w:r>
      <w:r w:rsidRPr="00D24509">
        <w:t>,</w:t>
      </w:r>
    </w:p>
    <w:p w:rsidR="008D07C2" w:rsidRPr="00D24509" w:rsidRDefault="008D07C2" w:rsidP="008D07C2">
      <w:pPr>
        <w:pStyle w:val="NormalHanging12a"/>
      </w:pPr>
      <w:r w:rsidRPr="00D24509">
        <w:t>–</w:t>
      </w:r>
      <w:r w:rsidRPr="00D24509">
        <w:tab/>
        <w:t>ņemot vērā Eiropas Pārtikas nekaitīguma iestādes 2022. finanšu gada galīgos pārskatus,</w:t>
      </w:r>
    </w:p>
    <w:p w:rsidR="008D07C2" w:rsidRPr="00D24509" w:rsidRDefault="008D07C2" w:rsidP="008D07C2">
      <w:pPr>
        <w:pStyle w:val="NormalHanging12a"/>
      </w:pPr>
      <w:r w:rsidRPr="00D24509">
        <w:t>–</w:t>
      </w:r>
      <w:r w:rsidRPr="00D24509">
        <w:tab/>
        <w:t>ņemot vērā Revīzijas palātas gada ziņojumu par ES aģentūrām attiecībā uz 2022. finanšu gadu ar aģentūru atbildēm</w:t>
      </w:r>
      <w:r w:rsidRPr="00D24509">
        <w:rPr>
          <w:rStyle w:val="FootnoteReference"/>
        </w:rPr>
        <w:footnoteReference w:id="6"/>
      </w:r>
      <w:r w:rsidRPr="00D24509">
        <w:t>,</w:t>
      </w:r>
    </w:p>
    <w:p w:rsidR="008D07C2" w:rsidRPr="00D24509" w:rsidRDefault="008D07C2" w:rsidP="008D07C2">
      <w:pPr>
        <w:pStyle w:val="NormalHanging12a"/>
      </w:pPr>
      <w:r w:rsidRPr="00D24509">
        <w:t>–</w:t>
      </w:r>
      <w:r w:rsidRPr="00D24509">
        <w:tab/>
        <w:t>ņemot vērā deklarāciju</w:t>
      </w:r>
      <w:r w:rsidRPr="00D24509">
        <w:rPr>
          <w:rStyle w:val="FootnoteReference"/>
        </w:rPr>
        <w:footnoteReference w:id="7"/>
      </w:r>
      <w:r w:rsidRPr="00D24509">
        <w:t xml:space="preserve"> par pārskatu ticamību, kā arī par pakārtoto darījumu likumību un pareizību, kuru Revīzijas palāta sniegusi par 2022. finanšu gadu saskaņā ar Līguma par Eiropas Savienības darbību 287. pantu,</w:t>
      </w:r>
    </w:p>
    <w:p w:rsidR="008D07C2" w:rsidRPr="00D24509" w:rsidRDefault="008D07C2" w:rsidP="008D07C2">
      <w:pPr>
        <w:pStyle w:val="NormalHanging12a"/>
      </w:pPr>
      <w:r w:rsidRPr="00D24509">
        <w:t>–</w:t>
      </w:r>
      <w:r w:rsidRPr="00D24509">
        <w:tab/>
        <w:t>ņemot vērā Padomes 2024. gada 22. februāra ieteikumu par apstiprinājumu, ko sniedz Iestādei par 2022. finanšu gada budžeta izpildi (</w:t>
      </w:r>
      <w:r w:rsidR="00EA7A7A" w:rsidRPr="00D24509">
        <w:t>06180/2024 – C9</w:t>
      </w:r>
      <w:r w:rsidR="00EA7A7A" w:rsidRPr="00D24509">
        <w:noBreakHyphen/>
        <w:t>0089/2024</w:t>
      </w:r>
      <w:r w:rsidRPr="00D24509">
        <w:t>),</w:t>
      </w:r>
    </w:p>
    <w:p w:rsidR="008D07C2" w:rsidRPr="00D24509" w:rsidRDefault="008D07C2" w:rsidP="008D07C2">
      <w:pPr>
        <w:pStyle w:val="NormalHanging12a"/>
      </w:pPr>
      <w:r w:rsidRPr="00D24509">
        <w:t>–</w:t>
      </w:r>
      <w:r w:rsidRPr="00D24509">
        <w:tab/>
        <w:t>ņemot vērā Līguma par Eiropas Savienības darbību 319. pantu,</w:t>
      </w:r>
    </w:p>
    <w:p w:rsidR="008D07C2" w:rsidRPr="00D24509" w:rsidRDefault="008D07C2" w:rsidP="008D07C2">
      <w:pPr>
        <w:pStyle w:val="NormalHanging12a"/>
      </w:pPr>
      <w:r w:rsidRPr="00D24509">
        <w:t>–</w:t>
      </w:r>
      <w:r w:rsidRPr="00D24509">
        <w:tab/>
        <w:t xml:space="preserve">ņemot vērā Eiropas Parlamenta un Padomes 2018. gada 18. jūlija Regulu (ES, </w:t>
      </w:r>
      <w:r w:rsidRPr="00D24509">
        <w:rPr>
          <w:i/>
        </w:rPr>
        <w:t>Euratom</w:t>
      </w:r>
      <w:r w:rsidRPr="00D2450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24509">
        <w:rPr>
          <w:i/>
        </w:rPr>
        <w:t>Euratom</w:t>
      </w:r>
      <w:r w:rsidRPr="00D24509">
        <w:t>) Nr. 966/2012</w:t>
      </w:r>
      <w:r w:rsidRPr="00D24509">
        <w:rPr>
          <w:rStyle w:val="FootnoteReference"/>
        </w:rPr>
        <w:footnoteReference w:id="8"/>
      </w:r>
      <w:r w:rsidRPr="00D24509">
        <w:t>, un jo īpaši tās 70. pantu,</w:t>
      </w:r>
    </w:p>
    <w:p w:rsidR="008D07C2" w:rsidRPr="00D24509" w:rsidRDefault="008D07C2" w:rsidP="008D07C2">
      <w:pPr>
        <w:pStyle w:val="NormalHanging12a"/>
      </w:pPr>
      <w:r w:rsidRPr="00D24509">
        <w:t>–</w:t>
      </w:r>
      <w:r w:rsidRPr="00D24509">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D24509">
        <w:rPr>
          <w:rStyle w:val="FootnoteReference"/>
        </w:rPr>
        <w:footnoteReference w:id="9"/>
      </w:r>
      <w:r w:rsidRPr="00D24509">
        <w:t>, un jo īpaši tās 44. pantu,</w:t>
      </w:r>
    </w:p>
    <w:p w:rsidR="008D07C2" w:rsidRPr="00D24509" w:rsidRDefault="008D07C2" w:rsidP="008D07C2">
      <w:pPr>
        <w:pStyle w:val="NormalHanging12a"/>
      </w:pPr>
      <w:r w:rsidRPr="00D24509">
        <w:t>–</w:t>
      </w:r>
      <w:r w:rsidRPr="00D24509">
        <w:tab/>
        <w:t xml:space="preserve">ņemot vērā Komisijas 2018. gada 18. decembra Deleģēto regulu (ES) 2019/715 par finanšu </w:t>
      </w:r>
      <w:proofErr w:type="spellStart"/>
      <w:r w:rsidRPr="00D24509">
        <w:t>pamatregulu</w:t>
      </w:r>
      <w:proofErr w:type="spellEnd"/>
      <w:r w:rsidRPr="00D24509">
        <w:t xml:space="preserve"> struktūrām, kas izveidotas saskaņā ar LESD un </w:t>
      </w:r>
      <w:r w:rsidRPr="00D24509">
        <w:rPr>
          <w:i/>
        </w:rPr>
        <w:t>Euratom</w:t>
      </w:r>
      <w:r w:rsidRPr="00D24509">
        <w:t xml:space="preserve"> līgumu un minētas Eiropas Parlamenta un Padomes Regulas (ES, </w:t>
      </w:r>
      <w:r w:rsidRPr="00D24509">
        <w:rPr>
          <w:i/>
        </w:rPr>
        <w:t>Euratom</w:t>
      </w:r>
      <w:r w:rsidRPr="00D24509">
        <w:t>) 2018/1046 70. pantā</w:t>
      </w:r>
      <w:r w:rsidRPr="00D24509">
        <w:rPr>
          <w:rStyle w:val="FootnoteReference"/>
        </w:rPr>
        <w:footnoteReference w:id="10"/>
      </w:r>
      <w:r w:rsidRPr="00D24509">
        <w:t>, un jo īpaši tās 105. pantu,</w:t>
      </w:r>
    </w:p>
    <w:p w:rsidR="008D07C2" w:rsidRPr="00D24509" w:rsidRDefault="008D07C2" w:rsidP="008D07C2">
      <w:pPr>
        <w:pStyle w:val="NormalHanging12a"/>
      </w:pPr>
      <w:r w:rsidRPr="00D24509">
        <w:t>–</w:t>
      </w:r>
      <w:r w:rsidRPr="00D24509">
        <w:tab/>
        <w:t>ņemot vērā Reglamenta 100. pantu un V pielikumu,</w:t>
      </w:r>
    </w:p>
    <w:p w:rsidR="008D07C2" w:rsidRPr="00D24509" w:rsidRDefault="008D07C2" w:rsidP="008D07C2">
      <w:pPr>
        <w:pStyle w:val="NormalHanging12a"/>
      </w:pPr>
      <w:r w:rsidRPr="00D24509">
        <w:t>–</w:t>
      </w:r>
      <w:r w:rsidRPr="00D24509">
        <w:tab/>
        <w:t>ņemot vērā Vides, sabiedrības veselības un pārtikas nekaitīguma komitejas atzinumu,</w:t>
      </w:r>
    </w:p>
    <w:p w:rsidR="008D07C2" w:rsidRPr="00D24509" w:rsidRDefault="008D07C2" w:rsidP="008D07C2">
      <w:pPr>
        <w:pStyle w:val="NormalHanging12a"/>
      </w:pPr>
      <w:r w:rsidRPr="00D24509">
        <w:t>–</w:t>
      </w:r>
      <w:r w:rsidRPr="00D24509">
        <w:tab/>
        <w:t>ņemot vērā Budžeta kontroles komitejas ziņojumu (A9</w:t>
      </w:r>
      <w:r w:rsidRPr="00D24509">
        <w:noBreakHyphen/>
        <w:t>0129/2024),</w:t>
      </w:r>
    </w:p>
    <w:p w:rsidR="008D07C2" w:rsidRPr="00D24509" w:rsidRDefault="008D07C2" w:rsidP="008D07C2">
      <w:pPr>
        <w:pStyle w:val="NormalHanging12a"/>
      </w:pPr>
      <w:r w:rsidRPr="00D24509">
        <w:t>1.</w:t>
      </w:r>
      <w:r w:rsidRPr="00D24509">
        <w:tab/>
        <w:t>apstiprina Eiropas Pārtikas nekaitīguma iestādes 2022. finanšu gada pārskatus;</w:t>
      </w:r>
    </w:p>
    <w:p w:rsidR="008D07C2" w:rsidRPr="00D24509" w:rsidRDefault="008D07C2" w:rsidP="008D07C2">
      <w:pPr>
        <w:pStyle w:val="NormalHanging12a"/>
      </w:pPr>
      <w:r w:rsidRPr="00D24509">
        <w:t>2.</w:t>
      </w:r>
      <w:r w:rsidRPr="00D24509">
        <w:tab/>
        <w:t xml:space="preserve">uzdod priekšsēdētājai šo lēmumu nosūtīt Eiropas Pārtikas nekaitīguma iestādes izpilddirektoram, Padomei, Komisijai un Revīzijas palātai un nodrošināt tā publicēšanu </w:t>
      </w:r>
      <w:r w:rsidRPr="00D24509">
        <w:rPr>
          <w:i/>
        </w:rPr>
        <w:lastRenderedPageBreak/>
        <w:t>Eiropas Savienības Oficiālajā Vēstnesī</w:t>
      </w:r>
      <w:r w:rsidRPr="00D24509">
        <w:t xml:space="preserve"> (L sērijā).</w:t>
      </w:r>
    </w:p>
    <w:p w:rsidR="008D07C2" w:rsidRPr="00D24509" w:rsidRDefault="008D07C2" w:rsidP="008D07C2"/>
    <w:p w:rsidR="008D07C2" w:rsidRPr="00D24509" w:rsidRDefault="008D07C2" w:rsidP="008D07C2">
      <w:pPr>
        <w:pStyle w:val="PageHeading"/>
        <w:sectPr w:rsidR="008D07C2" w:rsidRPr="00D24509" w:rsidSect="004244A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D07C2" w:rsidRPr="00D24509" w:rsidRDefault="008D07C2" w:rsidP="00EA7A7A">
      <w:pPr>
        <w:pStyle w:val="ATHeading3"/>
      </w:pPr>
      <w:bookmarkStart w:id="9" w:name="_Toc161913582"/>
      <w:r w:rsidRPr="00D24509">
        <w:lastRenderedPageBreak/>
        <w:t xml:space="preserve">3. </w:t>
      </w:r>
      <w:bookmarkEnd w:id="9"/>
      <w:r w:rsidR="00EA7A7A" w:rsidRPr="00D24509">
        <w:t xml:space="preserve">Eiropas Parlamenta 2024. gada 11. aprīļa rezolūcija </w:t>
      </w:r>
      <w:r w:rsidRPr="00D24509">
        <w:t>ar konstatējumiem, kas ir neatņemama daļa no lēmuma par Eiropas Pārtikas nekaitīguma iestādes 2022. finanšu gada budžeta izpildes apstiprināšanu</w:t>
      </w:r>
      <w:r w:rsidR="00EA7A7A" w:rsidRPr="00D24509">
        <w:t xml:space="preserve"> </w:t>
      </w:r>
      <w:r w:rsidRPr="00D24509">
        <w:t>(2023/2151(DEC))</w:t>
      </w:r>
    </w:p>
    <w:p w:rsidR="008D07C2" w:rsidRPr="00D24509" w:rsidRDefault="008D07C2" w:rsidP="008D07C2">
      <w:pPr>
        <w:pStyle w:val="EPComma"/>
      </w:pPr>
      <w:r w:rsidRPr="00D24509">
        <w:rPr>
          <w:i/>
        </w:rPr>
        <w:t>Eiropas Parlaments</w:t>
      </w:r>
      <w:r w:rsidRPr="00D24509">
        <w:t>,</w:t>
      </w:r>
    </w:p>
    <w:p w:rsidR="008D07C2" w:rsidRPr="00D24509" w:rsidRDefault="008D07C2" w:rsidP="008D07C2">
      <w:pPr>
        <w:pStyle w:val="NormalHanging12a"/>
      </w:pPr>
      <w:r w:rsidRPr="00D24509">
        <w:t>–</w:t>
      </w:r>
      <w:r w:rsidRPr="00D24509">
        <w:tab/>
        <w:t>ņemot vērā lēmumu par Eiropas Pārtikas nekaitīguma iestādes 2022. finanšu gada budžeta izpildes apstiprināšanu,</w:t>
      </w:r>
    </w:p>
    <w:p w:rsidR="008D07C2" w:rsidRPr="00D24509" w:rsidRDefault="008D07C2" w:rsidP="008D07C2">
      <w:pPr>
        <w:pStyle w:val="NormalHanging12a"/>
      </w:pPr>
      <w:r w:rsidRPr="00D24509">
        <w:t>–</w:t>
      </w:r>
      <w:r w:rsidRPr="00D24509">
        <w:tab/>
        <w:t>ņemot vērā Reglamenta 100. pantu un V pielikumu,</w:t>
      </w:r>
    </w:p>
    <w:p w:rsidR="008D07C2" w:rsidRPr="00D24509" w:rsidRDefault="008D07C2" w:rsidP="008D07C2">
      <w:pPr>
        <w:pStyle w:val="NormalHanging12a"/>
      </w:pPr>
      <w:r w:rsidRPr="00D24509">
        <w:t>–</w:t>
      </w:r>
      <w:r w:rsidRPr="00D24509">
        <w:tab/>
        <w:t>ņemot vērā Vides, sabiedrības veselības un pārtikas nekaitīguma komitejas atzinumu,</w:t>
      </w:r>
    </w:p>
    <w:p w:rsidR="008D07C2" w:rsidRPr="00D24509" w:rsidRDefault="008D07C2" w:rsidP="008D07C2">
      <w:pPr>
        <w:pStyle w:val="NormalHanging12a"/>
      </w:pPr>
      <w:r w:rsidRPr="00D24509">
        <w:t>–</w:t>
      </w:r>
      <w:r w:rsidRPr="00D24509">
        <w:tab/>
        <w:t>ņemot vērā Budžeta kontroles komitejas ziņojumu (A9</w:t>
      </w:r>
      <w:r w:rsidRPr="00D24509">
        <w:noBreakHyphen/>
        <w:t>0129/2024),</w:t>
      </w:r>
    </w:p>
    <w:p w:rsidR="008D07C2" w:rsidRPr="00D24509" w:rsidRDefault="008D07C2" w:rsidP="008D07C2">
      <w:pPr>
        <w:autoSpaceDE w:val="0"/>
        <w:autoSpaceDN w:val="0"/>
        <w:adjustRightInd w:val="0"/>
        <w:spacing w:after="240"/>
        <w:ind w:left="567" w:hanging="567"/>
        <w:rPr>
          <w:rFonts w:eastAsia="Calibri"/>
          <w:szCs w:val="24"/>
        </w:rPr>
      </w:pPr>
      <w:r w:rsidRPr="00D24509">
        <w:t>A.</w:t>
      </w:r>
      <w:r w:rsidRPr="00D24509">
        <w:tab/>
        <w:t>tā kā saskaņā ar Eiropas Pārtikas nekaitīguma iestādes (“Iestāde”) ieņēmumu un izdevumu pārskatu</w:t>
      </w:r>
      <w:r w:rsidRPr="00D24509">
        <w:rPr>
          <w:rFonts w:eastAsia="Calibri"/>
          <w:szCs w:val="24"/>
          <w:vertAlign w:val="superscript"/>
        </w:rPr>
        <w:footnoteReference w:id="11"/>
      </w:r>
      <w:r w:rsidRPr="00D24509">
        <w:t xml:space="preserve"> tās 2022. finanšu gada galīgais budžets bija 149 841 816,93 EUR, t. i., par 15,99 % lielāks nekā 2021. gadā; tā kā Iestādes budžets tiek finansēts galvenokārt no Savienības budžeta;</w:t>
      </w:r>
    </w:p>
    <w:p w:rsidR="008D07C2" w:rsidRPr="00D24509" w:rsidRDefault="008D07C2" w:rsidP="008D07C2">
      <w:pPr>
        <w:spacing w:after="240"/>
        <w:ind w:left="567" w:hanging="567"/>
        <w:rPr>
          <w:szCs w:val="24"/>
        </w:rPr>
      </w:pPr>
      <w:r w:rsidRPr="00D24509">
        <w:t>B.</w:t>
      </w:r>
      <w:r w:rsidRPr="00D24509">
        <w:tab/>
        <w:t>tā kā Revīzijas palāta ziņojumā par Iestādes 2022. finanšu gada pārskatiem (“Revīzijas palātas ziņojums”) norāda, ka tā ir guvusi pamatotu pārliecību par to, ka Iestādes gada pārskati ir ticami un ka pakārtotie darījumi ir likumīgi un pareizi;</w:t>
      </w:r>
    </w:p>
    <w:p w:rsidR="008D07C2" w:rsidRPr="00D24509" w:rsidRDefault="008D07C2" w:rsidP="008D07C2">
      <w:pPr>
        <w:widowControl/>
        <w:spacing w:after="240"/>
        <w:ind w:left="567" w:hanging="567"/>
        <w:rPr>
          <w:szCs w:val="24"/>
        </w:rPr>
      </w:pPr>
      <w:r w:rsidRPr="00D24509">
        <w:t>C.</w:t>
      </w:r>
      <w:r w:rsidRPr="00D24509">
        <w:tab/>
        <w:t>tā kā attiecībā uz Iestādes iepirkuma jomu nav ziņots par tādām problēmām 2022. gadā, kuru dēļ būtu jāveic korektīvi pasākumi, un tā kā šobrīd netiek veikti korektīvi pasākumi saistībā ar iepriekšējo gadu revīzijām un novērtējumiem un tādi nav arī iekavēti;</w:t>
      </w:r>
    </w:p>
    <w:p w:rsidR="008D07C2" w:rsidRPr="00D24509" w:rsidRDefault="008D07C2" w:rsidP="008D07C2">
      <w:pPr>
        <w:widowControl/>
        <w:spacing w:after="240"/>
        <w:ind w:left="567" w:hanging="567"/>
        <w:rPr>
          <w:szCs w:val="24"/>
        </w:rPr>
      </w:pPr>
      <w:r w:rsidRPr="00D24509">
        <w:t>D.</w:t>
      </w:r>
      <w:r w:rsidRPr="00D24509">
        <w:tab/>
        <w:t>tā kā attiecībā uz Iestādes iekšējās kontroles sistēmām nav ziņots par tādām problēmām 2022. gadā, kuru dēļ būtu jāveic korektīvi pasākumi, un tā kā šobrīd netiek veikti korektīvi pasākumi saistībā ar iepriekšējo gadu revīzijām un novērtējumiem un tādi nav arī iekavēti,</w:t>
      </w:r>
    </w:p>
    <w:p w:rsidR="008D07C2" w:rsidRPr="00D24509" w:rsidRDefault="008D07C2" w:rsidP="008D07C2">
      <w:pPr>
        <w:spacing w:after="240"/>
        <w:ind w:left="567" w:hanging="567"/>
        <w:rPr>
          <w:b/>
          <w:i/>
          <w:szCs w:val="24"/>
        </w:rPr>
      </w:pPr>
      <w:r w:rsidRPr="00D24509">
        <w:rPr>
          <w:b/>
          <w:i/>
        </w:rPr>
        <w:t>Budžeta un finanšu pārvaldība</w:t>
      </w:r>
    </w:p>
    <w:p w:rsidR="008D07C2" w:rsidRPr="00D24509" w:rsidRDefault="008D07C2" w:rsidP="008D07C2">
      <w:pPr>
        <w:spacing w:after="240"/>
        <w:ind w:left="567" w:hanging="567"/>
        <w:rPr>
          <w:szCs w:val="24"/>
        </w:rPr>
      </w:pPr>
      <w:r w:rsidRPr="00D24509">
        <w:t>1.</w:t>
      </w:r>
      <w:r w:rsidRPr="00D24509">
        <w:tab/>
        <w:t>atzinīgi norāda, ka 2022. finanšu gadā veiktās budžeta uzraudzības rezultātā budžeta izpildes līmenis attiecībā uz kārtējā gada saistību apropriācijām bija 99,95 %, kas ir nedaudz (par 0,04 %) mazāk nekā 2021. gadā; turklāt norāda, ka kārtējā gada maksājumu apropriāciju izpildes līmenis bija 89,77 %, t. i., par 0,92 % vairāk nekā 2021. gadā;</w:t>
      </w:r>
    </w:p>
    <w:p w:rsidR="008D07C2" w:rsidRPr="00D24509" w:rsidRDefault="008D07C2" w:rsidP="008D07C2">
      <w:pPr>
        <w:pStyle w:val="NormalHanging12a"/>
      </w:pPr>
      <w:r w:rsidRPr="00D24509">
        <w:t>2.</w:t>
      </w:r>
      <w:r w:rsidRPr="00D24509">
        <w:tab/>
        <w:t xml:space="preserve">norāda, ka resursu un amata vietu nepietiekamības dēļ augu aizsardzības līdzekļu regulatīvajās iestādēs veidojas kavējumi zema riska aktīvo vielu apstiprināšanā un novērtēšanas metožu atjaunināšanā atbilstoši zinātnes attīstībai, kas ilgtermiņā samazinātu augu aizsardzības līdzekļu ietekmi uz vidi; aicina Komisiju veikt attiecīgus pasākumus, lai nodrošinātu, ka Iestādei ir pietiekami resursi un amata vietas, lai palīdzētu dalībvalstīm ievērot Regulā (EK) Nr. 1107/2009 noteiktos termiņus, gadā veiktu divtik daudz augu aizsardzības produktu aktīvo vielu novērtējumu un trīsreiz </w:t>
      </w:r>
      <w:r w:rsidRPr="00D24509">
        <w:lastRenderedPageBreak/>
        <w:t>ātrāk izstrādātu nepieciešamās metodikas, tā nodrošinot, ka riska novērtējumi atbilst jaunākajām zinātnes atziņām un sabiedrības vajadzībām;</w:t>
      </w:r>
    </w:p>
    <w:p w:rsidR="008D07C2" w:rsidRPr="00D24509" w:rsidRDefault="008D07C2" w:rsidP="008D07C2">
      <w:pPr>
        <w:spacing w:after="240"/>
        <w:ind w:left="567" w:hanging="567"/>
        <w:rPr>
          <w:b/>
          <w:i/>
          <w:szCs w:val="24"/>
        </w:rPr>
      </w:pPr>
      <w:r w:rsidRPr="00D24509">
        <w:rPr>
          <w:b/>
          <w:i/>
        </w:rPr>
        <w:t>Sniegums</w:t>
      </w:r>
    </w:p>
    <w:p w:rsidR="008D07C2" w:rsidRPr="00D24509" w:rsidRDefault="008D07C2" w:rsidP="008D07C2">
      <w:pPr>
        <w:pStyle w:val="NormalHanging12a"/>
      </w:pPr>
      <w:r w:rsidRPr="00D24509">
        <w:t>3.</w:t>
      </w:r>
      <w:r w:rsidRPr="00D24509">
        <w:tab/>
        <w:t>atzinīgi vērtē to, kā Iestāde palīdz uzlabot Savienības pārtikas un dzīvnieku barības ķēdes nekaitīgumu, un tās ievērojamos pūliņus sniegt riska pārvaldniekiem visaptverošus, neatkarīgus un mūsdienīgus zinātniskos ieteikumus par jautājumiem, kas saistīti ar pārtikas ķēdi, skaidri publiskojot rezultātus un informāciju, uz ko tie ir balstīti, un sadarbojoties ar ieinteresētajām personām un institucionālajiem partneriem, lai veicinātu saskaņotību un uzticēšanos pārtikas nekaitīguma sistēmai;</w:t>
      </w:r>
    </w:p>
    <w:p w:rsidR="008D07C2" w:rsidRPr="00D24509" w:rsidRDefault="008D07C2" w:rsidP="008D07C2">
      <w:pPr>
        <w:pStyle w:val="NormalHanging12a"/>
        <w:rPr>
          <w:szCs w:val="24"/>
        </w:rPr>
      </w:pPr>
      <w:r w:rsidRPr="00D24509">
        <w:t>4.</w:t>
      </w:r>
      <w:r w:rsidRPr="00D24509">
        <w:tab/>
        <w:t>ar gandarījumu norāda, ka Iestāde ir ieviesusi integrētu snieguma satvaru, resursus un darbības sasaistot ar tiešajiem rezultātiem un gaidāmajiem rezultātiem, un to papildina galveno snieguma rādītāju kopums snieguma uzraudzībai un stimulēšanai; turklāt norāda, ka sniegums, mērot pret snieguma satvarā noteiktajiem mērķiem, kopumā sasniedza 96 % līmeni; konstatē, ka kopumā labs sniegums bija 2. stratēģiskā mērķa (nodrošināt sagatavotību turpmākām riska analīzes vajadzībām) un 3. stratēģiskā mērķa (iespēcināt cilvēkus un nodrošināt organizatorisko elastību) jomās, savukārt 1. stratēģiskā mērķa (sniegt uzticamus zinātniskos ieteikumus un ziņot par riskiem no lauka līdz galdam) jomā, kuru būtiski ietekmēja Regulā (ES) 2019/1381</w:t>
      </w:r>
      <w:r w:rsidRPr="00D24509">
        <w:rPr>
          <w:rStyle w:val="FootnoteReference"/>
          <w:szCs w:val="24"/>
        </w:rPr>
        <w:footnoteReference w:id="12"/>
      </w:r>
      <w:r w:rsidRPr="00D24509">
        <w:t xml:space="preserve"> paredzēto jauno noteikumu un procedūru īstenošana, bija vērojama atkāpe no mērķa;</w:t>
      </w:r>
    </w:p>
    <w:p w:rsidR="008D07C2" w:rsidRPr="00D24509" w:rsidRDefault="008D07C2" w:rsidP="008D07C2">
      <w:pPr>
        <w:pStyle w:val="NormalHanging12a"/>
        <w:rPr>
          <w:szCs w:val="24"/>
        </w:rPr>
      </w:pPr>
      <w:r w:rsidRPr="00D24509">
        <w:t>5.</w:t>
      </w:r>
      <w:r w:rsidRPr="00D24509">
        <w:tab/>
        <w:t>uzsver, ka Iestāde ir pabeigusi izskatīt 586 zinātniskos jautājumus no plānotā 701 jautājuma 1. mērķa jomā (sniegt uzticamus zinātniskos ieteikumus un ziņot par riskiem no lauka līdz galdam); norāda — lai gan slēgto zinātnisko jautājumu skaits ir mazāks nekā bija prognozēts, tas kopumā līdzinās gada laikā saņemto jauno jautājumu skaitam un tādējādi ir nodrošināts, ka izskatāmo jautājumu skaits nav pieaudzis;</w:t>
      </w:r>
    </w:p>
    <w:p w:rsidR="008D07C2" w:rsidRPr="00D24509" w:rsidRDefault="008D07C2" w:rsidP="008D07C2">
      <w:pPr>
        <w:pStyle w:val="NormalHanging12a"/>
        <w:rPr>
          <w:szCs w:val="24"/>
        </w:rPr>
      </w:pPr>
      <w:r w:rsidRPr="00D24509">
        <w:t>6.</w:t>
      </w:r>
      <w:r w:rsidRPr="00D24509">
        <w:tab/>
        <w:t>atzinīgi vērtē ļoti pozitīvos rezultātus konstatējumu publiskošanas ziņā, jo ar savlaicīgajām publikācijām Iestādes žurnālā tika saglabāts pēdējo divu gadu pozitīvais sniegums;</w:t>
      </w:r>
    </w:p>
    <w:p w:rsidR="008D07C2" w:rsidRPr="00D24509" w:rsidRDefault="008D07C2" w:rsidP="008D07C2">
      <w:pPr>
        <w:pStyle w:val="NormalHanging12a"/>
        <w:rPr>
          <w:szCs w:val="24"/>
        </w:rPr>
      </w:pPr>
      <w:r w:rsidRPr="00D24509">
        <w:t>7.</w:t>
      </w:r>
      <w:r w:rsidRPr="00D24509">
        <w:tab/>
        <w:t xml:space="preserve">pieņem zināšanai, ka 2022. gads bija pirmais gads, kad sākts īstenot stratēģiju 2027. gadam; stratēģija 2027. gadam, kas izstrādāta, turpinot un pilnveidojot stratēģiju 2020. gadam, ir vērsta uz Regulas (ES) 2019/1381 īstenošanu (īstermiņā) un Iestādes sagatavošanu jaunām Savienības </w:t>
      </w:r>
      <w:proofErr w:type="spellStart"/>
      <w:r w:rsidRPr="00D24509">
        <w:t>rīcībpolitikām</w:t>
      </w:r>
      <w:proofErr w:type="spellEnd"/>
      <w:r w:rsidRPr="00D24509">
        <w:t xml:space="preserve"> (ilgtermiņā);</w:t>
      </w:r>
    </w:p>
    <w:p w:rsidR="008D07C2" w:rsidRPr="00D24509" w:rsidRDefault="008D07C2" w:rsidP="008D07C2">
      <w:pPr>
        <w:pStyle w:val="NormalHanging12a"/>
        <w:rPr>
          <w:szCs w:val="24"/>
        </w:rPr>
      </w:pPr>
      <w:r w:rsidRPr="00D24509">
        <w:t>8.</w:t>
      </w:r>
      <w:r w:rsidRPr="00D24509">
        <w:tab/>
        <w:t>atzinīgi vērtē to, ka Iestāde 2022. gada jūnijā organizēja pasākumu “VIENA konference — veselība, vide, sabiedrība”, kur tika uzsvērta saikne starp cilvēka, dzīvnieku un vides veselību un mudināts uz pieeju “viena veselība — viena vide”;</w:t>
      </w:r>
    </w:p>
    <w:p w:rsidR="008D07C2" w:rsidRPr="00D24509" w:rsidRDefault="008D07C2" w:rsidP="008D07C2">
      <w:pPr>
        <w:pStyle w:val="NormalHanging12a"/>
        <w:rPr>
          <w:szCs w:val="24"/>
        </w:rPr>
      </w:pPr>
      <w:r w:rsidRPr="00D24509">
        <w:t>9.</w:t>
      </w:r>
      <w:r w:rsidRPr="00D24509">
        <w:tab/>
        <w:t>atzīmē, ka Iestāde partnerībā ar 18 dalībvalstīm ir sākusi kampaņu par Āfrikas cūku mēri; turklāt atzīmē, ka Iestāde ir devusi ieguldījumu ES ķimikāliju stratēģijas izstrādē un īstenošanā;</w:t>
      </w:r>
    </w:p>
    <w:p w:rsidR="008D07C2" w:rsidRPr="00D24509" w:rsidRDefault="008D07C2" w:rsidP="008D07C2">
      <w:pPr>
        <w:pStyle w:val="NormalHanging12a"/>
      </w:pPr>
      <w:r w:rsidRPr="00D24509">
        <w:lastRenderedPageBreak/>
        <w:t>10.</w:t>
      </w:r>
      <w:r w:rsidRPr="00D24509">
        <w:tab/>
        <w:t xml:space="preserve">norāda, ka saskaņā ar Iestādes ieviesto gada stratēģijas </w:t>
      </w:r>
      <w:proofErr w:type="spellStart"/>
      <w:r w:rsidRPr="00D24509">
        <w:t>apsekojumu</w:t>
      </w:r>
      <w:proofErr w:type="spellEnd"/>
      <w:r w:rsidRPr="00D24509">
        <w:t>, kurā tā lūdz atsauksmes no saviem klientiem, partneriem un ieinteresētajām personām, kas tieši vai netieši iesaistītas tās zinātnisko atzinumu sniegšanā, uzmanība joprojām jāpievērš Iestādes spējai savlaicīgi sniegt konsultācijas;</w:t>
      </w:r>
    </w:p>
    <w:p w:rsidR="008D07C2" w:rsidRPr="00D24509" w:rsidRDefault="008D07C2" w:rsidP="008D07C2">
      <w:pPr>
        <w:pStyle w:val="NormalHanging12a"/>
        <w:rPr>
          <w:b/>
          <w:i/>
          <w:szCs w:val="24"/>
        </w:rPr>
      </w:pPr>
      <w:r w:rsidRPr="00D24509">
        <w:rPr>
          <w:b/>
          <w:i/>
        </w:rPr>
        <w:t>Efektivitāte un ieguvumi</w:t>
      </w:r>
    </w:p>
    <w:p w:rsidR="008D07C2" w:rsidRPr="00D24509" w:rsidRDefault="008D07C2" w:rsidP="008D07C2">
      <w:pPr>
        <w:pStyle w:val="NormalHanging12a"/>
        <w:rPr>
          <w:szCs w:val="24"/>
        </w:rPr>
      </w:pPr>
      <w:r w:rsidRPr="00D24509">
        <w:t>11.</w:t>
      </w:r>
      <w:r w:rsidRPr="00D24509">
        <w:tab/>
        <w:t xml:space="preserve">konstatē, ka Iestāde ir sadarbojusies ar Eiropas Ķimikāliju iestādi — saistībā ar jauno Savienības ķimikāliju stratēģiju — un ar Eiropas Slimību profilakses un kontroles centru, lai izstrādātu sistēmas genoma sekvencēšanas datu vākšanai un analīzei; turklāt norāda, ka Iestāde ir kopīgojusi cilvēkresursus un pētniecības resursus ar radniecīgām aģentūrām un Kopīgo pētniecības centru; uzsver arī horizontālos ieguvumus, ko sniedz sadarbība un </w:t>
      </w:r>
      <w:proofErr w:type="spellStart"/>
      <w:r w:rsidRPr="00D24509">
        <w:t>paraugprakses</w:t>
      </w:r>
      <w:proofErr w:type="spellEnd"/>
      <w:r w:rsidRPr="00D24509">
        <w:t xml:space="preserve"> pielāgošana;</w:t>
      </w:r>
    </w:p>
    <w:p w:rsidR="008D07C2" w:rsidRPr="00D24509" w:rsidRDefault="008D07C2" w:rsidP="008D07C2">
      <w:pPr>
        <w:pStyle w:val="NormalHanging12a"/>
        <w:rPr>
          <w:szCs w:val="24"/>
        </w:rPr>
      </w:pPr>
      <w:r w:rsidRPr="00D24509">
        <w:t>12.</w:t>
      </w:r>
      <w:r w:rsidRPr="00D24509">
        <w:tab/>
        <w:t>norāda, ka Iestāde 2022. gadā pastiprināja centienus konsolidēt jaunu procesu un IT rīku ieviešanu, tiecoties panākt augstu efektivitātes līmeni un maksimāli palielināt sinerģiju ar citām aģentūrām; turklāt atzīmē, ka daži no Iestādes 2020.–2022. gadā sasniegtajiem rezultātiem attiecībā uz efektivitāti un ieguvumiem IT rīku jomā bija plānoti uz 2023. gada beigām;</w:t>
      </w:r>
    </w:p>
    <w:p w:rsidR="008D07C2" w:rsidRPr="00D24509" w:rsidRDefault="008D07C2" w:rsidP="008D07C2">
      <w:pPr>
        <w:pStyle w:val="NormalHanging12a"/>
      </w:pPr>
      <w:r w:rsidRPr="00D24509">
        <w:t>13.</w:t>
      </w:r>
      <w:r w:rsidRPr="00D24509">
        <w:tab/>
        <w:t xml:space="preserve">atzinīgi vērtē Iestādes nodomu stiprināt datu kopīgu pārvaldību ar dalībvalstīm un citām aģentūrām, lai uzlabotu datu kvalitāti un </w:t>
      </w:r>
      <w:proofErr w:type="spellStart"/>
      <w:r w:rsidRPr="00D24509">
        <w:t>sadarbspēju</w:t>
      </w:r>
      <w:proofErr w:type="spellEnd"/>
      <w:r w:rsidRPr="00D24509">
        <w:t xml:space="preserve"> (saskaņā ar pieeju “Viena veselība”);</w:t>
      </w:r>
    </w:p>
    <w:p w:rsidR="008D07C2" w:rsidRPr="00D24509" w:rsidRDefault="008D07C2" w:rsidP="008D07C2">
      <w:pPr>
        <w:spacing w:after="240"/>
        <w:ind w:left="567" w:hanging="567"/>
        <w:rPr>
          <w:b/>
          <w:i/>
          <w:szCs w:val="24"/>
        </w:rPr>
      </w:pPr>
      <w:r w:rsidRPr="00D24509">
        <w:rPr>
          <w:b/>
          <w:i/>
        </w:rPr>
        <w:t>Personāla politika</w:t>
      </w:r>
    </w:p>
    <w:p w:rsidR="008D07C2" w:rsidRPr="00D24509" w:rsidRDefault="008D07C2" w:rsidP="008D07C2">
      <w:pPr>
        <w:spacing w:after="240"/>
        <w:ind w:left="567" w:hanging="567"/>
        <w:rPr>
          <w:rFonts w:eastAsia="Calibri"/>
          <w:szCs w:val="24"/>
        </w:rPr>
      </w:pPr>
      <w:r w:rsidRPr="00D24509">
        <w:t>14.</w:t>
      </w:r>
      <w:r w:rsidRPr="00D24509">
        <w:tab/>
        <w:t>konstatē, ka 2022. gada 31. decembrī bija aizpildīti 95,55 % no štatu sarakstā paredzētajām amata vietām un Savienības budžetā apstiprinātajās 405 amata vietās darbā bija pieņemti pieci ierēdņi un 382 pagaidu darbinieki (salīdzinājumam — 2021. gadā bija 380 apstiprinātas amata vietas); atzīmē, ka 2022. gadā Iestādē strādāja arī 170 līgumdarbinieki un 14 norīkotie valstu eksperti; turklāt atzīmē, ka Regulas (ES) 2019/1381 īstenošanas nolūkā Iestādei 2022. gadā tika piešķirta 31 jauna amata vieta un 15 papildu līgumdarbinieku vietas laikposmam no 2022. gada līdz 2024. gadam;</w:t>
      </w:r>
    </w:p>
    <w:p w:rsidR="008D07C2" w:rsidRPr="00D24509" w:rsidRDefault="008D07C2" w:rsidP="008D07C2">
      <w:pPr>
        <w:widowControl/>
        <w:spacing w:after="240"/>
        <w:ind w:left="567" w:hanging="567"/>
        <w:rPr>
          <w:szCs w:val="24"/>
        </w:rPr>
      </w:pPr>
      <w:r w:rsidRPr="00D24509">
        <w:t>15.</w:t>
      </w:r>
      <w:r w:rsidRPr="00D24509">
        <w:tab/>
        <w:t>pieņem zināšanai to, ka 2022. gadā bija panākts dzimumu līdzsvars visu Iestādes darbinieku vidū, proti, 335 no 557 darbiniekiem bija sievietes (60,1 %), un Iestādes valdē — 37 no 70 locekļiem bija sievietes (52,9 %); konstatē, ka augstākā līmeņa un vadības amatus vairāk ieņem vīrieši nekā sievietes (63 % salīdzinājumā ar 37 %); aicina Iestādi pastiprināt centienus novērst dzimumu nevienlīdzību attiecībā uz augstākā līmeņa un vadības amatiem;</w:t>
      </w:r>
    </w:p>
    <w:p w:rsidR="008D07C2" w:rsidRPr="00D24509" w:rsidRDefault="008D07C2" w:rsidP="008D07C2">
      <w:pPr>
        <w:spacing w:after="240"/>
        <w:ind w:left="567" w:hanging="567"/>
        <w:rPr>
          <w:rFonts w:eastAsia="Calibri"/>
          <w:szCs w:val="24"/>
        </w:rPr>
      </w:pPr>
      <w:r w:rsidRPr="00D24509">
        <w:t>16.</w:t>
      </w:r>
      <w:r w:rsidRPr="00D24509">
        <w:tab/>
        <w:t>pieņem zināšanai to, ka medicīniskās aprūpes dienests 2022. gadā ziņoja par trim izdegšanas gadījumiem;</w:t>
      </w:r>
      <w:r w:rsidRPr="00D24509">
        <w:rPr>
          <w:rFonts w:ascii="Segoe UI" w:hAnsi="Segoe UI"/>
          <w:color w:val="374151"/>
        </w:rPr>
        <w:t xml:space="preserve"> </w:t>
      </w:r>
      <w:r w:rsidRPr="00D24509">
        <w:t>uzsver, ka ir ārkārtīgi svarīgi saglabāt līdzsvaru starp profesionālo atbildību un personīgo dzīvi; aicina Iestādi arī turpmāk veicināt veselīgu darba un privātās dzīves līdzsvaru darbinieku vidū;</w:t>
      </w:r>
    </w:p>
    <w:p w:rsidR="008D07C2" w:rsidRPr="00D24509" w:rsidRDefault="008D07C2" w:rsidP="008D07C2">
      <w:pPr>
        <w:spacing w:after="240"/>
        <w:ind w:left="567" w:hanging="567"/>
        <w:rPr>
          <w:rFonts w:eastAsia="Calibri"/>
          <w:szCs w:val="24"/>
        </w:rPr>
      </w:pPr>
      <w:r w:rsidRPr="00D24509">
        <w:t>17.</w:t>
      </w:r>
      <w:r w:rsidRPr="00D24509">
        <w:tab/>
        <w:t xml:space="preserve">norāda, ka Iestāde ir apņēmusies ievērot ES aģentūru tīkla un Daudzveidības un </w:t>
      </w:r>
      <w:proofErr w:type="spellStart"/>
      <w:r w:rsidRPr="00D24509">
        <w:t>iekļautības</w:t>
      </w:r>
      <w:proofErr w:type="spellEnd"/>
      <w:r w:rsidRPr="00D24509">
        <w:t xml:space="preserve"> hartas vērtības un strādā pie tā, lai to pieņemtu pēc iespējas ātrāk; turklāt pieņem zināšanai, ka Iestāde piedalās ES aģentūru tīkla darba grupā daudzveidības un </w:t>
      </w:r>
      <w:proofErr w:type="spellStart"/>
      <w:r w:rsidRPr="00D24509">
        <w:t>iekļautības</w:t>
      </w:r>
      <w:proofErr w:type="spellEnd"/>
      <w:r w:rsidRPr="00D24509">
        <w:t xml:space="preserve"> jautājumos, kopīgojot sinerģiju un daloties informācijā un resursos attiecībā </w:t>
      </w:r>
      <w:r w:rsidRPr="00D24509">
        <w:lastRenderedPageBreak/>
        <w:t xml:space="preserve">uz daudzveidību un iekļaušanu; atzīmē, ka tika īstenotas arī dažas iekšējās iniciatīvas, piemēram, izveidota jauna karjerai veltīta tīmekļvietne un videomateriāls par darbu Iestādē, kur kā atsevišķs temats tika skatīta daudzveidība un </w:t>
      </w:r>
      <w:proofErr w:type="spellStart"/>
      <w:r w:rsidRPr="00D24509">
        <w:t>iekļautība</w:t>
      </w:r>
      <w:proofErr w:type="spellEnd"/>
      <w:r w:rsidRPr="00D24509">
        <w:t>;</w:t>
      </w:r>
    </w:p>
    <w:p w:rsidR="008D07C2" w:rsidRPr="00D24509" w:rsidRDefault="008D07C2" w:rsidP="008D07C2">
      <w:pPr>
        <w:spacing w:after="240"/>
        <w:ind w:left="567" w:hanging="567"/>
        <w:rPr>
          <w:rFonts w:eastAsia="Calibri"/>
          <w:szCs w:val="24"/>
        </w:rPr>
      </w:pPr>
      <w:r w:rsidRPr="00D24509">
        <w:t>18.</w:t>
      </w:r>
      <w:r w:rsidRPr="00D24509">
        <w:tab/>
        <w:t>konstatē, ka Iestāde ir pieņēmusi vadlīnijas par palīdzības personām ar invaliditāti īstenošanu, lai veicinātu sociālo politiku un vienlīdzīgu attieksmi darbavietā; turklāt atzīmē, ka Iestādes ēka ir projektēta saskaņā ar Itālijas noteikumiem par pieejamību personām ar invaliditāti;</w:t>
      </w:r>
    </w:p>
    <w:p w:rsidR="008D07C2" w:rsidRPr="00D24509" w:rsidRDefault="008D07C2" w:rsidP="008D07C2">
      <w:pPr>
        <w:spacing w:after="240"/>
        <w:ind w:left="567" w:hanging="567"/>
        <w:rPr>
          <w:rFonts w:eastAsia="Calibri"/>
          <w:szCs w:val="24"/>
        </w:rPr>
      </w:pPr>
      <w:r w:rsidRPr="00D24509">
        <w:t>19.</w:t>
      </w:r>
      <w:r w:rsidRPr="00D24509">
        <w:tab/>
        <w:t>norāda, ka no 2022. gada 1. janvāra tiek īstenota jauna organizatoriskā struktūra, kas izveidota, lai atbalstītu Regulas (ES) 2019/1381 un Iestādes stratēģijā 2027. gadam noteikto mērķu īstenošanu;</w:t>
      </w:r>
    </w:p>
    <w:p w:rsidR="008D07C2" w:rsidRPr="00D24509" w:rsidRDefault="008D07C2" w:rsidP="008D07C2">
      <w:pPr>
        <w:spacing w:after="240"/>
        <w:ind w:left="567" w:hanging="567"/>
        <w:rPr>
          <w:b/>
          <w:i/>
          <w:szCs w:val="24"/>
        </w:rPr>
      </w:pPr>
      <w:proofErr w:type="spellStart"/>
      <w:r w:rsidRPr="00D24509">
        <w:rPr>
          <w:b/>
          <w:i/>
        </w:rPr>
        <w:t>Pārredzamība</w:t>
      </w:r>
      <w:proofErr w:type="spellEnd"/>
      <w:r w:rsidRPr="00D24509">
        <w:rPr>
          <w:b/>
          <w:i/>
        </w:rPr>
        <w:t xml:space="preserve"> un interešu konfliktu novēršana un pārvaldība</w:t>
      </w:r>
    </w:p>
    <w:p w:rsidR="008D07C2" w:rsidRPr="00D24509" w:rsidRDefault="008D07C2" w:rsidP="008D07C2">
      <w:pPr>
        <w:spacing w:after="240"/>
        <w:ind w:left="567" w:hanging="567"/>
        <w:rPr>
          <w:rFonts w:eastAsia="Calibri"/>
          <w:szCs w:val="24"/>
        </w:rPr>
      </w:pPr>
      <w:r w:rsidRPr="00D24509">
        <w:t>20.</w:t>
      </w:r>
      <w:r w:rsidRPr="00D24509">
        <w:tab/>
        <w:t>konstatē, ka Iestādes valde un par darbības pārvaldību atbildīgās personas ir parakstījušas interešu konflikta deklarāciju, kura ir publicēta un pieejama tīmekļvietnē; turklāt atzīmē, ka līdz 2023. gada beigām bija jāpublicē valdes locekļu un viņu aizstājēju CV;</w:t>
      </w:r>
    </w:p>
    <w:p w:rsidR="008D07C2" w:rsidRPr="00D24509" w:rsidRDefault="008D07C2" w:rsidP="008D07C2">
      <w:pPr>
        <w:spacing w:after="240"/>
        <w:ind w:left="567" w:hanging="567"/>
        <w:rPr>
          <w:rFonts w:eastAsia="Calibri"/>
          <w:szCs w:val="24"/>
        </w:rPr>
      </w:pPr>
      <w:r w:rsidRPr="00D24509">
        <w:t>21.</w:t>
      </w:r>
      <w:r w:rsidRPr="00D24509">
        <w:tab/>
        <w:t>konstatē, ka Iestāde 2022. gadā identificēja un pārvaldīja septiņus interešu konfliktus saistībā ar ārējo ekspertu gada interešu deklarācijām; norāda, ka Iestāde viņiem liedza piedalīties zinātniskajā darbībā;</w:t>
      </w:r>
    </w:p>
    <w:p w:rsidR="008D07C2" w:rsidRPr="00D24509" w:rsidRDefault="008D07C2" w:rsidP="008D07C2">
      <w:pPr>
        <w:spacing w:after="240"/>
        <w:ind w:left="567" w:hanging="567"/>
        <w:rPr>
          <w:rFonts w:eastAsia="Calibri"/>
          <w:szCs w:val="24"/>
        </w:rPr>
      </w:pPr>
      <w:r w:rsidRPr="00D24509">
        <w:t>22.</w:t>
      </w:r>
      <w:r w:rsidRPr="00D24509">
        <w:tab/>
        <w:t>pieņem zināšanai to, ka Iestāde ir ieviesusi brīvprātīgu rīcības kodeksu, saskaņā ar kuru valdes locekļi apņemas ziņot Iestādei par savu profesionālo darbību divus gadus pēc pilnvaru termiņa beigām;</w:t>
      </w:r>
    </w:p>
    <w:p w:rsidR="008D07C2" w:rsidRPr="00D24509" w:rsidRDefault="008D07C2" w:rsidP="008D07C2">
      <w:pPr>
        <w:spacing w:after="240"/>
        <w:ind w:left="567" w:hanging="567"/>
        <w:rPr>
          <w:rFonts w:eastAsia="Calibri"/>
          <w:szCs w:val="24"/>
        </w:rPr>
      </w:pPr>
      <w:r w:rsidRPr="00D24509">
        <w:t>23.</w:t>
      </w:r>
      <w:r w:rsidRPr="00D24509">
        <w:tab/>
        <w:t xml:space="preserve">pieņem zināšanai, ka Iestāde plāno līdz 2024. gada pirmajam ceturksnim pieņemt jaunu </w:t>
      </w:r>
      <w:proofErr w:type="spellStart"/>
      <w:r w:rsidRPr="00D24509">
        <w:t>pēcnodarbinātības</w:t>
      </w:r>
      <w:proofErr w:type="spellEnd"/>
      <w:r w:rsidRPr="00D24509">
        <w:t xml:space="preserve"> standarta procedūru, kas ietvertu kritērijus un procedūru attiecībā uz to, kā izbeigt dienestu atstājošo darbinieku piekļuvi konfidenciālai informācijai, kā arī uzraudzības un īstenošanas prasības un </w:t>
      </w:r>
      <w:proofErr w:type="spellStart"/>
      <w:r w:rsidRPr="00D24509">
        <w:t>pārredzamības</w:t>
      </w:r>
      <w:proofErr w:type="spellEnd"/>
      <w:r w:rsidRPr="00D24509">
        <w:t xml:space="preserve"> standartus;</w:t>
      </w:r>
    </w:p>
    <w:p w:rsidR="008D07C2" w:rsidRPr="00D24509" w:rsidRDefault="008D07C2" w:rsidP="008D07C2">
      <w:pPr>
        <w:spacing w:after="240"/>
        <w:ind w:left="567" w:hanging="567"/>
        <w:rPr>
          <w:rFonts w:eastAsia="Calibri"/>
          <w:szCs w:val="24"/>
        </w:rPr>
      </w:pPr>
      <w:r w:rsidRPr="00D24509">
        <w:t>24.</w:t>
      </w:r>
      <w:r w:rsidRPr="00D24509">
        <w:tab/>
        <w:t>norāda, ka Iestāde īsteno krāpšanas apkarošanas stratēģiju, kas izstrādāta ciešā sadarbībā ar Eiropas Biroju krāpšanas apkarošanai un ko papildina saistītie īstenošanas noteikumi un rīcības plāns krāpšanas un korupcijas novēršanai;</w:t>
      </w:r>
    </w:p>
    <w:p w:rsidR="008D07C2" w:rsidRPr="00D24509" w:rsidRDefault="008D07C2" w:rsidP="008D07C2">
      <w:pPr>
        <w:spacing w:after="240"/>
        <w:ind w:left="567" w:hanging="567"/>
        <w:rPr>
          <w:b/>
          <w:i/>
          <w:szCs w:val="24"/>
        </w:rPr>
      </w:pPr>
      <w:r w:rsidRPr="00D24509">
        <w:rPr>
          <w:b/>
          <w:i/>
        </w:rPr>
        <w:t>Citi komentāri</w:t>
      </w:r>
    </w:p>
    <w:p w:rsidR="008D07C2" w:rsidRPr="00D24509" w:rsidRDefault="008D07C2" w:rsidP="008D07C2">
      <w:pPr>
        <w:spacing w:after="240"/>
        <w:ind w:left="567" w:hanging="567"/>
        <w:rPr>
          <w:szCs w:val="24"/>
        </w:rPr>
      </w:pPr>
      <w:r w:rsidRPr="00D24509">
        <w:t>25.</w:t>
      </w:r>
      <w:r w:rsidRPr="00D24509">
        <w:tab/>
        <w:t>konstatē, ka 2022. gada jūnijā Iekšējās revīzijas dienests (</w:t>
      </w:r>
      <w:r w:rsidRPr="00D24509">
        <w:rPr>
          <w:i/>
        </w:rPr>
        <w:t>IAS</w:t>
      </w:r>
      <w:r w:rsidRPr="00D24509">
        <w:t xml:space="preserve">) nāca klajā ar revīzijas ziņojumu par informācijas drošību un negadījuma seku novēršanu, kura mērķis bija novērtēt pārvaldības izstrādes un īstenošanas atbilstību, un izdarīja divus konstatējumus un trīs svarīgus konstatējumus par IT drošības pārvaldību; norāda, ka Iestāde pieņēma </w:t>
      </w:r>
      <w:r w:rsidRPr="00D24509">
        <w:rPr>
          <w:i/>
          <w:iCs/>
        </w:rPr>
        <w:t>IAS</w:t>
      </w:r>
      <w:r w:rsidRPr="00D24509">
        <w:t xml:space="preserve"> ieteikumus un pašlaik īsteno rīcības plānu;</w:t>
      </w:r>
    </w:p>
    <w:p w:rsidR="008D07C2" w:rsidRPr="00D24509" w:rsidRDefault="008D07C2" w:rsidP="008D07C2">
      <w:pPr>
        <w:pStyle w:val="NormalHanging12a"/>
      </w:pPr>
      <w:r w:rsidRPr="00D24509">
        <w:t>26.</w:t>
      </w:r>
      <w:r w:rsidRPr="00D24509">
        <w:tab/>
        <w:t xml:space="preserve">atzinīgi vērtē to, ka Iestāde cenšas uzlabot savu publisko </w:t>
      </w:r>
      <w:proofErr w:type="spellStart"/>
      <w:r w:rsidRPr="00D24509">
        <w:t>pamanāmību</w:t>
      </w:r>
      <w:proofErr w:type="spellEnd"/>
      <w:r w:rsidRPr="00D24509">
        <w:t xml:space="preserve"> un klātbūtni tiešsaistē, otro gadu partnerībā ar dalībvalstu kompetentajām iestādēm īstenojot kampaņu “#</w:t>
      </w:r>
      <w:proofErr w:type="spellStart"/>
      <w:r w:rsidRPr="00D24509">
        <w:rPr>
          <w:i/>
          <w:iCs/>
        </w:rPr>
        <w:t>EUChooseSafeFood</w:t>
      </w:r>
      <w:proofErr w:type="spellEnd"/>
      <w:r w:rsidRPr="00D24509">
        <w:t>” (#</w:t>
      </w:r>
      <w:proofErr w:type="spellStart"/>
      <w:r w:rsidRPr="00D24509">
        <w:t>EiropaIzvēlasDrošuPārtiku</w:t>
      </w:r>
      <w:proofErr w:type="spellEnd"/>
      <w:r w:rsidRPr="00D24509">
        <w:t xml:space="preserve">), lai pieejamā veidā skaidrotu zinātnes atziņas, kas balsta pārtikas nekaitīgumu Savienībā, kā arī partnerībā ar pārējām četrām ENVI aģentūrām rīkojot pasākumu “VIENA konference — veselība, vide, sabiedrība”, kura saistībā tika izveidots kopīgs </w:t>
      </w:r>
      <w:proofErr w:type="spellStart"/>
      <w:r w:rsidRPr="00D24509">
        <w:rPr>
          <w:i/>
          <w:iCs/>
        </w:rPr>
        <w:t>Instagram</w:t>
      </w:r>
      <w:proofErr w:type="spellEnd"/>
      <w:r w:rsidRPr="00D24509">
        <w:t xml:space="preserve"> kanāls “</w:t>
      </w:r>
      <w:proofErr w:type="spellStart"/>
      <w:r w:rsidRPr="00D24509">
        <w:rPr>
          <w:i/>
          <w:iCs/>
        </w:rPr>
        <w:t>One</w:t>
      </w:r>
      <w:proofErr w:type="spellEnd"/>
      <w:r w:rsidRPr="00D24509">
        <w:rPr>
          <w:i/>
          <w:iCs/>
        </w:rPr>
        <w:t xml:space="preserve"> Health </w:t>
      </w:r>
      <w:proofErr w:type="spellStart"/>
      <w:r w:rsidRPr="00D24509">
        <w:rPr>
          <w:i/>
          <w:iCs/>
        </w:rPr>
        <w:t>One</w:t>
      </w:r>
      <w:proofErr w:type="spellEnd"/>
      <w:r w:rsidRPr="00D24509">
        <w:rPr>
          <w:i/>
          <w:iCs/>
        </w:rPr>
        <w:t xml:space="preserve"> </w:t>
      </w:r>
      <w:proofErr w:type="spellStart"/>
      <w:r w:rsidRPr="00D24509">
        <w:rPr>
          <w:i/>
          <w:iCs/>
        </w:rPr>
        <w:t>Environment</w:t>
      </w:r>
      <w:proofErr w:type="spellEnd"/>
      <w:r w:rsidRPr="00D24509">
        <w:t xml:space="preserve">” (Viena veselība — viena vide); turklāt norāda, ka Iestāde ir centusies ar </w:t>
      </w:r>
      <w:r w:rsidRPr="00D24509">
        <w:lastRenderedPageBreak/>
        <w:t xml:space="preserve">mākslīgā intelekta palīdzību padarīt savu tīmekļvietni </w:t>
      </w:r>
      <w:proofErr w:type="spellStart"/>
      <w:r w:rsidRPr="00D24509">
        <w:t>daudzvalodīgu</w:t>
      </w:r>
      <w:proofErr w:type="spellEnd"/>
      <w:r w:rsidRPr="00D24509">
        <w:t xml:space="preserve">, izmantojot Komisijas </w:t>
      </w:r>
      <w:proofErr w:type="spellStart"/>
      <w:r w:rsidRPr="00D24509">
        <w:t>logrīku</w:t>
      </w:r>
      <w:proofErr w:type="spellEnd"/>
      <w:r w:rsidRPr="00D24509">
        <w:t xml:space="preserve"> </w:t>
      </w:r>
      <w:proofErr w:type="spellStart"/>
      <w:r w:rsidRPr="00D24509">
        <w:rPr>
          <w:i/>
          <w:iCs/>
        </w:rPr>
        <w:t>eTranslation</w:t>
      </w:r>
      <w:proofErr w:type="spellEnd"/>
      <w:r w:rsidRPr="00D24509">
        <w:t>; vēl arī norāda, ka Iestāde 2022. gadā turpināja ieguldīt resursus portāla “</w:t>
      </w:r>
      <w:proofErr w:type="spellStart"/>
      <w:r w:rsidRPr="00D24509">
        <w:rPr>
          <w:i/>
          <w:iCs/>
        </w:rPr>
        <w:t>OpenEFSA</w:t>
      </w:r>
      <w:proofErr w:type="spellEnd"/>
      <w:r w:rsidRPr="00D24509">
        <w:t>” izstrādē saskaņā ar Regulas (ES) 2019/1381 prasībām;</w:t>
      </w:r>
    </w:p>
    <w:p w:rsidR="008D07C2" w:rsidRPr="00D24509" w:rsidRDefault="008D07C2" w:rsidP="008D07C2">
      <w:pPr>
        <w:pStyle w:val="NormalHanging12a"/>
      </w:pPr>
      <w:r w:rsidRPr="00D24509">
        <w:t>27.</w:t>
      </w:r>
      <w:r w:rsidRPr="00D24509">
        <w:tab/>
        <w:t>atzinīgi vērtē to, ka Iestāde jau dažus gadus ir viena no</w:t>
      </w:r>
      <w:r w:rsidRPr="00D24509">
        <w:rPr>
          <w:i/>
          <w:iCs/>
        </w:rPr>
        <w:t xml:space="preserve"> EMAS</w:t>
      </w:r>
      <w:r w:rsidRPr="00D24509">
        <w:t xml:space="preserve"> sertificētajām aģentūrām; pieņem zināšanai to, ka atkarībā no pirkuma veida Iestāde piemēro zaļā publiskā iepirkuma standartus kā minimālās iepirkuma specifikācijas prasības atlases un/vai līguma slēgšanas tiesību piešķiršanas kritērijos;</w:t>
      </w:r>
    </w:p>
    <w:p w:rsidR="008D07C2" w:rsidRPr="00D24509" w:rsidRDefault="008D07C2" w:rsidP="008D07C2">
      <w:pPr>
        <w:pStyle w:val="NormalCenter12a"/>
      </w:pPr>
      <w:r w:rsidRPr="00D24509">
        <w:t>°</w:t>
      </w:r>
    </w:p>
    <w:p w:rsidR="008D07C2" w:rsidRPr="00D24509" w:rsidRDefault="008D07C2" w:rsidP="008D07C2">
      <w:pPr>
        <w:pStyle w:val="NormalCenter12a"/>
      </w:pPr>
      <w:r w:rsidRPr="00D24509">
        <w:t>°</w:t>
      </w:r>
      <w:r w:rsidRPr="00D24509">
        <w:tab/>
        <w:t>°</w:t>
      </w:r>
    </w:p>
    <w:p w:rsidR="008D07C2" w:rsidRPr="00D24509" w:rsidRDefault="008D07C2" w:rsidP="00D24509">
      <w:pPr>
        <w:pStyle w:val="NormalHanging12a"/>
      </w:pPr>
      <w:r w:rsidRPr="00D24509">
        <w:t>28.</w:t>
      </w:r>
      <w:r w:rsidRPr="00D24509">
        <w:tab/>
        <w:t xml:space="preserve">attiecībā uz pārējiem horizontāla rakstura konstatējumiem, kas pievienoti lēmumam par budžeta izpildes apstiprināšanu, atsaucas uz </w:t>
      </w:r>
      <w:r w:rsidR="00EA7A7A" w:rsidRPr="00D24509">
        <w:t xml:space="preserve">2024. gada 11. aprīļa </w:t>
      </w:r>
      <w:r w:rsidRPr="00D24509">
        <w:t>rezolūciju par aģentūru sniegumu, finanšu pārvaldību un kontroli</w:t>
      </w:r>
      <w:r w:rsidRPr="00D24509">
        <w:rPr>
          <w:rStyle w:val="FootnoteReference"/>
        </w:rPr>
        <w:footnoteReference w:id="13"/>
      </w:r>
      <w:r w:rsidRPr="00D24509">
        <w:t>.</w:t>
      </w:r>
    </w:p>
    <w:p w:rsidR="00E365E1" w:rsidRPr="00D24509" w:rsidRDefault="00E365E1" w:rsidP="00760A95">
      <w:bookmarkStart w:id="11" w:name="TextBodyEnd"/>
      <w:bookmarkEnd w:id="11"/>
    </w:p>
    <w:p w:rsidR="00EA7A7A" w:rsidRPr="00D24509" w:rsidRDefault="00EA7A7A" w:rsidP="00760A95"/>
    <w:sectPr w:rsidR="00EA7A7A" w:rsidRPr="00D24509" w:rsidSect="004244A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A95" w:rsidRPr="004244A8" w:rsidRDefault="00760A95">
      <w:r w:rsidRPr="004244A8">
        <w:separator/>
      </w:r>
    </w:p>
  </w:endnote>
  <w:endnote w:type="continuationSeparator" w:id="0">
    <w:p w:rsidR="00760A95" w:rsidRPr="004244A8" w:rsidRDefault="00760A95">
      <w:r w:rsidRPr="00424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rsidP="00023301">
    <w:pPr>
      <w:pStyle w:val="EPFooter"/>
    </w:pPr>
    <w:r w:rsidRPr="004244A8">
      <w:t>PE</w:t>
    </w:r>
    <w:r w:rsidRPr="004244A8">
      <w:rPr>
        <w:rStyle w:val="HideTWBExt"/>
      </w:rPr>
      <w:t>&lt;</w:t>
    </w:r>
    <w:proofErr w:type="spellStart"/>
    <w:r w:rsidRPr="004244A8">
      <w:rPr>
        <w:rStyle w:val="HideTWBExt"/>
      </w:rPr>
      <w:t>NoPE</w:t>
    </w:r>
    <w:proofErr w:type="spellEnd"/>
    <w:r w:rsidRPr="004244A8">
      <w:rPr>
        <w:rStyle w:val="HideTWBExt"/>
      </w:rPr>
      <w:t>&gt;</w:t>
    </w:r>
    <w:r w:rsidRPr="004244A8">
      <w:t>753.519</w:t>
    </w:r>
    <w:r w:rsidRPr="004244A8">
      <w:rPr>
        <w:rStyle w:val="HideTWBExt"/>
      </w:rPr>
      <w:t>&lt;/</w:t>
    </w:r>
    <w:proofErr w:type="spellStart"/>
    <w:r w:rsidRPr="004244A8">
      <w:rPr>
        <w:rStyle w:val="HideTWBExt"/>
      </w:rPr>
      <w:t>NoPE</w:t>
    </w:r>
    <w:proofErr w:type="spellEnd"/>
    <w:r w:rsidRPr="004244A8">
      <w:rPr>
        <w:rStyle w:val="HideTWBExt"/>
      </w:rPr>
      <w:t>&gt;&lt;Version&gt;</w:t>
    </w:r>
    <w:r w:rsidRPr="004244A8">
      <w:t>v03-00</w:t>
    </w:r>
    <w:r w:rsidRPr="004244A8">
      <w:rPr>
        <w:rStyle w:val="HideTWBExt"/>
      </w:rPr>
      <w:t>&lt;/</w:t>
    </w:r>
    <w:proofErr w:type="spellStart"/>
    <w:r w:rsidRPr="004244A8">
      <w:rPr>
        <w:rStyle w:val="HideTWBExt"/>
      </w:rPr>
      <w:t>Version</w:t>
    </w:r>
    <w:proofErr w:type="spellEnd"/>
    <w:r w:rsidRPr="004244A8">
      <w:rPr>
        <w:rStyle w:val="HideTWBExt"/>
      </w:rPr>
      <w:t>&gt;</w:t>
    </w:r>
    <w:r w:rsidRPr="004244A8">
      <w:tab/>
    </w:r>
    <w:r w:rsidRPr="004244A8">
      <w:fldChar w:fldCharType="begin"/>
    </w:r>
    <w:r w:rsidRPr="004244A8">
      <w:instrText xml:space="preserve"> PAGE  \* MERGEFORMAT </w:instrText>
    </w:r>
    <w:r w:rsidRPr="004244A8">
      <w:fldChar w:fldCharType="separate"/>
    </w:r>
    <w:r w:rsidRPr="004244A8">
      <w:rPr>
        <w:noProof/>
      </w:rPr>
      <w:t>4</w:t>
    </w:r>
    <w:r w:rsidRPr="004244A8">
      <w:fldChar w:fldCharType="end"/>
    </w:r>
    <w:r w:rsidRPr="004244A8">
      <w:t>/</w:t>
    </w:r>
    <w:fldSimple w:instr=" NUMPAGES  \* MERGEFORMAT ">
      <w:r w:rsidRPr="004244A8">
        <w:rPr>
          <w:noProof/>
        </w:rPr>
        <w:t>4</w:t>
      </w:r>
    </w:fldSimple>
    <w:r w:rsidRPr="004244A8">
      <w:tab/>
    </w:r>
    <w:r w:rsidRPr="004244A8">
      <w:rPr>
        <w:rStyle w:val="HideTWBExt"/>
      </w:rPr>
      <w:t>&lt;PathFdR&gt;</w:t>
    </w:r>
    <w:r w:rsidRPr="004244A8">
      <w:t>RR\1299220LV.docx</w:t>
    </w:r>
    <w:r w:rsidRPr="004244A8">
      <w:rPr>
        <w:rStyle w:val="HideTWBExt"/>
      </w:rPr>
      <w:t>&lt;/</w:t>
    </w:r>
    <w:proofErr w:type="spellStart"/>
    <w:r w:rsidRPr="004244A8">
      <w:rPr>
        <w:rStyle w:val="HideTWBExt"/>
      </w:rPr>
      <w:t>PathFdR</w:t>
    </w:r>
    <w:proofErr w:type="spellEnd"/>
    <w:r w:rsidRPr="004244A8">
      <w:rPr>
        <w:rStyle w:val="HideTWBExt"/>
      </w:rPr>
      <w:t>&gt;</w:t>
    </w:r>
  </w:p>
  <w:p w:rsidR="008D07C2" w:rsidRPr="004244A8" w:rsidRDefault="008D07C2" w:rsidP="00023301">
    <w:pPr>
      <w:pStyle w:val="EPFooter2"/>
    </w:pPr>
    <w:r w:rsidRPr="004244A8">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rsidP="0002330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rsidP="00023301">
    <w:pPr>
      <w:pStyle w:val="EPFooter"/>
    </w:pPr>
    <w:r w:rsidRPr="004244A8">
      <w:rPr>
        <w:rStyle w:val="HideTWBExt"/>
      </w:rPr>
      <w:t>&lt;PathFdR&gt;</w:t>
    </w:r>
    <w:r w:rsidRPr="004244A8">
      <w:t>RR\1299220LV.docx</w:t>
    </w:r>
    <w:r w:rsidRPr="004244A8">
      <w:rPr>
        <w:rStyle w:val="HideTWBExt"/>
      </w:rPr>
      <w:t>&lt;/</w:t>
    </w:r>
    <w:proofErr w:type="spellStart"/>
    <w:r w:rsidRPr="004244A8">
      <w:rPr>
        <w:rStyle w:val="HideTWBExt"/>
      </w:rPr>
      <w:t>PathFdR</w:t>
    </w:r>
    <w:proofErr w:type="spellEnd"/>
    <w:r w:rsidRPr="004244A8">
      <w:rPr>
        <w:rStyle w:val="HideTWBExt"/>
      </w:rPr>
      <w:t>&gt;</w:t>
    </w:r>
    <w:r w:rsidRPr="004244A8">
      <w:tab/>
    </w:r>
    <w:r w:rsidRPr="004244A8">
      <w:tab/>
      <w:t>PE</w:t>
    </w:r>
    <w:r w:rsidRPr="004244A8">
      <w:rPr>
        <w:rStyle w:val="HideTWBExt"/>
      </w:rPr>
      <w:t>&lt;</w:t>
    </w:r>
    <w:proofErr w:type="spellStart"/>
    <w:r w:rsidRPr="004244A8">
      <w:rPr>
        <w:rStyle w:val="HideTWBExt"/>
      </w:rPr>
      <w:t>NoPE</w:t>
    </w:r>
    <w:proofErr w:type="spellEnd"/>
    <w:r w:rsidRPr="004244A8">
      <w:rPr>
        <w:rStyle w:val="HideTWBExt"/>
      </w:rPr>
      <w:t>&gt;</w:t>
    </w:r>
    <w:r w:rsidRPr="004244A8">
      <w:t>753.519</w:t>
    </w:r>
    <w:r w:rsidRPr="004244A8">
      <w:rPr>
        <w:rStyle w:val="HideTWBExt"/>
      </w:rPr>
      <w:t>&lt;/</w:t>
    </w:r>
    <w:proofErr w:type="spellStart"/>
    <w:r w:rsidRPr="004244A8">
      <w:rPr>
        <w:rStyle w:val="HideTWBExt"/>
      </w:rPr>
      <w:t>NoPE</w:t>
    </w:r>
    <w:proofErr w:type="spellEnd"/>
    <w:r w:rsidRPr="004244A8">
      <w:rPr>
        <w:rStyle w:val="HideTWBExt"/>
      </w:rPr>
      <w:t>&gt;&lt;Version&gt;</w:t>
    </w:r>
    <w:r w:rsidRPr="004244A8">
      <w:t>v03-00</w:t>
    </w:r>
    <w:r w:rsidRPr="004244A8">
      <w:rPr>
        <w:rStyle w:val="HideTWBExt"/>
      </w:rPr>
      <w:t>&lt;/</w:t>
    </w:r>
    <w:proofErr w:type="spellStart"/>
    <w:r w:rsidRPr="004244A8">
      <w:rPr>
        <w:rStyle w:val="HideTWBExt"/>
      </w:rPr>
      <w:t>Version</w:t>
    </w:r>
    <w:proofErr w:type="spellEnd"/>
    <w:r w:rsidRPr="004244A8">
      <w:rPr>
        <w:rStyle w:val="HideTWBExt"/>
      </w:rPr>
      <w:t>&gt;</w:t>
    </w:r>
  </w:p>
  <w:p w:rsidR="008D07C2" w:rsidRPr="004244A8" w:rsidRDefault="008D07C2" w:rsidP="00023301">
    <w:pPr>
      <w:pStyle w:val="EPFooter2"/>
    </w:pPr>
    <w:r w:rsidRPr="004244A8">
      <w:t>LV</w:t>
    </w:r>
    <w:r w:rsidRPr="004244A8">
      <w:tab/>
    </w:r>
    <w:r w:rsidRPr="004244A8">
      <w:rPr>
        <w:b w:val="0"/>
        <w:i/>
        <w:color w:val="C0C0C0"/>
        <w:sz w:val="22"/>
      </w:rPr>
      <w:t>Vienoti daudzveidībā</w:t>
    </w:r>
    <w:r w:rsidRPr="004244A8">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A95" w:rsidRPr="004244A8" w:rsidRDefault="00760A95">
      <w:r w:rsidRPr="004244A8">
        <w:separator/>
      </w:r>
    </w:p>
  </w:footnote>
  <w:footnote w:type="continuationSeparator" w:id="0">
    <w:p w:rsidR="00760A95" w:rsidRPr="004244A8" w:rsidRDefault="00760A95">
      <w:r w:rsidRPr="004244A8">
        <w:continuationSeparator/>
      </w:r>
    </w:p>
  </w:footnote>
  <w:footnote w:id="1">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C, C/2023/594, 27.10.2023.</w:t>
      </w:r>
    </w:p>
  </w:footnote>
  <w:footnote w:id="2">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C, C/2023/112, 12.10.2023.</w:t>
      </w:r>
    </w:p>
  </w:footnote>
  <w:footnote w:id="3">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193, 30.7.2018., 1. lpp.</w:t>
      </w:r>
    </w:p>
  </w:footnote>
  <w:footnote w:id="4">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31, 1.2.2002., 1. lpp.</w:t>
      </w:r>
    </w:p>
  </w:footnote>
  <w:footnote w:id="5">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122, 10.5.2019., 1. lpp.</w:t>
      </w:r>
    </w:p>
  </w:footnote>
  <w:footnote w:id="6">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C, C/2023/594, 27.10.2023.</w:t>
      </w:r>
    </w:p>
  </w:footnote>
  <w:footnote w:id="7">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C, C/2023/112, 12.10.2023.</w:t>
      </w:r>
    </w:p>
  </w:footnote>
  <w:footnote w:id="8">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193, 30.7.2018., 1. lpp.</w:t>
      </w:r>
    </w:p>
  </w:footnote>
  <w:footnote w:id="9">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31, 1.2.2002., 1. lpp.</w:t>
      </w:r>
    </w:p>
  </w:footnote>
  <w:footnote w:id="10">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L 122, 10.5.2019., 1. lpp.</w:t>
      </w:r>
    </w:p>
  </w:footnote>
  <w:footnote w:id="11">
    <w:p w:rsidR="008D07C2" w:rsidRPr="004244A8" w:rsidRDefault="008D07C2" w:rsidP="004244A8">
      <w:pPr>
        <w:pStyle w:val="FootnoteText"/>
        <w:ind w:left="567" w:hanging="567"/>
        <w:rPr>
          <w:rFonts w:eastAsia="Calibri"/>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OV C 178, 29.4.2022., 1. lpp.</w:t>
      </w:r>
    </w:p>
  </w:footnote>
  <w:footnote w:id="12">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 xml:space="preserve">Eiropas Parlamenta un Padomes Regula (ES) 2019/1381 (2019. gada 20. jūnijs) par ES riska novērtēšanas </w:t>
      </w:r>
      <w:proofErr w:type="spellStart"/>
      <w:r w:rsidRPr="004244A8">
        <w:rPr>
          <w:sz w:val="24"/>
          <w:lang w:val="lv-LV"/>
        </w:rPr>
        <w:t>pārredzamību</w:t>
      </w:r>
      <w:proofErr w:type="spellEnd"/>
      <w:r w:rsidRPr="004244A8">
        <w:rPr>
          <w:sz w:val="24"/>
          <w:lang w:val="lv-LV"/>
        </w:rPr>
        <w:t xml:space="preserve"> un ilgtspēju pārtikas aprites ķēdē un ar ko groza Regulas (EK) Nr. 178/2002, (EK) Nr. 1829/2003, (EK) Nr. 1831/2003, (EK) Nr. 2065/2003, (EK) Nr. 1935/2004, (EK) Nr. 1331/2008, (EK) Nr. 1107/2009, (ES) 2015/2283 un Direktīvu 2001/18/EK (OV L 231, 6.9.2019., 1. lpp.).</w:t>
      </w:r>
    </w:p>
  </w:footnote>
  <w:footnote w:id="13">
    <w:p w:rsidR="008D07C2" w:rsidRPr="004244A8" w:rsidRDefault="008D07C2" w:rsidP="004244A8">
      <w:pPr>
        <w:pStyle w:val="FootnoteText"/>
        <w:ind w:left="567" w:hanging="567"/>
        <w:rPr>
          <w:sz w:val="24"/>
          <w:lang w:val="lv-LV"/>
        </w:rPr>
      </w:pPr>
      <w:r w:rsidRPr="004244A8">
        <w:rPr>
          <w:rStyle w:val="FootnoteReference"/>
          <w:sz w:val="24"/>
          <w:lang w:val="lv-LV"/>
        </w:rPr>
        <w:footnoteRef/>
      </w:r>
      <w:r w:rsidR="004244A8" w:rsidRPr="004244A8">
        <w:rPr>
          <w:sz w:val="24"/>
          <w:lang w:val="lv-LV"/>
        </w:rPr>
        <w:t xml:space="preserve"> </w:t>
      </w:r>
      <w:r w:rsidR="004244A8" w:rsidRPr="004244A8">
        <w:rPr>
          <w:sz w:val="24"/>
          <w:lang w:val="lv-LV"/>
        </w:rPr>
        <w:tab/>
      </w:r>
      <w:r w:rsidRPr="004244A8">
        <w:rPr>
          <w:sz w:val="24"/>
          <w:lang w:val="lv-LV"/>
        </w:rPr>
        <w:t xml:space="preserve">Pieņemtie teksti, </w:t>
      </w:r>
      <w:r w:rsidRPr="004244A8">
        <w:rPr>
          <w:sz w:val="24"/>
          <w:lang w:val="lv-LV"/>
        </w:rPr>
        <w:t>P9_TA(2024)0</w:t>
      </w:r>
      <w:r w:rsidR="00D24509">
        <w:rPr>
          <w:sz w:val="24"/>
          <w:lang w:val="lv-LV"/>
        </w:rPr>
        <w:t>28</w:t>
      </w:r>
      <w:bookmarkStart w:id="10" w:name="_GoBack"/>
      <w:bookmarkEnd w:id="10"/>
      <w:r w:rsidRPr="004244A8">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7C2" w:rsidRPr="004244A8" w:rsidRDefault="008D07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4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LV"/>
    <w:docVar w:name="dvnumam" w:val="0"/>
    <w:docVar w:name="dvpe" w:val="753.519"/>
    <w:docVar w:name="dvrapporteur" w:val="Referents: "/>
    <w:docVar w:name="dvtitre" w:val="Eiropas Parlamenta 2024. gada XX. XXX lēmums par Eiropas Pārtikas nekaitīguma iestādes 2022. finanšu gada budžeta izpildes apstiprināšanu(2023/2151(DEC))"/>
  </w:docVars>
  <w:rsids>
    <w:rsidRoot w:val="00760A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4A8"/>
    <w:rsid w:val="00471C19"/>
    <w:rsid w:val="004867E3"/>
    <w:rsid w:val="00494A28"/>
    <w:rsid w:val="004C0004"/>
    <w:rsid w:val="004C5D52"/>
    <w:rsid w:val="0050519A"/>
    <w:rsid w:val="005072A1"/>
    <w:rsid w:val="00514517"/>
    <w:rsid w:val="00545827"/>
    <w:rsid w:val="00560270"/>
    <w:rsid w:val="00572BF6"/>
    <w:rsid w:val="005C2568"/>
    <w:rsid w:val="006037C0"/>
    <w:rsid w:val="006631B6"/>
    <w:rsid w:val="00680577"/>
    <w:rsid w:val="006F74FA"/>
    <w:rsid w:val="00731ADD"/>
    <w:rsid w:val="00734777"/>
    <w:rsid w:val="00747932"/>
    <w:rsid w:val="00751A4A"/>
    <w:rsid w:val="00756632"/>
    <w:rsid w:val="00760A95"/>
    <w:rsid w:val="00762C74"/>
    <w:rsid w:val="00786EC0"/>
    <w:rsid w:val="007D1690"/>
    <w:rsid w:val="007E22AD"/>
    <w:rsid w:val="00817416"/>
    <w:rsid w:val="00842779"/>
    <w:rsid w:val="00865F67"/>
    <w:rsid w:val="00881A7B"/>
    <w:rsid w:val="008840E5"/>
    <w:rsid w:val="00887B3E"/>
    <w:rsid w:val="008C2AC6"/>
    <w:rsid w:val="008D07C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509"/>
    <w:rsid w:val="00D56C11"/>
    <w:rsid w:val="00D834A0"/>
    <w:rsid w:val="00D872DF"/>
    <w:rsid w:val="00D91E21"/>
    <w:rsid w:val="00DA7FCD"/>
    <w:rsid w:val="00E365E1"/>
    <w:rsid w:val="00E820A4"/>
    <w:rsid w:val="00EA7A7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572A8"/>
  <w15:chartTrackingRefBased/>
  <w15:docId w15:val="{8255412B-CF0C-4540-8DA5-AB7D0232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07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07C2"/>
    <w:pPr>
      <w:spacing w:before="480" w:after="240"/>
    </w:pPr>
  </w:style>
  <w:style w:type="paragraph" w:customStyle="1" w:styleId="PageHeading">
    <w:name w:val="PageHeading"/>
    <w:basedOn w:val="Normal"/>
    <w:rsid w:val="008D07C2"/>
    <w:pPr>
      <w:keepNext/>
      <w:spacing w:after="480"/>
      <w:jc w:val="center"/>
    </w:pPr>
    <w:rPr>
      <w:rFonts w:ascii="Arial" w:hAnsi="Arial" w:cs="Arial"/>
      <w:b/>
    </w:rPr>
  </w:style>
  <w:style w:type="paragraph" w:customStyle="1" w:styleId="NormalBold">
    <w:name w:val="NormalBold"/>
    <w:basedOn w:val="Normal"/>
    <w:rsid w:val="008D07C2"/>
    <w:rPr>
      <w:b/>
    </w:rPr>
  </w:style>
  <w:style w:type="paragraph" w:customStyle="1" w:styleId="NormalHanging12a">
    <w:name w:val="NormalHanging12a"/>
    <w:basedOn w:val="Normal"/>
    <w:link w:val="NormalHanging12aChar"/>
    <w:rsid w:val="008D07C2"/>
    <w:pPr>
      <w:spacing w:after="240"/>
      <w:ind w:left="567" w:hanging="567"/>
    </w:pPr>
  </w:style>
  <w:style w:type="paragraph" w:customStyle="1" w:styleId="NormalCenter12a">
    <w:name w:val="NormalCenter12a"/>
    <w:basedOn w:val="Normal"/>
    <w:rsid w:val="008D07C2"/>
    <w:pPr>
      <w:spacing w:after="240"/>
      <w:jc w:val="center"/>
    </w:pPr>
  </w:style>
  <w:style w:type="paragraph" w:styleId="Header">
    <w:name w:val="header"/>
    <w:basedOn w:val="Normal"/>
    <w:link w:val="HeaderChar"/>
    <w:rsid w:val="008D07C2"/>
    <w:pPr>
      <w:tabs>
        <w:tab w:val="center" w:pos="4513"/>
        <w:tab w:val="right" w:pos="9026"/>
      </w:tabs>
    </w:pPr>
  </w:style>
  <w:style w:type="character" w:customStyle="1" w:styleId="HeaderChar">
    <w:name w:val="Header Char"/>
    <w:basedOn w:val="DefaultParagraphFont"/>
    <w:link w:val="Header"/>
    <w:rsid w:val="008D07C2"/>
    <w:rPr>
      <w:sz w:val="24"/>
      <w:lang w:val="lv-LV"/>
    </w:rPr>
  </w:style>
  <w:style w:type="paragraph" w:customStyle="1" w:styleId="EPFooter">
    <w:name w:val="EPFooter"/>
    <w:basedOn w:val="Normal"/>
    <w:rsid w:val="008D07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D07C2"/>
    <w:rPr>
      <w:sz w:val="24"/>
      <w:lang w:val="lv-LV"/>
    </w:rPr>
  </w:style>
  <w:style w:type="paragraph" w:styleId="BalloonText">
    <w:name w:val="Balloon Text"/>
    <w:basedOn w:val="Normal"/>
    <w:link w:val="BalloonTextChar"/>
    <w:rsid w:val="00EA7A7A"/>
    <w:rPr>
      <w:rFonts w:ascii="Segoe UI" w:hAnsi="Segoe UI" w:cs="Segoe UI"/>
      <w:sz w:val="18"/>
      <w:szCs w:val="18"/>
    </w:rPr>
  </w:style>
  <w:style w:type="character" w:customStyle="1" w:styleId="BalloonTextChar">
    <w:name w:val="Balloon Text Char"/>
    <w:basedOn w:val="DefaultParagraphFont"/>
    <w:link w:val="BalloonText"/>
    <w:rsid w:val="00EA7A7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83665-4852-407B-9763-588827E90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2346</Words>
  <Characters>15063</Characters>
  <Application>Microsoft Office Word</Application>
  <DocSecurity>0</DocSecurity>
  <Lines>350</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2024-04-11T12:30:00Z</dcterms:created>
  <dcterms:modified xsi:type="dcterms:W3CDTF">2024-04-11T12:30:00Z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A9-0129/2024</vt:lpwstr>
  </property>
  <property fmtid="{D5CDD505-2E9C-101B-9397-08002B2CF9AE}" pid="4" name="&lt;Type&gt;">
    <vt:lpwstr>RR</vt:lpwstr>
  </property>
</Properties>
</file>