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EC5" w14:paraId="0D15CF61" w14:textId="77777777" w:rsidTr="0010095E">
        <w:trPr>
          <w:trHeight w:hRule="exact" w:val="1418"/>
        </w:trPr>
        <w:tc>
          <w:tcPr>
            <w:tcW w:w="6804" w:type="dxa"/>
            <w:shd w:val="clear" w:color="auto" w:fill="auto"/>
            <w:vAlign w:val="center"/>
          </w:tcPr>
          <w:p w14:paraId="5621B18F" w14:textId="77777777" w:rsidR="00751A4A" w:rsidRPr="00173EC5" w:rsidRDefault="00815624" w:rsidP="0010095E">
            <w:pPr>
              <w:pStyle w:val="EPName"/>
            </w:pPr>
            <w:r w:rsidRPr="00173EC5">
              <w:t>Europees Parlement</w:t>
            </w:r>
          </w:p>
          <w:p w14:paraId="65A5A80B" w14:textId="77777777" w:rsidR="00751A4A" w:rsidRPr="00173EC5" w:rsidRDefault="00817416" w:rsidP="00756632">
            <w:pPr>
              <w:pStyle w:val="EPTerm"/>
              <w:rPr>
                <w:rStyle w:val="HideTWBExt"/>
                <w:noProof w:val="0"/>
                <w:vanish w:val="0"/>
                <w:color w:val="auto"/>
              </w:rPr>
            </w:pPr>
            <w:r w:rsidRPr="00173EC5">
              <w:t>2019-2024</w:t>
            </w:r>
          </w:p>
        </w:tc>
        <w:tc>
          <w:tcPr>
            <w:tcW w:w="2268" w:type="dxa"/>
            <w:shd w:val="clear" w:color="auto" w:fill="auto"/>
          </w:tcPr>
          <w:p w14:paraId="1F2C99D2" w14:textId="77777777" w:rsidR="00751A4A" w:rsidRPr="00173EC5" w:rsidRDefault="00187494" w:rsidP="0010095E">
            <w:pPr>
              <w:pStyle w:val="EPLogo"/>
            </w:pPr>
            <w:r w:rsidRPr="00173EC5">
              <w:rPr>
                <w:noProof/>
                <w:lang w:val="en-GB"/>
              </w:rPr>
              <w:drawing>
                <wp:inline distT="0" distB="0" distL="0" distR="0" wp14:anchorId="13888BFE" wp14:editId="786F3D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C177A9" w14:textId="77777777" w:rsidR="00D058B8" w:rsidRPr="00173EC5" w:rsidRDefault="00D058B8" w:rsidP="004C5D52">
      <w:pPr>
        <w:pStyle w:val="LineTop"/>
      </w:pPr>
    </w:p>
    <w:p w14:paraId="51184371" w14:textId="77777777" w:rsidR="00680577" w:rsidRPr="00173EC5" w:rsidRDefault="00815624" w:rsidP="00680577">
      <w:pPr>
        <w:pStyle w:val="EPBodyTA1"/>
      </w:pPr>
      <w:r w:rsidRPr="00173EC5">
        <w:t>AANGENOMEN TEKSTEN</w:t>
      </w:r>
    </w:p>
    <w:p w14:paraId="2AE036F8" w14:textId="77777777" w:rsidR="00D058B8" w:rsidRPr="00173EC5" w:rsidRDefault="00D058B8" w:rsidP="00D058B8">
      <w:pPr>
        <w:pStyle w:val="LineBottom"/>
      </w:pPr>
    </w:p>
    <w:p w14:paraId="76A997AA" w14:textId="10DF8E5D" w:rsidR="00815624" w:rsidRPr="00173EC5" w:rsidRDefault="00815624" w:rsidP="00815624">
      <w:pPr>
        <w:pStyle w:val="ATHeading1"/>
      </w:pPr>
      <w:bookmarkStart w:id="0" w:name="TANumber"/>
      <w:r w:rsidRPr="00173EC5">
        <w:t>P9_</w:t>
      </w:r>
      <w:proofErr w:type="gramStart"/>
      <w:r w:rsidRPr="00173EC5">
        <w:t>TA(</w:t>
      </w:r>
      <w:proofErr w:type="gramEnd"/>
      <w:r w:rsidRPr="00173EC5">
        <w:t>2024)</w:t>
      </w:r>
      <w:bookmarkEnd w:id="0"/>
      <w:r w:rsidR="00173EC5" w:rsidRPr="00173EC5">
        <w:t>0250</w:t>
      </w:r>
    </w:p>
    <w:p w14:paraId="632C5136" w14:textId="77777777" w:rsidR="00815624" w:rsidRPr="00173EC5" w:rsidRDefault="00815624" w:rsidP="00815624">
      <w:pPr>
        <w:pStyle w:val="ATHeading2"/>
      </w:pPr>
      <w:bookmarkStart w:id="1" w:name="title"/>
      <w:r w:rsidRPr="00173EC5">
        <w:t>Kwijting 2022: Europese Autoriteit voor voedselveiligheid</w:t>
      </w:r>
      <w:bookmarkEnd w:id="1"/>
    </w:p>
    <w:p w14:paraId="36347995" w14:textId="77777777" w:rsidR="00815624" w:rsidRPr="00173EC5" w:rsidRDefault="00815624" w:rsidP="00815624">
      <w:pPr>
        <w:rPr>
          <w:i/>
          <w:vanish/>
        </w:rPr>
      </w:pPr>
      <w:r w:rsidRPr="00173EC5">
        <w:rPr>
          <w:i/>
        </w:rPr>
        <w:fldChar w:fldCharType="begin"/>
      </w:r>
      <w:r w:rsidRPr="00173EC5">
        <w:rPr>
          <w:i/>
        </w:rPr>
        <w:instrText xml:space="preserve"> TC"(</w:instrText>
      </w:r>
      <w:bookmarkStart w:id="2" w:name="DocNumber"/>
      <w:r w:rsidRPr="00173EC5">
        <w:rPr>
          <w:i/>
        </w:rPr>
        <w:instrText>A9-0129/2024</w:instrText>
      </w:r>
      <w:bookmarkEnd w:id="2"/>
      <w:r w:rsidRPr="00173EC5">
        <w:rPr>
          <w:i/>
        </w:rPr>
        <w:instrText xml:space="preserve"> - Rapporteur: Petri </w:instrText>
      </w:r>
      <w:proofErr w:type="spellStart"/>
      <w:r w:rsidRPr="00173EC5">
        <w:rPr>
          <w:i/>
        </w:rPr>
        <w:instrText>Sarvamaa</w:instrText>
      </w:r>
      <w:proofErr w:type="spellEnd"/>
      <w:r w:rsidRPr="00173EC5">
        <w:rPr>
          <w:i/>
        </w:rPr>
        <w:instrText xml:space="preserve">)"\l3 \n&gt; \* MERGEFORMAT </w:instrText>
      </w:r>
      <w:r w:rsidRPr="00173EC5">
        <w:rPr>
          <w:i/>
        </w:rPr>
        <w:fldChar w:fldCharType="end"/>
      </w:r>
    </w:p>
    <w:p w14:paraId="1629115D" w14:textId="77777777" w:rsidR="00815624" w:rsidRPr="00173EC5" w:rsidRDefault="00815624" w:rsidP="00815624">
      <w:pPr>
        <w:rPr>
          <w:vanish/>
        </w:rPr>
      </w:pPr>
      <w:bookmarkStart w:id="3" w:name="Commission"/>
      <w:r w:rsidRPr="00173EC5">
        <w:rPr>
          <w:vanish/>
        </w:rPr>
        <w:t>Commissie begrotingscontrole</w:t>
      </w:r>
      <w:bookmarkEnd w:id="3"/>
    </w:p>
    <w:p w14:paraId="408BD428" w14:textId="77777777" w:rsidR="00815624" w:rsidRPr="00173EC5" w:rsidRDefault="00815624" w:rsidP="00815624">
      <w:pPr>
        <w:rPr>
          <w:vanish/>
        </w:rPr>
      </w:pPr>
      <w:bookmarkStart w:id="4" w:name="PE"/>
      <w:r w:rsidRPr="00173EC5">
        <w:rPr>
          <w:vanish/>
        </w:rPr>
        <w:t>PE753.519</w:t>
      </w:r>
      <w:bookmarkEnd w:id="4"/>
    </w:p>
    <w:p w14:paraId="4F56E549" w14:textId="77777777" w:rsidR="00815624" w:rsidRPr="00173EC5" w:rsidRDefault="00815624" w:rsidP="00815624">
      <w:pPr>
        <w:pStyle w:val="ATHeading3"/>
      </w:pPr>
      <w:bookmarkStart w:id="5" w:name="Sujet"/>
      <w:r w:rsidRPr="00173EC5">
        <w:t>1. Besluit van het Europees Parlement van 11 april 2024 over het verlenen van kwijting voor de uitvoering van de begroting van de Europese Autoriteit voor voedselveiligheid voor het begrotingsjaar 2022</w:t>
      </w:r>
      <w:bookmarkEnd w:id="5"/>
      <w:r w:rsidRPr="00173EC5">
        <w:t xml:space="preserve"> </w:t>
      </w:r>
      <w:bookmarkStart w:id="6" w:name="References"/>
      <w:r w:rsidRPr="00173EC5">
        <w:t>(2023/2151(DEC))</w:t>
      </w:r>
      <w:bookmarkEnd w:id="6"/>
    </w:p>
    <w:p w14:paraId="53A70ACB" w14:textId="77777777" w:rsidR="002C0DD7" w:rsidRPr="00173EC5" w:rsidRDefault="002C0DD7" w:rsidP="002C0DD7">
      <w:pPr>
        <w:pStyle w:val="EPComma"/>
      </w:pPr>
      <w:bookmarkStart w:id="7" w:name="TextBodyBegin"/>
      <w:bookmarkEnd w:id="7"/>
      <w:r w:rsidRPr="00173EC5">
        <w:rPr>
          <w:i/>
        </w:rPr>
        <w:t>Het Europees Parlement</w:t>
      </w:r>
      <w:r w:rsidRPr="00173EC5">
        <w:t>,</w:t>
      </w:r>
    </w:p>
    <w:p w14:paraId="4A55EF74" w14:textId="77777777" w:rsidR="002C0DD7" w:rsidRPr="00173EC5" w:rsidRDefault="002C0DD7" w:rsidP="002C0DD7">
      <w:pPr>
        <w:pStyle w:val="NormalHanging12a"/>
      </w:pPr>
      <w:r w:rsidRPr="00173EC5">
        <w:t>–</w:t>
      </w:r>
      <w:r w:rsidRPr="00173EC5">
        <w:tab/>
        <w:t>gezien de definitieve jaarrekening van de Europese Autoriteit voor voedselveiligheid voor het begrotingsjaar 2022,</w:t>
      </w:r>
    </w:p>
    <w:p w14:paraId="5DD00995" w14:textId="77777777" w:rsidR="002C0DD7" w:rsidRPr="00173EC5" w:rsidRDefault="002C0DD7" w:rsidP="002C0DD7">
      <w:pPr>
        <w:pStyle w:val="NormalHanging12a"/>
      </w:pPr>
      <w:r w:rsidRPr="00173EC5">
        <w:t>–</w:t>
      </w:r>
      <w:r w:rsidRPr="00173EC5">
        <w:tab/>
        <w:t>gezien het jaarverslag van de Rekenkamer over de EU-agentschappen betreffende het begrotingsjaar 2022, vergezeld van de antwoorden van de agentschappen</w:t>
      </w:r>
      <w:r w:rsidRPr="00173EC5">
        <w:rPr>
          <w:rStyle w:val="FootnoteReference"/>
        </w:rPr>
        <w:footnoteReference w:id="1"/>
      </w:r>
      <w:r w:rsidRPr="00173EC5">
        <w:t>,</w:t>
      </w:r>
    </w:p>
    <w:p w14:paraId="110C8E2C" w14:textId="77777777" w:rsidR="002C0DD7" w:rsidRPr="00173EC5" w:rsidRDefault="002C0DD7" w:rsidP="002C0DD7">
      <w:pPr>
        <w:pStyle w:val="NormalHanging12a"/>
      </w:pPr>
      <w:r w:rsidRPr="00173EC5">
        <w:t>–</w:t>
      </w:r>
      <w:r w:rsidRPr="00173EC5">
        <w:tab/>
        <w:t>gezien de verklaring van de Rekenkamer</w:t>
      </w:r>
      <w:r w:rsidRPr="00173EC5">
        <w:rPr>
          <w:rStyle w:val="FootnoteReference"/>
        </w:rPr>
        <w:footnoteReference w:id="2"/>
      </w:r>
      <w:r w:rsidRPr="00173EC5">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29B6D6D2" w14:textId="1713298F" w:rsidR="002C0DD7" w:rsidRPr="00173EC5" w:rsidRDefault="002C0DD7" w:rsidP="002C0DD7">
      <w:pPr>
        <w:pStyle w:val="NormalHanging12a"/>
      </w:pPr>
      <w:r w:rsidRPr="00173EC5">
        <w:t>–</w:t>
      </w:r>
      <w:r w:rsidRPr="00173EC5">
        <w:tab/>
        <w:t>gezien de aanbeveling van de Raad van 22 februari 2024 betreffende de aan de Autoriteit te verlenen kwijting voor de uitvoering van de begroting voor het begrotingsjaar 2022 (</w:t>
      </w:r>
      <w:r w:rsidR="00B87BA1" w:rsidRPr="00173EC5">
        <w:t>06180</w:t>
      </w:r>
      <w:r w:rsidRPr="00173EC5">
        <w:t>/2024 – C9</w:t>
      </w:r>
      <w:r w:rsidRPr="00173EC5">
        <w:noBreakHyphen/>
      </w:r>
      <w:r w:rsidR="00B87BA1" w:rsidRPr="00173EC5">
        <w:t>0089</w:t>
      </w:r>
      <w:r w:rsidRPr="00173EC5">
        <w:t>/2024),</w:t>
      </w:r>
    </w:p>
    <w:p w14:paraId="665C0FE7" w14:textId="77777777" w:rsidR="002C0DD7" w:rsidRPr="00173EC5" w:rsidRDefault="002C0DD7" w:rsidP="002C0DD7">
      <w:pPr>
        <w:pStyle w:val="NormalHanging12a"/>
      </w:pPr>
      <w:r w:rsidRPr="00173EC5">
        <w:t>–</w:t>
      </w:r>
      <w:r w:rsidRPr="00173EC5">
        <w:tab/>
        <w:t>gezien artikel 319 van het Verdrag betreffende de werking van de Europese Unie,</w:t>
      </w:r>
    </w:p>
    <w:p w14:paraId="74DAF40C" w14:textId="77777777" w:rsidR="002C0DD7" w:rsidRPr="00173EC5" w:rsidRDefault="002C0DD7" w:rsidP="002C0DD7">
      <w:pPr>
        <w:pStyle w:val="NormalHanging12a"/>
      </w:pPr>
      <w:r w:rsidRPr="00173EC5">
        <w:t>–</w:t>
      </w:r>
      <w:r w:rsidRPr="00173EC5">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173EC5">
        <w:rPr>
          <w:rStyle w:val="FootnoteReference"/>
        </w:rPr>
        <w:footnoteReference w:id="3"/>
      </w:r>
      <w:r w:rsidRPr="00173EC5">
        <w:t>, en met name artikel 70,</w:t>
      </w:r>
    </w:p>
    <w:p w14:paraId="0ED1561E" w14:textId="77777777" w:rsidR="002C0DD7" w:rsidRPr="00173EC5" w:rsidRDefault="002C0DD7" w:rsidP="002C0DD7">
      <w:pPr>
        <w:pStyle w:val="NormalHanging12a"/>
      </w:pPr>
      <w:r w:rsidRPr="00173EC5">
        <w:t>–</w:t>
      </w:r>
      <w:r w:rsidRPr="00173EC5">
        <w:tab/>
        <w:t xml:space="preserve">gezien Verordening (EG) nr. 178/2002 van het Europees Parlement en de Raad van 28 januari 2002 tot vaststelling van de algemene beginselen en voorschriften van de </w:t>
      </w:r>
      <w:r w:rsidRPr="00173EC5">
        <w:lastRenderedPageBreak/>
        <w:t>levensmiddelenwetgeving, tot oprichting van een Europese Autoriteit voor voedselveiligheid en tot vaststelling van procedures voor voedselveiligheidsaangelegenheden</w:t>
      </w:r>
      <w:r w:rsidRPr="00173EC5">
        <w:rPr>
          <w:rStyle w:val="FootnoteReference"/>
        </w:rPr>
        <w:footnoteReference w:id="4"/>
      </w:r>
      <w:r w:rsidRPr="00173EC5">
        <w:t>, en met name artikel 44,</w:t>
      </w:r>
    </w:p>
    <w:p w14:paraId="0FE163CA" w14:textId="77777777" w:rsidR="002C0DD7" w:rsidRPr="00173EC5" w:rsidRDefault="002C0DD7" w:rsidP="002C0DD7">
      <w:pPr>
        <w:pStyle w:val="NormalHanging12a"/>
      </w:pPr>
      <w:r w:rsidRPr="00173EC5">
        <w:t>–</w:t>
      </w:r>
      <w:r w:rsidRPr="00173EC5">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173EC5">
        <w:rPr>
          <w:rStyle w:val="FootnoteReference"/>
        </w:rPr>
        <w:footnoteReference w:id="5"/>
      </w:r>
      <w:r w:rsidRPr="00173EC5">
        <w:t>, en met name artikel 105,</w:t>
      </w:r>
    </w:p>
    <w:p w14:paraId="54BDFA46" w14:textId="77777777" w:rsidR="002C0DD7" w:rsidRPr="00173EC5" w:rsidRDefault="002C0DD7" w:rsidP="002C0DD7">
      <w:pPr>
        <w:pStyle w:val="NormalHanging12a"/>
      </w:pPr>
      <w:r w:rsidRPr="00173EC5">
        <w:t>–</w:t>
      </w:r>
      <w:r w:rsidRPr="00173EC5">
        <w:tab/>
        <w:t>gezien artikel 100 van en bijlage V bij zijn Reglement,</w:t>
      </w:r>
    </w:p>
    <w:p w14:paraId="17372A9F" w14:textId="77777777" w:rsidR="002C0DD7" w:rsidRPr="00173EC5" w:rsidRDefault="002C0DD7" w:rsidP="002C0DD7">
      <w:pPr>
        <w:pStyle w:val="NormalHanging12a"/>
      </w:pPr>
      <w:r w:rsidRPr="00173EC5">
        <w:t>–</w:t>
      </w:r>
      <w:r w:rsidRPr="00173EC5">
        <w:tab/>
        <w:t>gezien het advies van de Commissie milieubeheer, volksgezondheid en voedselveiligheid,</w:t>
      </w:r>
    </w:p>
    <w:p w14:paraId="3A6ACB69" w14:textId="77777777" w:rsidR="002C0DD7" w:rsidRPr="00173EC5" w:rsidRDefault="002C0DD7" w:rsidP="002C0DD7">
      <w:pPr>
        <w:pStyle w:val="NormalHanging12a"/>
      </w:pPr>
      <w:r w:rsidRPr="00173EC5">
        <w:t>–</w:t>
      </w:r>
      <w:r w:rsidRPr="00173EC5">
        <w:tab/>
        <w:t>gezien het verslag van de Commissie begrotingscontrole (A9-0129/2024),</w:t>
      </w:r>
    </w:p>
    <w:p w14:paraId="2E0A5715" w14:textId="77777777" w:rsidR="002C0DD7" w:rsidRPr="00173EC5" w:rsidRDefault="002C0DD7" w:rsidP="002C0DD7">
      <w:pPr>
        <w:pStyle w:val="NormalHanging12a"/>
      </w:pPr>
      <w:r w:rsidRPr="00173EC5">
        <w:t>1.</w:t>
      </w:r>
      <w:r w:rsidRPr="00173EC5">
        <w:tab/>
        <w:t>verleent de uitvoerend directeur van de Europese Autoriteit voor voedselveiligheid kwijting voor de uitvoering van de begroting van de Autoriteit voor het begrotingsjaar 2022;</w:t>
      </w:r>
    </w:p>
    <w:p w14:paraId="5DBB9599" w14:textId="77777777" w:rsidR="002C0DD7" w:rsidRPr="00173EC5" w:rsidRDefault="002C0DD7" w:rsidP="002C0DD7">
      <w:pPr>
        <w:pStyle w:val="NormalHanging12a"/>
      </w:pPr>
      <w:r w:rsidRPr="00173EC5">
        <w:t>2.</w:t>
      </w:r>
      <w:r w:rsidRPr="00173EC5">
        <w:tab/>
        <w:t>formuleert zijn opmerkingen in onderstaande resolutie;</w:t>
      </w:r>
    </w:p>
    <w:p w14:paraId="0066E7AD" w14:textId="77777777" w:rsidR="002C0DD7" w:rsidRPr="00173EC5" w:rsidRDefault="002C0DD7" w:rsidP="002C0DD7">
      <w:pPr>
        <w:pStyle w:val="NormalHanging12a"/>
      </w:pPr>
      <w:r w:rsidRPr="00173EC5">
        <w:t>3.</w:t>
      </w:r>
      <w:r w:rsidRPr="00173EC5">
        <w:tab/>
        <w:t xml:space="preserve">verzoekt zijn Voorzitter dit besluit en de resolutie die daarvan een integrerend deel uitmaakt, te doen toekomen aan de uitvoerend directeur van de Europese Autoriteit voor voedselveiligheid, de Raad, de Commissie en de Rekenkamer, en te zorgen voor publicatie ervan in het </w:t>
      </w:r>
      <w:r w:rsidRPr="00173EC5">
        <w:rPr>
          <w:i/>
        </w:rPr>
        <w:t>Publicatieblad van de Europese Unie</w:t>
      </w:r>
      <w:r w:rsidRPr="00173EC5">
        <w:t xml:space="preserve"> (L-serie).</w:t>
      </w:r>
    </w:p>
    <w:p w14:paraId="06D28A34" w14:textId="77777777" w:rsidR="002C0DD7" w:rsidRPr="00173EC5" w:rsidRDefault="002C0DD7" w:rsidP="002C0DD7"/>
    <w:p w14:paraId="560CA2C4" w14:textId="77777777" w:rsidR="002C0DD7" w:rsidRPr="00173EC5" w:rsidRDefault="002C0DD7" w:rsidP="002C0DD7">
      <w:pPr>
        <w:widowControl/>
        <w:rPr>
          <w:rFonts w:ascii="Arial" w:hAnsi="Arial" w:cs="Arial"/>
          <w:b/>
        </w:rPr>
        <w:sectPr w:rsidR="002C0DD7" w:rsidRPr="00173EC5" w:rsidSect="00C266C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3DCD120F" w14:textId="77777777" w:rsidR="002C0DD7" w:rsidRPr="00173EC5" w:rsidRDefault="002C0DD7" w:rsidP="0000230B">
      <w:pPr>
        <w:pStyle w:val="ATHeading3"/>
      </w:pPr>
      <w:bookmarkStart w:id="8" w:name="_Toc146807918"/>
      <w:bookmarkStart w:id="9" w:name="_Toc161677743"/>
      <w:bookmarkStart w:id="10" w:name="_Toc162001553"/>
      <w:r w:rsidRPr="00173EC5">
        <w:lastRenderedPageBreak/>
        <w:t xml:space="preserve">2. </w:t>
      </w:r>
      <w:bookmarkEnd w:id="8"/>
      <w:bookmarkEnd w:id="9"/>
      <w:bookmarkEnd w:id="10"/>
      <w:r w:rsidR="0000230B" w:rsidRPr="00173EC5">
        <w:t xml:space="preserve">Besluit van het Europees Parlement van 11 april 2024 </w:t>
      </w:r>
      <w:r w:rsidRPr="00173EC5">
        <w:t>over de afsluiting van de rekeningen van de Europese Autoriteit voor voedselveiligheid voor het begrotingsjaar 2022</w:t>
      </w:r>
      <w:r w:rsidR="0000230B" w:rsidRPr="00173EC5">
        <w:t xml:space="preserve"> </w:t>
      </w:r>
      <w:r w:rsidRPr="00173EC5">
        <w:t>(2023/2151(DEC))</w:t>
      </w:r>
    </w:p>
    <w:p w14:paraId="7F3AA455" w14:textId="77777777" w:rsidR="002C0DD7" w:rsidRPr="00173EC5" w:rsidRDefault="002C0DD7" w:rsidP="002C0DD7">
      <w:pPr>
        <w:pStyle w:val="EPComma"/>
      </w:pPr>
      <w:r w:rsidRPr="00173EC5">
        <w:rPr>
          <w:i/>
        </w:rPr>
        <w:t>Het Europees Parlement</w:t>
      </w:r>
      <w:r w:rsidRPr="00173EC5">
        <w:t>,</w:t>
      </w:r>
    </w:p>
    <w:p w14:paraId="07BF5DBF" w14:textId="77777777" w:rsidR="002C0DD7" w:rsidRPr="00173EC5" w:rsidRDefault="002C0DD7" w:rsidP="002C0DD7">
      <w:pPr>
        <w:pStyle w:val="NormalHanging12a"/>
      </w:pPr>
      <w:r w:rsidRPr="00173EC5">
        <w:t>–</w:t>
      </w:r>
      <w:r w:rsidRPr="00173EC5">
        <w:tab/>
        <w:t>gezien de definitieve jaarrekening van de Europese Autoriteit voor voedselveiligheid voor het begrotingsjaar 2022,</w:t>
      </w:r>
    </w:p>
    <w:p w14:paraId="537C2E72" w14:textId="77777777" w:rsidR="002C0DD7" w:rsidRPr="00173EC5" w:rsidRDefault="002C0DD7" w:rsidP="002C0DD7">
      <w:pPr>
        <w:pStyle w:val="NormalHanging12a"/>
      </w:pPr>
      <w:r w:rsidRPr="00173EC5">
        <w:t>–</w:t>
      </w:r>
      <w:r w:rsidRPr="00173EC5">
        <w:tab/>
        <w:t>gezien het jaarverslag van de Rekenkamer over de EU-agentschappen betreffende het begrotingsjaar 2022, vergezeld van de antwoorden van de agentschappen</w:t>
      </w:r>
      <w:r w:rsidRPr="00173EC5">
        <w:rPr>
          <w:rStyle w:val="FootnoteReference"/>
        </w:rPr>
        <w:footnoteReference w:id="6"/>
      </w:r>
      <w:r w:rsidRPr="00173EC5">
        <w:t>,</w:t>
      </w:r>
    </w:p>
    <w:p w14:paraId="5E0E9EE2" w14:textId="77777777" w:rsidR="002C0DD7" w:rsidRPr="00173EC5" w:rsidRDefault="002C0DD7" w:rsidP="002C0DD7">
      <w:pPr>
        <w:pStyle w:val="NormalHanging12a"/>
      </w:pPr>
      <w:r w:rsidRPr="00173EC5">
        <w:t>–</w:t>
      </w:r>
      <w:r w:rsidRPr="00173EC5">
        <w:tab/>
        <w:t>gezien de verklaring van de Rekenkamer</w:t>
      </w:r>
      <w:r w:rsidRPr="00173EC5">
        <w:rPr>
          <w:rStyle w:val="FootnoteReference"/>
        </w:rPr>
        <w:footnoteReference w:id="7"/>
      </w:r>
      <w:r w:rsidRPr="00173EC5">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71F22B46" w14:textId="65A76801" w:rsidR="002C0DD7" w:rsidRPr="00173EC5" w:rsidRDefault="002C0DD7" w:rsidP="002C0DD7">
      <w:pPr>
        <w:pStyle w:val="NormalHanging12a"/>
      </w:pPr>
      <w:r w:rsidRPr="00173EC5">
        <w:t>–</w:t>
      </w:r>
      <w:r w:rsidRPr="00173EC5">
        <w:tab/>
        <w:t>gezien de aanbeveling van de Raad van 22 februari 2024 betreffende de aan de Autoriteit te verlenen kwijting voor de uitvoering van de begroting voor het begrotingsjaar 2022 (</w:t>
      </w:r>
      <w:r w:rsidR="00B87BA1" w:rsidRPr="00173EC5">
        <w:t>06180</w:t>
      </w:r>
      <w:r w:rsidRPr="00173EC5">
        <w:t>/2024 – C9</w:t>
      </w:r>
      <w:r w:rsidRPr="00173EC5">
        <w:noBreakHyphen/>
      </w:r>
      <w:r w:rsidR="00B87BA1" w:rsidRPr="00173EC5">
        <w:t>0089</w:t>
      </w:r>
      <w:r w:rsidRPr="00173EC5">
        <w:t>/2024),</w:t>
      </w:r>
    </w:p>
    <w:p w14:paraId="72732133" w14:textId="77777777" w:rsidR="002C0DD7" w:rsidRPr="00173EC5" w:rsidRDefault="002C0DD7" w:rsidP="002C0DD7">
      <w:pPr>
        <w:pStyle w:val="NormalHanging12a"/>
      </w:pPr>
      <w:r w:rsidRPr="00173EC5">
        <w:t>–</w:t>
      </w:r>
      <w:r w:rsidRPr="00173EC5">
        <w:tab/>
        <w:t>gezien artikel 319 van het Verdrag betreffende de werking van de Europese Unie,</w:t>
      </w:r>
    </w:p>
    <w:p w14:paraId="45CD9CA2" w14:textId="77777777" w:rsidR="002C0DD7" w:rsidRPr="00173EC5" w:rsidRDefault="002C0DD7" w:rsidP="002C0DD7">
      <w:pPr>
        <w:pStyle w:val="NormalHanging12a"/>
      </w:pPr>
      <w:r w:rsidRPr="00173EC5">
        <w:t>–</w:t>
      </w:r>
      <w:r w:rsidRPr="00173EC5">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173EC5">
        <w:rPr>
          <w:rStyle w:val="FootnoteReference"/>
        </w:rPr>
        <w:footnoteReference w:id="8"/>
      </w:r>
      <w:r w:rsidRPr="00173EC5">
        <w:t>, en met name artikel 70,</w:t>
      </w:r>
    </w:p>
    <w:p w14:paraId="7BFEDD79" w14:textId="77777777" w:rsidR="002C0DD7" w:rsidRPr="00173EC5" w:rsidRDefault="002C0DD7" w:rsidP="002C0DD7">
      <w:pPr>
        <w:pStyle w:val="NormalHanging12a"/>
      </w:pPr>
      <w:r w:rsidRPr="00173EC5">
        <w:t>–</w:t>
      </w:r>
      <w:r w:rsidRPr="00173EC5">
        <w:tab/>
        <w:t>gezien 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w:t>
      </w:r>
      <w:r w:rsidRPr="00173EC5">
        <w:rPr>
          <w:rStyle w:val="FootnoteReference"/>
        </w:rPr>
        <w:footnoteReference w:id="9"/>
      </w:r>
      <w:r w:rsidRPr="00173EC5">
        <w:t>, en met name artikel 44,</w:t>
      </w:r>
    </w:p>
    <w:p w14:paraId="7B835700" w14:textId="77777777" w:rsidR="002C0DD7" w:rsidRPr="00173EC5" w:rsidRDefault="002C0DD7" w:rsidP="002C0DD7">
      <w:pPr>
        <w:pStyle w:val="NormalHanging12a"/>
      </w:pPr>
      <w:r w:rsidRPr="00173EC5">
        <w:t>–</w:t>
      </w:r>
      <w:r w:rsidRPr="00173EC5">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173EC5">
        <w:rPr>
          <w:rStyle w:val="FootnoteReference"/>
        </w:rPr>
        <w:footnoteReference w:id="10"/>
      </w:r>
      <w:r w:rsidRPr="00173EC5">
        <w:t>, en met name artikel 105,</w:t>
      </w:r>
    </w:p>
    <w:p w14:paraId="78AD9880" w14:textId="77777777" w:rsidR="002C0DD7" w:rsidRPr="00173EC5" w:rsidRDefault="002C0DD7" w:rsidP="002C0DD7">
      <w:pPr>
        <w:pStyle w:val="NormalHanging12a"/>
      </w:pPr>
      <w:r w:rsidRPr="00173EC5">
        <w:t>–</w:t>
      </w:r>
      <w:r w:rsidRPr="00173EC5">
        <w:tab/>
        <w:t>gezien artikel 100 van en bijlage V bij zijn Reglement,</w:t>
      </w:r>
    </w:p>
    <w:p w14:paraId="36C0704B" w14:textId="77777777" w:rsidR="002C0DD7" w:rsidRPr="00173EC5" w:rsidRDefault="002C0DD7" w:rsidP="002C0DD7">
      <w:pPr>
        <w:pStyle w:val="NormalHanging12a"/>
      </w:pPr>
      <w:r w:rsidRPr="00173EC5">
        <w:t>–</w:t>
      </w:r>
      <w:r w:rsidRPr="00173EC5">
        <w:tab/>
        <w:t>gezien het advies van de Commissie milieubeheer, volksgezondheid en voedselveiligheid,</w:t>
      </w:r>
    </w:p>
    <w:p w14:paraId="0FA0C896" w14:textId="77777777" w:rsidR="002C0DD7" w:rsidRPr="00173EC5" w:rsidRDefault="002C0DD7" w:rsidP="002C0DD7">
      <w:pPr>
        <w:pStyle w:val="NormalHanging12a"/>
      </w:pPr>
      <w:r w:rsidRPr="00173EC5">
        <w:lastRenderedPageBreak/>
        <w:t>–</w:t>
      </w:r>
      <w:r w:rsidRPr="00173EC5">
        <w:tab/>
        <w:t>gezien het verslag van de Commissie begrotingscontrole (A9-0129/2024),</w:t>
      </w:r>
    </w:p>
    <w:p w14:paraId="263BE614" w14:textId="77777777" w:rsidR="002C0DD7" w:rsidRPr="00173EC5" w:rsidRDefault="002C0DD7" w:rsidP="002C0DD7">
      <w:pPr>
        <w:pStyle w:val="NormalHanging12a"/>
      </w:pPr>
      <w:r w:rsidRPr="00173EC5">
        <w:t>1.</w:t>
      </w:r>
      <w:r w:rsidRPr="00173EC5">
        <w:tab/>
        <w:t>hecht zijn goedkeuring aan de afsluiting van de rekeningen van de Europese Autoriteit voor voedselveiligheid voor het begrotingsjaar 2022;</w:t>
      </w:r>
    </w:p>
    <w:p w14:paraId="62F660F5" w14:textId="77777777" w:rsidR="002C0DD7" w:rsidRPr="00173EC5" w:rsidRDefault="002C0DD7" w:rsidP="002C0DD7">
      <w:pPr>
        <w:pStyle w:val="NormalHanging12a"/>
      </w:pPr>
      <w:r w:rsidRPr="00173EC5">
        <w:t>2.</w:t>
      </w:r>
      <w:r w:rsidRPr="00173EC5">
        <w:tab/>
        <w:t xml:space="preserve">verzoekt zijn Voorzitter dit besluit te doen toekomen aan de uitvoerend directeur van de Europese Autoriteit voor voedselveiligheid, de Raad, de Commissie en de Rekenkamer, en te zorgen voor publicatie ervan in het </w:t>
      </w:r>
      <w:r w:rsidRPr="00173EC5">
        <w:rPr>
          <w:i/>
        </w:rPr>
        <w:t>Publicatieblad van de Europese Unie</w:t>
      </w:r>
      <w:r w:rsidRPr="00173EC5">
        <w:t xml:space="preserve"> (L-serie).</w:t>
      </w:r>
    </w:p>
    <w:p w14:paraId="20F29316" w14:textId="77777777" w:rsidR="002C0DD7" w:rsidRPr="00173EC5" w:rsidRDefault="002C0DD7" w:rsidP="002C0DD7"/>
    <w:p w14:paraId="1501850B" w14:textId="77777777" w:rsidR="002C0DD7" w:rsidRPr="00173EC5" w:rsidRDefault="002C0DD7" w:rsidP="002C0DD7">
      <w:pPr>
        <w:widowControl/>
        <w:rPr>
          <w:rFonts w:ascii="Arial" w:hAnsi="Arial" w:cs="Arial"/>
          <w:b/>
        </w:rPr>
        <w:sectPr w:rsidR="002C0DD7" w:rsidRPr="00173EC5" w:rsidSect="00C266C8">
          <w:footnotePr>
            <w:numRestart w:val="eachPage"/>
          </w:footnotePr>
          <w:endnotePr>
            <w:numFmt w:val="decimal"/>
          </w:endnotePr>
          <w:pgSz w:w="11906" w:h="16838"/>
          <w:pgMar w:top="1134" w:right="1418" w:bottom="1418" w:left="1418" w:header="567" w:footer="567" w:gutter="0"/>
          <w:cols w:space="720"/>
          <w:docGrid w:linePitch="326"/>
        </w:sectPr>
      </w:pPr>
    </w:p>
    <w:p w14:paraId="7659A67F" w14:textId="77777777" w:rsidR="002C0DD7" w:rsidRPr="00173EC5" w:rsidRDefault="002C0DD7" w:rsidP="0000230B">
      <w:pPr>
        <w:pStyle w:val="ATHeading3"/>
      </w:pPr>
      <w:bookmarkStart w:id="11" w:name="_Toc146807919"/>
      <w:bookmarkStart w:id="12" w:name="_Toc161677744"/>
      <w:bookmarkStart w:id="13" w:name="_Toc162001554"/>
      <w:r w:rsidRPr="00173EC5">
        <w:lastRenderedPageBreak/>
        <w:t xml:space="preserve">3. </w:t>
      </w:r>
      <w:bookmarkEnd w:id="11"/>
      <w:bookmarkEnd w:id="12"/>
      <w:bookmarkEnd w:id="13"/>
      <w:r w:rsidR="0000230B" w:rsidRPr="00173EC5">
        <w:t xml:space="preserve">Resolutie van het Europees Parlement van 11 april 2024 </w:t>
      </w:r>
      <w:r w:rsidRPr="00173EC5">
        <w:t>met de opmerkingen die een integrerend deel uitmaken van het besluit over het verlenen van kwijting voor de uitvoering van de begroting van de Europese Autoriteit voor voedselveiligheid voor het begrotingsjaar 2022</w:t>
      </w:r>
      <w:r w:rsidR="0000230B" w:rsidRPr="00173EC5">
        <w:t xml:space="preserve"> </w:t>
      </w:r>
      <w:r w:rsidRPr="00173EC5">
        <w:t>(2023/2151(DEC))</w:t>
      </w:r>
    </w:p>
    <w:p w14:paraId="68555C7B" w14:textId="77777777" w:rsidR="002C0DD7" w:rsidRPr="00173EC5" w:rsidRDefault="002C0DD7" w:rsidP="002C0DD7">
      <w:pPr>
        <w:pStyle w:val="EPComma"/>
      </w:pPr>
      <w:r w:rsidRPr="00173EC5">
        <w:rPr>
          <w:i/>
        </w:rPr>
        <w:t>Het Europees Parlement</w:t>
      </w:r>
      <w:r w:rsidRPr="00173EC5">
        <w:t>,</w:t>
      </w:r>
    </w:p>
    <w:p w14:paraId="2DC9CEC0" w14:textId="77777777" w:rsidR="002C0DD7" w:rsidRPr="00173EC5" w:rsidRDefault="002C0DD7" w:rsidP="002C0DD7">
      <w:pPr>
        <w:pStyle w:val="NormalHanging12a"/>
      </w:pPr>
      <w:r w:rsidRPr="00173EC5">
        <w:t>–</w:t>
      </w:r>
      <w:r w:rsidRPr="00173EC5">
        <w:tab/>
        <w:t>gezien zijn besluit over het verlenen van kwijting voor de uitvoering van de begroting van de Europese Autoriteit voor voedselveiligheid voor het begrotingsjaar 2022,</w:t>
      </w:r>
    </w:p>
    <w:p w14:paraId="320D5D17" w14:textId="77777777" w:rsidR="002C0DD7" w:rsidRPr="00173EC5" w:rsidRDefault="002C0DD7" w:rsidP="002C0DD7">
      <w:pPr>
        <w:pStyle w:val="NormalHanging12a"/>
      </w:pPr>
      <w:r w:rsidRPr="00173EC5">
        <w:t>–</w:t>
      </w:r>
      <w:r w:rsidRPr="00173EC5">
        <w:tab/>
        <w:t>gezien artikel 100 van en bijlage V bij zijn Reglement,</w:t>
      </w:r>
    </w:p>
    <w:p w14:paraId="45B8FDD1" w14:textId="77777777" w:rsidR="002C0DD7" w:rsidRPr="00173EC5" w:rsidRDefault="002C0DD7" w:rsidP="002C0DD7">
      <w:pPr>
        <w:pStyle w:val="NormalHanging12a"/>
      </w:pPr>
      <w:r w:rsidRPr="00173EC5">
        <w:t>–</w:t>
      </w:r>
      <w:r w:rsidRPr="00173EC5">
        <w:tab/>
        <w:t>gezien het advies van de Commissie milieubeheer, volksgezondheid en voedselveiligheid,</w:t>
      </w:r>
    </w:p>
    <w:p w14:paraId="64EE192F" w14:textId="77777777" w:rsidR="002C0DD7" w:rsidRPr="00173EC5" w:rsidRDefault="002C0DD7" w:rsidP="002C0DD7">
      <w:pPr>
        <w:pStyle w:val="NormalHanging12a"/>
      </w:pPr>
      <w:r w:rsidRPr="00173EC5">
        <w:t>–</w:t>
      </w:r>
      <w:r w:rsidRPr="00173EC5">
        <w:tab/>
        <w:t>gezien het verslag van de Commissie begrotingscontrole (A9-0129/2024),</w:t>
      </w:r>
    </w:p>
    <w:p w14:paraId="1D490D3F" w14:textId="77777777" w:rsidR="002C0DD7" w:rsidRPr="00173EC5" w:rsidRDefault="002C0DD7" w:rsidP="002C0DD7">
      <w:pPr>
        <w:autoSpaceDE w:val="0"/>
        <w:autoSpaceDN w:val="0"/>
        <w:adjustRightInd w:val="0"/>
        <w:spacing w:after="240"/>
        <w:ind w:left="567" w:hanging="567"/>
        <w:rPr>
          <w:rFonts w:eastAsia="Calibri"/>
          <w:szCs w:val="24"/>
        </w:rPr>
      </w:pPr>
      <w:r w:rsidRPr="00173EC5">
        <w:t>A.</w:t>
      </w:r>
      <w:r w:rsidRPr="00173EC5">
        <w:tab/>
        <w:t>overwegende dat de definitieve begroting van de Europese Autoriteit voor voedselveiligheid (“de Autoriteit”) voor het begrotingsjaar 2022 volgens haar staat van ontvangsten en uitgaven</w:t>
      </w:r>
      <w:r w:rsidRPr="00173EC5">
        <w:rPr>
          <w:rFonts w:eastAsia="Calibri"/>
          <w:szCs w:val="24"/>
          <w:vertAlign w:val="superscript"/>
        </w:rPr>
        <w:footnoteReference w:id="11"/>
      </w:r>
      <w:r w:rsidRPr="00173EC5">
        <w:t xml:space="preserve"> 149 841 816,93 EUR bedroeg, een toename van 15,99 % ten opzichte van 2021; overwegende dat de begroting van de Autoriteit voornamelijk wordt gefinancierd uit de begroting van de Unie;</w:t>
      </w:r>
    </w:p>
    <w:p w14:paraId="168DF651" w14:textId="77777777" w:rsidR="002C0DD7" w:rsidRPr="00173EC5" w:rsidRDefault="002C0DD7" w:rsidP="002C0DD7">
      <w:pPr>
        <w:spacing w:after="240"/>
        <w:ind w:left="567" w:hanging="567"/>
        <w:rPr>
          <w:szCs w:val="24"/>
        </w:rPr>
      </w:pPr>
      <w:r w:rsidRPr="00173EC5">
        <w:t>B.</w:t>
      </w:r>
      <w:r w:rsidRPr="00173EC5">
        <w:tab/>
        <w:t>overwegende dat de Rekenkamer in haar verslag over de jaarrekening van de Autoriteit voor het begrotingsjaar 2022 (“het verslag van de Rekenkamer”) verklaart redelijke zekerheid te hebben gekregen dat de jaarrekening van de Autoriteit betrouwbaar is en de onderliggende verrichtingen wettig en regelmatig zijn;</w:t>
      </w:r>
    </w:p>
    <w:p w14:paraId="5F2F3F64" w14:textId="77777777" w:rsidR="002C0DD7" w:rsidRPr="00173EC5" w:rsidRDefault="002C0DD7" w:rsidP="002C0DD7">
      <w:pPr>
        <w:widowControl/>
        <w:spacing w:after="240"/>
        <w:ind w:left="567" w:hanging="567"/>
        <w:rPr>
          <w:szCs w:val="24"/>
        </w:rPr>
      </w:pPr>
      <w:r w:rsidRPr="00173EC5">
        <w:t>C.</w:t>
      </w:r>
      <w:r w:rsidRPr="00173EC5">
        <w:tab/>
        <w:t>overwegende dat er met betrekking tot de sector overheidsopdrachten van de Autoriteit voor 2022 geen kwesties zijn gemeld die corrigerende maatregelen vereisen, en dat er ook geen lopende of nog af te handelen corrigerende maatregelen zijn uit audits en beoordelingen van voorgaande jaren;</w:t>
      </w:r>
    </w:p>
    <w:p w14:paraId="329FC17C" w14:textId="77777777" w:rsidR="002C0DD7" w:rsidRPr="00173EC5" w:rsidRDefault="002C0DD7" w:rsidP="002C0DD7">
      <w:pPr>
        <w:widowControl/>
        <w:spacing w:after="240"/>
        <w:ind w:left="567" w:hanging="567"/>
        <w:rPr>
          <w:szCs w:val="24"/>
        </w:rPr>
      </w:pPr>
      <w:r w:rsidRPr="00173EC5">
        <w:t>D.</w:t>
      </w:r>
      <w:r w:rsidRPr="00173EC5">
        <w:tab/>
        <w:t xml:space="preserve">overwegende dat er met betrekking tot de </w:t>
      </w:r>
      <w:proofErr w:type="spellStart"/>
      <w:r w:rsidRPr="00173EC5">
        <w:t>internecontrolesystemen</w:t>
      </w:r>
      <w:proofErr w:type="spellEnd"/>
      <w:r w:rsidRPr="00173EC5">
        <w:t xml:space="preserve"> van de Autoriteit voor 2022 geen kwesties zijn gemeld die corrigerende maatregelen vereisen, en dat er ook geen lopende of nog niet afgeronde corrigerende maatregelen zijn uit audits en beoordelingen van voorgaande jaren;</w:t>
      </w:r>
    </w:p>
    <w:p w14:paraId="35CE89F0" w14:textId="77777777" w:rsidR="002C0DD7" w:rsidRPr="00173EC5" w:rsidRDefault="002C0DD7" w:rsidP="002C0DD7">
      <w:pPr>
        <w:spacing w:after="240"/>
        <w:ind w:left="567" w:hanging="567"/>
        <w:rPr>
          <w:b/>
          <w:i/>
          <w:szCs w:val="24"/>
        </w:rPr>
      </w:pPr>
      <w:r w:rsidRPr="00173EC5">
        <w:rPr>
          <w:b/>
          <w:i/>
        </w:rPr>
        <w:t>Financieel en begrotingsbeheer</w:t>
      </w:r>
    </w:p>
    <w:p w14:paraId="4F8E9880" w14:textId="77777777" w:rsidR="002C0DD7" w:rsidRPr="00173EC5" w:rsidRDefault="002C0DD7" w:rsidP="002C0DD7">
      <w:pPr>
        <w:spacing w:after="240"/>
        <w:ind w:left="567" w:hanging="567"/>
        <w:rPr>
          <w:szCs w:val="24"/>
        </w:rPr>
      </w:pPr>
      <w:r w:rsidRPr="00173EC5">
        <w:t>1.</w:t>
      </w:r>
      <w:r w:rsidRPr="00173EC5">
        <w:tab/>
        <w:t>merkt met voldoening op dat de inspanningen op het gebied van begrotingstoezicht gedurende het begrotingsjaar 2022 hebben geresulteerd in een begrotingsuitvoeringspercentage voor de vastleggingskredieten van het lopende jaar van 99,95 %, wat neerkomt op een lichte daling van 0,04 % ten opzichte van 2021; stelt voorts vast dat het uitvoeringspercentage voor de betalingskredieten 89,77 % bedroeg, een stijging met 0,92 % ten opzichte van 2021;</w:t>
      </w:r>
    </w:p>
    <w:p w14:paraId="2C7D37F3" w14:textId="77777777" w:rsidR="002C0DD7" w:rsidRPr="00173EC5" w:rsidRDefault="002C0DD7" w:rsidP="002C0DD7">
      <w:pPr>
        <w:pStyle w:val="NormalHanging12a"/>
      </w:pPr>
      <w:r w:rsidRPr="00173EC5">
        <w:t>2.</w:t>
      </w:r>
      <w:r w:rsidRPr="00173EC5">
        <w:tab/>
        <w:t xml:space="preserve">merkt op dat als regelgevende instanties voor gewasbeschermingsmiddelen niet over voldoende middelen en posten beschikken, dit leidt tot vertragingen bij de goedkeuring </w:t>
      </w:r>
      <w:r w:rsidRPr="00173EC5">
        <w:lastRenderedPageBreak/>
        <w:t>van werkzame stoffen met een laag risico en het actualiseren van beoordelingsmethoden op basis van wetenschappelijke ontwikkelingen, wat op lange termijn de milieueffecten van gewasbeschermingsmiddelen zou verminderen; roept de Commissie op om passende maatregelen te nemen zodat de Autoriteit over voldoende middelen en posten beschikt om de lidstaten te ondersteunen bij het in acht nemen van de termijnen als bedoeld in Verordening (EG) nr. 1107/2009, om het aantal beoordelingen van werkzame stoffen voor gewasbeschermingsmiddelen per jaar te verdubbelen, en om de snelheid waarmee methodologieën worden ontwikkeld te verdrievoudigen en zo risicobeoordelingen tijdig af te stemmen op de laatste wetenschappelijke ontwikkelingen en de verwachtingen in de samenleving;</w:t>
      </w:r>
    </w:p>
    <w:p w14:paraId="5AD829C3" w14:textId="77777777" w:rsidR="002C0DD7" w:rsidRPr="00173EC5" w:rsidRDefault="002C0DD7" w:rsidP="002C0DD7">
      <w:pPr>
        <w:spacing w:after="240"/>
        <w:ind w:left="567" w:hanging="567"/>
        <w:rPr>
          <w:b/>
          <w:i/>
          <w:szCs w:val="24"/>
        </w:rPr>
      </w:pPr>
      <w:r w:rsidRPr="00173EC5">
        <w:rPr>
          <w:b/>
          <w:i/>
        </w:rPr>
        <w:t>Prestaties</w:t>
      </w:r>
    </w:p>
    <w:p w14:paraId="31C6F86E" w14:textId="77777777" w:rsidR="002C0DD7" w:rsidRPr="00173EC5" w:rsidRDefault="002C0DD7" w:rsidP="002C0DD7">
      <w:pPr>
        <w:pStyle w:val="NormalHanging12a"/>
      </w:pPr>
      <w:r w:rsidRPr="00173EC5">
        <w:t>3.</w:t>
      </w:r>
      <w:r w:rsidRPr="00173EC5">
        <w:tab/>
        <w:t>is ingenomen met de bijdrage die de Autoriteit levert aan de veiligheid van de voedsel- en voederketen in de Unie, alsook met haar aanzienlijke inspanningen om risicomanagers in de Unie te voorzien van uitgebreid, onafhankelijk en geactualiseerd wetenschappelijk advies over vragen die verband houden met de voedselketen, om het publiek duidelijk voor te lichten over haar output en de informatie waarop deze is gebaseerd, en om samen te werken met belanghebbende partijen en institutionele partners bij de bevordering van de samenhang en het vertrouwen in het voedselveiligheidssysteem;</w:t>
      </w:r>
    </w:p>
    <w:p w14:paraId="39355E97" w14:textId="77777777" w:rsidR="002C0DD7" w:rsidRPr="00173EC5" w:rsidRDefault="002C0DD7" w:rsidP="002C0DD7">
      <w:pPr>
        <w:pStyle w:val="NormalHanging12a"/>
        <w:rPr>
          <w:szCs w:val="24"/>
        </w:rPr>
      </w:pPr>
      <w:r w:rsidRPr="00173EC5">
        <w:t>4.</w:t>
      </w:r>
      <w:r w:rsidRPr="00173EC5">
        <w:tab/>
        <w:t>stelt met voldoening vast dat de Autoriteit een geïntegreerd prestatiekader heeft ingevoerd dat middelen en activiteiten koppelt aan output en verwachte resultaten, aangevuld met een reeks kernprestatie-indicatoren (</w:t>
      </w:r>
      <w:proofErr w:type="spellStart"/>
      <w:r w:rsidRPr="00173EC5">
        <w:t>KPI’s</w:t>
      </w:r>
      <w:proofErr w:type="spellEnd"/>
      <w:r w:rsidRPr="00173EC5">
        <w:t>) om de prestaties te volgen en te sturen; stelt verder vast dat de prestaties ten opzichte van de doelstellingen in het prestatiekader een totaalpercentage van 96 % hebben bereikt; merkt op dat de strategische doelstellingen 2 (zorgen voor paraatheid voor toekomstige behoeften op het gebied van risicoanalyse) en 3 (mensen mogelijkheden bieden en zorgen voor organisatorische flexibiliteit) over het algemeen goede prestaties lieten zien, terwijl strategische doelstelling 1 (betrouwbaar wetenschappelijk advies verlenen en informatie verstrekken over risico’s van boer tot bord), die sterk werd beïnvloed door de uitvoering van nieuwe regels en procedures in het kader van Verordening (EU) 2019/1381</w:t>
      </w:r>
      <w:r w:rsidRPr="00173EC5">
        <w:rPr>
          <w:rStyle w:val="FootnoteReference"/>
          <w:szCs w:val="24"/>
        </w:rPr>
        <w:footnoteReference w:id="12"/>
      </w:r>
      <w:r w:rsidRPr="00173EC5">
        <w:t>, afweek van de doelstelling;</w:t>
      </w:r>
    </w:p>
    <w:p w14:paraId="4F7A9D66" w14:textId="77777777" w:rsidR="002C0DD7" w:rsidRPr="00173EC5" w:rsidRDefault="002C0DD7" w:rsidP="002C0DD7">
      <w:pPr>
        <w:pStyle w:val="NormalHanging12a"/>
        <w:rPr>
          <w:szCs w:val="24"/>
        </w:rPr>
      </w:pPr>
      <w:r w:rsidRPr="00173EC5">
        <w:t>5.</w:t>
      </w:r>
      <w:r w:rsidRPr="00173EC5">
        <w:tab/>
        <w:t>benadrukt dat de Autoriteit 586 van de beoogde 701 wetenschappelijke vragen heeft afgerond met betrekking tot doelstelling 1: “betrouwbaar wetenschappelijk advies verlenen en informatie verstrekken over risico’s van boer tot bord”; merkt op dat het aantal afgesloten wetenschappelijke vragen weliswaar lager was dan verwacht, maar in grote lijnen overeenkwam met het aantal nieuwe vragen dat de Autoriteit gedurende het jaar ontving, waardoor het aantal openstaande vragen niet toenam;</w:t>
      </w:r>
    </w:p>
    <w:p w14:paraId="2DF52407" w14:textId="77777777" w:rsidR="002C0DD7" w:rsidRPr="00173EC5" w:rsidRDefault="002C0DD7" w:rsidP="002C0DD7">
      <w:pPr>
        <w:pStyle w:val="NormalHanging12a"/>
        <w:rPr>
          <w:szCs w:val="24"/>
        </w:rPr>
      </w:pPr>
      <w:r w:rsidRPr="00173EC5">
        <w:t>6.</w:t>
      </w:r>
      <w:r w:rsidRPr="00173EC5">
        <w:tab/>
        <w:t xml:space="preserve">is verheugd dat er op het gebied van de bekendmaking van de bevindingen zeer positieve resultaten werden opgetekend en dat daarbij door de tijdige publicatie in het </w:t>
      </w:r>
      <w:r w:rsidRPr="00173EC5">
        <w:lastRenderedPageBreak/>
        <w:t>magazine van de Autoriteit de positieve prestaties van de afgelopen twee jaar werden voortgezet;</w:t>
      </w:r>
    </w:p>
    <w:p w14:paraId="3073EF72" w14:textId="77777777" w:rsidR="002C0DD7" w:rsidRPr="00173EC5" w:rsidRDefault="002C0DD7" w:rsidP="002C0DD7">
      <w:pPr>
        <w:pStyle w:val="NormalHanging12a"/>
        <w:rPr>
          <w:szCs w:val="24"/>
        </w:rPr>
      </w:pPr>
      <w:r w:rsidRPr="00173EC5">
        <w:t>7.</w:t>
      </w:r>
      <w:r w:rsidRPr="00173EC5">
        <w:tab/>
        <w:t>neemt er kennis van dat 2022 het eerste jaar was van de uitvoering van “Strategie 2027”, waarmee “Strategie 2020” moet worden uitgebouwd, Verordening (EU) 2019/1381 ten uitvoer moet worden gelegd (op korte termijn) en de Autoriteit moet worden voorbereid op nieuw evoluerend EU-beleid (op langere termijn);</w:t>
      </w:r>
    </w:p>
    <w:p w14:paraId="6AB5A627" w14:textId="77777777" w:rsidR="002C0DD7" w:rsidRPr="00173EC5" w:rsidRDefault="002C0DD7" w:rsidP="002C0DD7">
      <w:pPr>
        <w:pStyle w:val="NormalHanging12a"/>
        <w:rPr>
          <w:szCs w:val="24"/>
        </w:rPr>
      </w:pPr>
      <w:r w:rsidRPr="00173EC5">
        <w:t>8.</w:t>
      </w:r>
      <w:r w:rsidRPr="00173EC5">
        <w:tab/>
        <w:t>is ingenomen met de organisatie door de Autoriteit van de “ONE – Health, Environment, Society – Conference” in juni 2022, waar werd gewezen op het verband tussen de gezondheid van mens, dier en milieu, en die heeft geresulteerd in het concept “één gezondheid, één milieu”;</w:t>
      </w:r>
    </w:p>
    <w:p w14:paraId="55B419C8" w14:textId="77777777" w:rsidR="002C0DD7" w:rsidRPr="00173EC5" w:rsidRDefault="002C0DD7" w:rsidP="002C0DD7">
      <w:pPr>
        <w:pStyle w:val="NormalHanging12a"/>
        <w:rPr>
          <w:szCs w:val="24"/>
        </w:rPr>
      </w:pPr>
      <w:r w:rsidRPr="00173EC5">
        <w:t>9.</w:t>
      </w:r>
      <w:r w:rsidRPr="00173EC5">
        <w:tab/>
        <w:t>merkt op dat de Autoriteit in samenwerking met 18 lidstaten een campagne over Afrikaanse varkenspest heeft gelanceerd; merkt voorts op dat de Autoriteit een bijdrage heeft geleverd aan het ontwerp en de uitvoering van de EU-strategie inzake chemische stoffen;</w:t>
      </w:r>
    </w:p>
    <w:p w14:paraId="794DF1E8" w14:textId="77777777" w:rsidR="002C0DD7" w:rsidRPr="00173EC5" w:rsidRDefault="002C0DD7" w:rsidP="002C0DD7">
      <w:pPr>
        <w:pStyle w:val="NormalHanging12a"/>
      </w:pPr>
      <w:r w:rsidRPr="00173EC5">
        <w:t>10.</w:t>
      </w:r>
      <w:r w:rsidRPr="00173EC5">
        <w:tab/>
        <w:t>merkt op dat het vermogen van de Autoriteit om tijdig advies te verstrekken, volgens haar jaarlijkse enquête, waarin om feedback wordt gevraagd van haar klanten, partners en belanghebbenden die direct of indirect betrokken zijn bij het uitbrengen van wetenschappelijke adviezen van de Autoriteit, een aandachtspunt blijft;</w:t>
      </w:r>
    </w:p>
    <w:p w14:paraId="3E4652D5" w14:textId="77777777" w:rsidR="002C0DD7" w:rsidRPr="00173EC5" w:rsidRDefault="002C0DD7" w:rsidP="002C0DD7">
      <w:pPr>
        <w:pStyle w:val="NormalHanging12a"/>
        <w:rPr>
          <w:b/>
          <w:i/>
          <w:szCs w:val="24"/>
        </w:rPr>
      </w:pPr>
      <w:r w:rsidRPr="00173EC5">
        <w:rPr>
          <w:b/>
          <w:i/>
        </w:rPr>
        <w:t>Efficiëntie en verbeteringen</w:t>
      </w:r>
    </w:p>
    <w:p w14:paraId="2AE49178" w14:textId="77777777" w:rsidR="002C0DD7" w:rsidRPr="00173EC5" w:rsidRDefault="002C0DD7" w:rsidP="002C0DD7">
      <w:pPr>
        <w:pStyle w:val="NormalHanging12a"/>
        <w:rPr>
          <w:szCs w:val="24"/>
        </w:rPr>
      </w:pPr>
      <w:r w:rsidRPr="00173EC5">
        <w:t>11.</w:t>
      </w:r>
      <w:r w:rsidRPr="00173EC5">
        <w:tab/>
        <w:t>merkt op dat de Autoriteit heeft samengewerkt met het Europees Agentschap voor chemische stoffen, in het kader van de nieuwe EU-strategie voor chemische stoffen, en met het Europees Centrum voor ziektepreventie en -bestrijding om systemen te ontwikkelen voor de verzameling en analyse van genoomsequenties; merkt bovendien op dat de Autoriteit personele middelen en onderzoeksmiddelen heeft gedeeld met zusteragentschappen en met het Gemeenschappelijk Centrum voor onderzoek (JRC); wijst verder op de horizontale voordelen van samenwerking en aanpassing van beste praktijken;</w:t>
      </w:r>
    </w:p>
    <w:p w14:paraId="1DAD6523" w14:textId="77777777" w:rsidR="002C0DD7" w:rsidRPr="00173EC5" w:rsidRDefault="002C0DD7" w:rsidP="002C0DD7">
      <w:pPr>
        <w:pStyle w:val="NormalHanging12a"/>
        <w:rPr>
          <w:szCs w:val="24"/>
        </w:rPr>
      </w:pPr>
      <w:r w:rsidRPr="00173EC5">
        <w:t>12.</w:t>
      </w:r>
      <w:r w:rsidRPr="00173EC5">
        <w:tab/>
        <w:t>merkt op dat de Autoriteit haar inspanningen om de uitvoering van nieuwe processen en IT-instrumenten te consolideren in 2022 heeft opgevoerd, waarbij zij heeft getracht een hoog niveau van efficiëntie te bereiken en zo veel mogelijk synergie met andere agentschappen te bewerkstelligen; merkt verder op dat bepaalde resultaten van de Autoriteit met betrekking tot efficiëntie en verbeteringen op het gebied van IT-instrumenten uit de periode 2020-2022 pas eind 2023 als doelstelling werden geformuleerd;</w:t>
      </w:r>
    </w:p>
    <w:p w14:paraId="200DC091" w14:textId="77777777" w:rsidR="002C0DD7" w:rsidRPr="00173EC5" w:rsidRDefault="002C0DD7" w:rsidP="002C0DD7">
      <w:pPr>
        <w:pStyle w:val="NormalHanging12a"/>
      </w:pPr>
      <w:r w:rsidRPr="00173EC5">
        <w:t>13.</w:t>
      </w:r>
      <w:r w:rsidRPr="00173EC5">
        <w:tab/>
        <w:t>is ingenomen met het voornemen van de Autoriteit om het gezamenlijke gegevensbeheer met de lidstaten en andere agentschappen te versterken, wat de kwaliteit en interoperabiliteit van de gegevens moet verbeteren (in overeenstemming met de “één gezondheid”-benadering);</w:t>
      </w:r>
    </w:p>
    <w:p w14:paraId="4AA12DC7" w14:textId="77777777" w:rsidR="002C0DD7" w:rsidRPr="00173EC5" w:rsidRDefault="002C0DD7" w:rsidP="002C0DD7">
      <w:pPr>
        <w:spacing w:after="240"/>
        <w:ind w:left="567" w:hanging="567"/>
        <w:rPr>
          <w:b/>
          <w:i/>
          <w:szCs w:val="24"/>
        </w:rPr>
      </w:pPr>
      <w:r w:rsidRPr="00173EC5">
        <w:rPr>
          <w:b/>
          <w:i/>
        </w:rPr>
        <w:t>Personeelsbeleid</w:t>
      </w:r>
    </w:p>
    <w:p w14:paraId="2466007D" w14:textId="77777777" w:rsidR="002C0DD7" w:rsidRPr="00173EC5" w:rsidRDefault="002C0DD7" w:rsidP="002C0DD7">
      <w:pPr>
        <w:spacing w:after="240"/>
        <w:ind w:left="567" w:hanging="567"/>
        <w:rPr>
          <w:rFonts w:eastAsia="Calibri"/>
          <w:szCs w:val="24"/>
        </w:rPr>
      </w:pPr>
      <w:r w:rsidRPr="00173EC5">
        <w:t>14.</w:t>
      </w:r>
      <w:r w:rsidRPr="00173EC5">
        <w:tab/>
        <w:t xml:space="preserve">stelt vast dat de personeelsformatie op 31 december 2022 voor 95,55 % was ingevuld, aangezien 5 ambtenaren en 382 tijdelijke functionarissen waren aangesteld op de 405 posten die in het kader van de begroting van de Unie waren toegestaan (tegenover </w:t>
      </w:r>
      <w:r w:rsidRPr="00173EC5">
        <w:lastRenderedPageBreak/>
        <w:t>380 toegestane posten in 2021); stelt vast dat er in 2022 bovendien 170 arbeidscontractanten en 14 gedetacheerde nationale deskundigen voor de Autoriteit werkten; merkt verder op dat de Autoriteit met het oog op de uitvoering van Verordening (EU) 2019/1381 31 nieuwe posten heeft gekregen in 2022, en 15 bijkomende arbeidscontractanten (</w:t>
      </w:r>
      <w:proofErr w:type="spellStart"/>
      <w:r w:rsidRPr="00173EC5">
        <w:t>AC’s</w:t>
      </w:r>
      <w:proofErr w:type="spellEnd"/>
      <w:r w:rsidRPr="00173EC5">
        <w:t>) voor de periode 2022-2024;</w:t>
      </w:r>
    </w:p>
    <w:p w14:paraId="782D830A" w14:textId="77777777" w:rsidR="002C0DD7" w:rsidRPr="00173EC5" w:rsidRDefault="002C0DD7" w:rsidP="002C0DD7">
      <w:pPr>
        <w:widowControl/>
        <w:spacing w:after="240"/>
        <w:ind w:left="567" w:hanging="567"/>
        <w:rPr>
          <w:szCs w:val="24"/>
        </w:rPr>
      </w:pPr>
      <w:r w:rsidRPr="00173EC5">
        <w:t>15.</w:t>
      </w:r>
      <w:r w:rsidRPr="00173EC5">
        <w:tab/>
        <w:t>stelt vast dat er binnen het totale personeelsbestand van de Autoriteit in 2022 een evenwicht is bereikt tussen mannen en vrouwen, aangezien 335 van de 557 medewerkers (60,1 %) en 37 van de 70 leden van de raad van bestuur van de Autoriteit (52,9 %) vrouwen waren; merkt op dat in leidinggevende en bestuursfuncties meer posten worden ingenomen door mannen (63 %) dan door vrouwen (37 %); roept de Autoriteit op zich meer in te spannen om de genderkloof in leidinggevende en bestuursfuncties te dichten;</w:t>
      </w:r>
    </w:p>
    <w:p w14:paraId="0509095A" w14:textId="77777777" w:rsidR="002C0DD7" w:rsidRPr="00173EC5" w:rsidRDefault="002C0DD7" w:rsidP="002C0DD7">
      <w:pPr>
        <w:spacing w:after="240"/>
        <w:ind w:left="567" w:hanging="567"/>
        <w:rPr>
          <w:rFonts w:eastAsia="Calibri"/>
          <w:szCs w:val="24"/>
        </w:rPr>
      </w:pPr>
      <w:r w:rsidRPr="00173EC5">
        <w:t>16.</w:t>
      </w:r>
      <w:r w:rsidRPr="00173EC5">
        <w:tab/>
        <w:t>stelt vast dat de medische dienst in 2022 drie gevallen van burn-out heeft gemeld;</w:t>
      </w:r>
      <w:r w:rsidRPr="00173EC5">
        <w:rPr>
          <w:rFonts w:ascii="Segoe UI" w:hAnsi="Segoe UI"/>
          <w:color w:val="374151"/>
        </w:rPr>
        <w:t xml:space="preserve"> </w:t>
      </w:r>
      <w:r w:rsidRPr="00173EC5">
        <w:t>benadrukt dat het van cruciaal belang is het evenwicht tussen professionele verantwoordelijkheden en het privéleven te bewaren; roept de Autoriteit op om een gezond evenwicht tussen werk en privéleven onder het personeel te blijven bevorderen;</w:t>
      </w:r>
    </w:p>
    <w:p w14:paraId="46B878C4" w14:textId="77777777" w:rsidR="002C0DD7" w:rsidRPr="00173EC5" w:rsidRDefault="002C0DD7" w:rsidP="002C0DD7">
      <w:pPr>
        <w:spacing w:after="240"/>
        <w:ind w:left="567" w:hanging="567"/>
        <w:rPr>
          <w:rFonts w:eastAsia="Calibri"/>
          <w:szCs w:val="24"/>
        </w:rPr>
      </w:pPr>
      <w:r w:rsidRPr="00173EC5">
        <w:t>17.</w:t>
      </w:r>
      <w:r w:rsidRPr="00173EC5">
        <w:tab/>
        <w:t>merkt op dat de Autoriteit de waarden van het netwerk van EU-agentschappen en het “Handvest inzake diversiteit en inclusie” onderschrijft en zich inzet voor een spoedige goedkeuring daarvan; neemt er voorts kennis van dat de Autoriteit deelneemt aan de werkgroep inzake diversiteit en inclusie van het netwerk van EU-agentschappen om synergieën, informatie en middelen met betrekking tot diversiteit en inclusie te delen; stelt vast dat er daarnaast enkele interne initiatieven zijn opgezet, zoals een nieuwe website over loopbanen en een video over werken bij de Autoriteit, waarin specifiek wordt stilgestaan bij het thema diversiteit en inclusie;</w:t>
      </w:r>
    </w:p>
    <w:p w14:paraId="2DFDE473" w14:textId="77777777" w:rsidR="002C0DD7" w:rsidRPr="00173EC5" w:rsidRDefault="002C0DD7" w:rsidP="002C0DD7">
      <w:pPr>
        <w:spacing w:after="240"/>
        <w:ind w:left="567" w:hanging="567"/>
        <w:rPr>
          <w:rFonts w:eastAsia="Calibri"/>
          <w:szCs w:val="24"/>
        </w:rPr>
      </w:pPr>
      <w:r w:rsidRPr="00173EC5">
        <w:t>18.</w:t>
      </w:r>
      <w:r w:rsidRPr="00173EC5">
        <w:tab/>
        <w:t>merkt op dat de Autoriteit de “Richtsnoeren voor de uitvoering van steun aan mensen met een handicap” heeft aangenomen ter bevordering van sociaal beleid en gelijke behandeling op de werkplek; merkt bovendien op dat het gebouw van de Autoriteit is ontworpen in overeenstemming met de Italiaanse regelgeving inzake toegankelijkheid voor mensen met een handicap;</w:t>
      </w:r>
    </w:p>
    <w:p w14:paraId="0031E32D" w14:textId="77777777" w:rsidR="002C0DD7" w:rsidRPr="00173EC5" w:rsidRDefault="002C0DD7" w:rsidP="002C0DD7">
      <w:pPr>
        <w:spacing w:after="240"/>
        <w:ind w:left="567" w:hanging="567"/>
        <w:rPr>
          <w:rFonts w:eastAsia="Calibri"/>
          <w:szCs w:val="24"/>
        </w:rPr>
      </w:pPr>
      <w:r w:rsidRPr="00173EC5">
        <w:t>19.</w:t>
      </w:r>
      <w:r w:rsidRPr="00173EC5">
        <w:tab/>
        <w:t>merkt op dat er vanaf 1 januari 2022 een nieuwe organisatiestructuur is ingevoerd om de uitvoering van Verordening (EU) 2019/1381 en de ambities van Strategie 2027 van de Autoriteit te ondersteunen;</w:t>
      </w:r>
    </w:p>
    <w:p w14:paraId="14E4EF32" w14:textId="77777777" w:rsidR="002C0DD7" w:rsidRPr="00173EC5" w:rsidRDefault="002C0DD7" w:rsidP="002C0DD7">
      <w:pPr>
        <w:spacing w:after="240"/>
        <w:ind w:left="567" w:hanging="567"/>
        <w:rPr>
          <w:b/>
          <w:i/>
          <w:szCs w:val="24"/>
        </w:rPr>
      </w:pPr>
      <w:r w:rsidRPr="00173EC5">
        <w:rPr>
          <w:b/>
          <w:i/>
        </w:rPr>
        <w:t>Preventie van en omgang met belangenconflicten en transparantie</w:t>
      </w:r>
    </w:p>
    <w:p w14:paraId="2DB90D56" w14:textId="77777777" w:rsidR="002C0DD7" w:rsidRPr="00173EC5" w:rsidRDefault="002C0DD7" w:rsidP="002C0DD7">
      <w:pPr>
        <w:spacing w:after="240"/>
        <w:ind w:left="567" w:hanging="567"/>
        <w:rPr>
          <w:rFonts w:eastAsia="Calibri"/>
          <w:szCs w:val="24"/>
        </w:rPr>
      </w:pPr>
      <w:r w:rsidRPr="00173EC5">
        <w:t>20.</w:t>
      </w:r>
      <w:r w:rsidRPr="00173EC5">
        <w:tab/>
        <w:t>merkt op dat de raad van bestuur en het operationeel bestuur van de Autoriteit een verklaring inzake belangenconflicten hebben ondertekend en dat deze is gepubliceerd en beschikbaar gesteld op de website; merkt verder op dat de cv’s van de leden en plaatsvervangende leden van de raad van bestuur uiterlijk aan het eind van 2023 zullen worden gepubliceerd;</w:t>
      </w:r>
    </w:p>
    <w:p w14:paraId="2F41589E" w14:textId="77777777" w:rsidR="002C0DD7" w:rsidRPr="00173EC5" w:rsidRDefault="002C0DD7" w:rsidP="002C0DD7">
      <w:pPr>
        <w:spacing w:after="240"/>
        <w:ind w:left="567" w:hanging="567"/>
        <w:rPr>
          <w:rFonts w:eastAsia="Calibri"/>
          <w:szCs w:val="24"/>
        </w:rPr>
      </w:pPr>
      <w:r w:rsidRPr="00173EC5">
        <w:t>21.</w:t>
      </w:r>
      <w:r w:rsidRPr="00173EC5">
        <w:tab/>
        <w:t>stelt vast dat de Autoriteit in 2022 in het kader van de jaarlijkse opgave van belangen met betrekking tot externe deskundigen zeven gevallen van belangenconflicten heeft vastgesteld en aangepakt; merkt op dat de Autoriteit ervoor heeft gezorgd dat zij niet konden deelnemen aan de wetenschappelijke activiteiten;</w:t>
      </w:r>
    </w:p>
    <w:p w14:paraId="78F1702C" w14:textId="77777777" w:rsidR="002C0DD7" w:rsidRPr="00173EC5" w:rsidRDefault="002C0DD7" w:rsidP="002C0DD7">
      <w:pPr>
        <w:spacing w:after="240"/>
        <w:ind w:left="567" w:hanging="567"/>
        <w:rPr>
          <w:rFonts w:eastAsia="Calibri"/>
          <w:szCs w:val="24"/>
        </w:rPr>
      </w:pPr>
      <w:r w:rsidRPr="00173EC5">
        <w:lastRenderedPageBreak/>
        <w:t>22.</w:t>
      </w:r>
      <w:r w:rsidRPr="00173EC5">
        <w:tab/>
        <w:t>erkent dat de Autoriteit over een vrijwillige gedragscode beschikt op grond waarvan de leden van de raad van bestuur verplicht zijn de Autoriteit in kennis te stellen van beroepsactiviteiten die zij gedurende twee jaar na afloop van hun ambtstermijn hebben verricht;</w:t>
      </w:r>
    </w:p>
    <w:p w14:paraId="616952D3" w14:textId="77777777" w:rsidR="002C0DD7" w:rsidRPr="00173EC5" w:rsidRDefault="002C0DD7" w:rsidP="002C0DD7">
      <w:pPr>
        <w:spacing w:after="240"/>
        <w:ind w:left="567" w:hanging="567"/>
        <w:rPr>
          <w:rFonts w:eastAsia="Calibri"/>
          <w:szCs w:val="24"/>
        </w:rPr>
      </w:pPr>
      <w:r w:rsidRPr="00173EC5">
        <w:t>23.</w:t>
      </w:r>
      <w:r w:rsidRPr="00173EC5">
        <w:tab/>
        <w:t>neemt er kennis van dat de Autoriteit voornemens is uiterlijk in het eerste kwartaal van 2024 een nieuwe standaardprocedure voor de periode na uitdiensttreding aan te nemen waarin de criteria en procedures zijn vastgelegd voor het stopzetten van de toegang tot vertrouwelijke informatie wanneer personeel de dienst verlaat, alsook de vereisten voor toezicht en uitvoering, en de normen inzake transparantie;</w:t>
      </w:r>
    </w:p>
    <w:p w14:paraId="209B58D2" w14:textId="77777777" w:rsidR="002C0DD7" w:rsidRPr="00173EC5" w:rsidRDefault="002C0DD7" w:rsidP="002C0DD7">
      <w:pPr>
        <w:spacing w:after="240"/>
        <w:ind w:left="567" w:hanging="567"/>
        <w:rPr>
          <w:rFonts w:eastAsia="Calibri"/>
          <w:szCs w:val="24"/>
        </w:rPr>
      </w:pPr>
      <w:r w:rsidRPr="00173EC5">
        <w:t>24.</w:t>
      </w:r>
      <w:r w:rsidRPr="00173EC5">
        <w:tab/>
        <w:t>merkt op dat de Autoriteit over een fraudebestrijdingsstrategie beschikt, die in nauwe samenwerking met het Europees Bureau voor fraudebestrijding is ontwikkeld en vergezeld gaat van de bijbehorende uitvoeringsbepalingen en een actieplan ter voorkoming van fraude en corruptie;</w:t>
      </w:r>
    </w:p>
    <w:p w14:paraId="02AB46E9" w14:textId="77777777" w:rsidR="002C0DD7" w:rsidRPr="00173EC5" w:rsidRDefault="002C0DD7" w:rsidP="002C0DD7">
      <w:pPr>
        <w:spacing w:after="240"/>
        <w:ind w:left="567" w:hanging="567"/>
        <w:rPr>
          <w:b/>
          <w:i/>
          <w:szCs w:val="24"/>
        </w:rPr>
      </w:pPr>
      <w:r w:rsidRPr="00173EC5">
        <w:rPr>
          <w:b/>
          <w:i/>
        </w:rPr>
        <w:t>Overige opmerkingen</w:t>
      </w:r>
    </w:p>
    <w:p w14:paraId="7FCC0B38" w14:textId="77777777" w:rsidR="002C0DD7" w:rsidRPr="00173EC5" w:rsidRDefault="002C0DD7" w:rsidP="002C0DD7">
      <w:pPr>
        <w:spacing w:after="240"/>
        <w:ind w:left="567" w:hanging="567"/>
        <w:rPr>
          <w:szCs w:val="24"/>
        </w:rPr>
      </w:pPr>
      <w:r w:rsidRPr="00173EC5">
        <w:t>25.</w:t>
      </w:r>
      <w:r w:rsidRPr="00173EC5">
        <w:tab/>
        <w:t>merkt op dat de dienst Interne Audit (IAS) in juni 2022 het auditverslag over informatiebeveiliging en herstel na calamiteiten heeft uitgebracht met het oog op de beoordeling van de geschiktheid van het ontwerp en de uitvoering van de governance, en daarbij twee opmerkingen en drie belangrijke opmerkingen over het IT-veiligheidsbeheer heeft geformuleerd; merkt op dat de Autoriteit de aanbevelingen van de IAS heeft aanvaard en momenteel een actieplan uitvoert;</w:t>
      </w:r>
    </w:p>
    <w:p w14:paraId="51D7547D" w14:textId="77777777" w:rsidR="002C0DD7" w:rsidRPr="00173EC5" w:rsidRDefault="002C0DD7" w:rsidP="002C0DD7">
      <w:pPr>
        <w:pStyle w:val="NormalHanging12a"/>
      </w:pPr>
      <w:r w:rsidRPr="00173EC5">
        <w:t>26.</w:t>
      </w:r>
      <w:r w:rsidRPr="00173EC5">
        <w:tab/>
        <w:t>is ingenomen met de inspanningen die de Autoriteit heeft geleverd om haar publieke zichtbaarheid en haar onlineaanwezigheid te vergroten door voor het tweede jaar op rij de campagne “#</w:t>
      </w:r>
      <w:proofErr w:type="spellStart"/>
      <w:r w:rsidRPr="00173EC5">
        <w:t>EUChooseSafeFood</w:t>
      </w:r>
      <w:proofErr w:type="spellEnd"/>
      <w:r w:rsidRPr="00173EC5">
        <w:t>” op te zetten, samen met de bevoegde autoriteiten van de lidstaten, met als doel de wetenschap achter voedselveiligheid in de Unie op een toegankelijke manier uit te leggen, en door in samenwerking met de andere vier ENVI-agentschappen de “ONE – Health, Environment, Society – Conference” te organiseren, die heeft geleid tot de lancering van het gezamenlijke Instagramkanaal “</w:t>
      </w:r>
      <w:proofErr w:type="spellStart"/>
      <w:r w:rsidRPr="00173EC5">
        <w:t>One</w:t>
      </w:r>
      <w:proofErr w:type="spellEnd"/>
      <w:r w:rsidRPr="00173EC5">
        <w:t xml:space="preserve"> Health </w:t>
      </w:r>
      <w:proofErr w:type="spellStart"/>
      <w:r w:rsidRPr="00173EC5">
        <w:t>One</w:t>
      </w:r>
      <w:proofErr w:type="spellEnd"/>
      <w:r w:rsidRPr="00173EC5">
        <w:t xml:space="preserve"> Environment”; merkt verder op dat de Autoriteit heeft geïnvesteerd in het meertalig maken van haar website, met behulp van artificiële intelligentie van de </w:t>
      </w:r>
      <w:proofErr w:type="spellStart"/>
      <w:r w:rsidRPr="00173EC5">
        <w:t>eTranslation</w:t>
      </w:r>
      <w:proofErr w:type="spellEnd"/>
      <w:r w:rsidRPr="00173EC5">
        <w:t>-widget van de Commissie; merkt bovendien op dat de Autoriteit in 2022 is blijven investeren in de ontwikkeling van haar “</w:t>
      </w:r>
      <w:proofErr w:type="spellStart"/>
      <w:r w:rsidRPr="00173EC5">
        <w:t>OpenEFSA</w:t>
      </w:r>
      <w:proofErr w:type="spellEnd"/>
      <w:r w:rsidRPr="00173EC5">
        <w:t>”-portaal, in overeenstemming met de vereisten van Verordening (EU) 2019/1381;</w:t>
      </w:r>
    </w:p>
    <w:p w14:paraId="4CD1149A" w14:textId="77777777" w:rsidR="002C0DD7" w:rsidRPr="00173EC5" w:rsidRDefault="002C0DD7" w:rsidP="002C0DD7">
      <w:pPr>
        <w:spacing w:after="240"/>
        <w:ind w:left="567" w:hanging="567"/>
        <w:rPr>
          <w:rFonts w:eastAsia="Calibri"/>
          <w:szCs w:val="24"/>
        </w:rPr>
      </w:pPr>
      <w:r w:rsidRPr="00173EC5">
        <w:t>27.</w:t>
      </w:r>
      <w:r w:rsidRPr="00173EC5">
        <w:tab/>
        <w:t>is ingenomen met het feit dat de Autoriteit de afgelopen jaren een van de EMAS-gecertificeerde agentschappen was; neemt er kennis van dat de Autoriteit, afhankelijk van het type aankoop, normen inzake groene overheidsopdrachten toepast als minimumvereisten voor de selectie- en/of gunningscriteria van aanbestedingsdossiers;</w:t>
      </w:r>
    </w:p>
    <w:p w14:paraId="0C1045F2" w14:textId="77777777" w:rsidR="002C0DD7" w:rsidRPr="00173EC5" w:rsidRDefault="002C0DD7" w:rsidP="002C0DD7">
      <w:pPr>
        <w:spacing w:after="240"/>
        <w:jc w:val="center"/>
      </w:pPr>
      <w:r w:rsidRPr="00173EC5">
        <w:t>°</w:t>
      </w:r>
    </w:p>
    <w:p w14:paraId="6757FAE7" w14:textId="77777777" w:rsidR="002C0DD7" w:rsidRPr="00173EC5" w:rsidRDefault="002C0DD7" w:rsidP="002C0DD7">
      <w:pPr>
        <w:pStyle w:val="NormalCenter12a"/>
      </w:pPr>
      <w:r w:rsidRPr="00173EC5">
        <w:t>°</w:t>
      </w:r>
      <w:r w:rsidRPr="00173EC5">
        <w:tab/>
        <w:t>°</w:t>
      </w:r>
    </w:p>
    <w:p w14:paraId="35414D48" w14:textId="77777777" w:rsidR="002C0DD7" w:rsidRPr="00173EC5" w:rsidRDefault="002C0DD7" w:rsidP="002C0DD7">
      <w:pPr>
        <w:widowControl/>
        <w:spacing w:after="240"/>
        <w:ind w:left="567" w:hanging="567"/>
        <w:rPr>
          <w:szCs w:val="24"/>
        </w:rPr>
      </w:pPr>
      <w:r w:rsidRPr="00173EC5">
        <w:lastRenderedPageBreak/>
        <w:t>28.</w:t>
      </w:r>
      <w:r w:rsidRPr="00173EC5">
        <w:tab/>
        <w:t xml:space="preserve">verwijst voor andere horizontale opmerkingen bij zijn kwijtingsbesluit naar zijn resolutie van </w:t>
      </w:r>
      <w:r w:rsidR="0000230B" w:rsidRPr="00173EC5">
        <w:t>11 april 2024</w:t>
      </w:r>
      <w:r w:rsidRPr="00173EC5">
        <w:rPr>
          <w:rStyle w:val="FootnoteReference"/>
        </w:rPr>
        <w:footnoteReference w:id="13"/>
      </w:r>
      <w:r w:rsidRPr="00173EC5">
        <w:t xml:space="preserve"> over het functioneren en het financiële beheer van en de controle op de agentschappen.</w:t>
      </w:r>
    </w:p>
    <w:p w14:paraId="253E8312" w14:textId="77777777" w:rsidR="002C0DD7" w:rsidRPr="00173EC5" w:rsidRDefault="002C0DD7" w:rsidP="002C0DD7"/>
    <w:sectPr w:rsidR="002C0DD7" w:rsidRPr="00173EC5" w:rsidSect="00C266C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C7E46" w14:textId="77777777" w:rsidR="00815624" w:rsidRPr="00C266C8" w:rsidRDefault="00815624">
      <w:r w:rsidRPr="00C266C8">
        <w:separator/>
      </w:r>
    </w:p>
  </w:endnote>
  <w:endnote w:type="continuationSeparator" w:id="0">
    <w:p w14:paraId="38575FD6" w14:textId="77777777" w:rsidR="00815624" w:rsidRPr="00C266C8" w:rsidRDefault="00815624">
      <w:r w:rsidRPr="00C266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86FB8" w14:textId="77777777" w:rsidR="002C0DD7" w:rsidRPr="00C266C8" w:rsidRDefault="002C0DD7" w:rsidP="007C0EC2">
    <w:pPr>
      <w:pStyle w:val="EPFooter"/>
    </w:pPr>
    <w:r w:rsidRPr="00C266C8">
      <w:t>PE</w:t>
    </w:r>
    <w:r w:rsidRPr="00C266C8">
      <w:rPr>
        <w:rStyle w:val="HideTWBExt"/>
      </w:rPr>
      <w:t>&lt;</w:t>
    </w:r>
    <w:proofErr w:type="spellStart"/>
    <w:r w:rsidRPr="00C266C8">
      <w:rPr>
        <w:rStyle w:val="HideTWBExt"/>
      </w:rPr>
      <w:t>NoPE</w:t>
    </w:r>
    <w:proofErr w:type="spellEnd"/>
    <w:r w:rsidRPr="00C266C8">
      <w:rPr>
        <w:rStyle w:val="HideTWBExt"/>
      </w:rPr>
      <w:t>&gt;</w:t>
    </w:r>
    <w:r w:rsidRPr="00C266C8">
      <w:t>753.519</w:t>
    </w:r>
    <w:r w:rsidRPr="00C266C8">
      <w:rPr>
        <w:rStyle w:val="HideTWBExt"/>
      </w:rPr>
      <w:t>&lt;/</w:t>
    </w:r>
    <w:proofErr w:type="spellStart"/>
    <w:r w:rsidRPr="00C266C8">
      <w:rPr>
        <w:rStyle w:val="HideTWBExt"/>
      </w:rPr>
      <w:t>NoPE</w:t>
    </w:r>
    <w:proofErr w:type="spellEnd"/>
    <w:r w:rsidRPr="00C266C8">
      <w:rPr>
        <w:rStyle w:val="HideTWBExt"/>
      </w:rPr>
      <w:t>&gt;&lt;Version&gt;</w:t>
    </w:r>
    <w:r w:rsidRPr="00C266C8">
      <w:t>v03-00</w:t>
    </w:r>
    <w:r w:rsidRPr="00C266C8">
      <w:rPr>
        <w:rStyle w:val="HideTWBExt"/>
      </w:rPr>
      <w:t>&lt;/Version&gt;</w:t>
    </w:r>
    <w:r w:rsidRPr="00C266C8">
      <w:tab/>
    </w:r>
    <w:r w:rsidRPr="00C266C8">
      <w:fldChar w:fldCharType="begin"/>
    </w:r>
    <w:r w:rsidRPr="00C266C8">
      <w:instrText xml:space="preserve"> PAGE  \* MERGEFORMAT </w:instrText>
    </w:r>
    <w:r w:rsidRPr="00C266C8">
      <w:fldChar w:fldCharType="separate"/>
    </w:r>
    <w:r w:rsidR="00C266C8" w:rsidRPr="00C266C8">
      <w:rPr>
        <w:noProof/>
      </w:rPr>
      <w:t>2</w:t>
    </w:r>
    <w:r w:rsidRPr="00C266C8">
      <w:fldChar w:fldCharType="end"/>
    </w:r>
    <w:r w:rsidRPr="00C266C8">
      <w:t>/</w:t>
    </w:r>
    <w:fldSimple w:instr=" NUMPAGES  \* MERGEFORMAT ">
      <w:r w:rsidR="00C266C8" w:rsidRPr="00C266C8">
        <w:rPr>
          <w:noProof/>
        </w:rPr>
        <w:t>4</w:t>
      </w:r>
    </w:fldSimple>
    <w:r w:rsidRPr="00C266C8">
      <w:tab/>
    </w:r>
    <w:r w:rsidRPr="00C266C8">
      <w:rPr>
        <w:rStyle w:val="HideTWBExt"/>
      </w:rPr>
      <w:t>&lt;PathFdR&gt;</w:t>
    </w:r>
    <w:r w:rsidRPr="00C266C8">
      <w:t>RR\1299220NL.docx</w:t>
    </w:r>
    <w:r w:rsidRPr="00C266C8">
      <w:rPr>
        <w:rStyle w:val="HideTWBExt"/>
      </w:rPr>
      <w:t>&lt;/</w:t>
    </w:r>
    <w:proofErr w:type="spellStart"/>
    <w:r w:rsidRPr="00C266C8">
      <w:rPr>
        <w:rStyle w:val="HideTWBExt"/>
      </w:rPr>
      <w:t>PathFdR</w:t>
    </w:r>
    <w:proofErr w:type="spellEnd"/>
    <w:r w:rsidRPr="00C266C8">
      <w:rPr>
        <w:rStyle w:val="HideTWBExt"/>
      </w:rPr>
      <w:t>&gt;</w:t>
    </w:r>
  </w:p>
  <w:p w14:paraId="55C2ADB3" w14:textId="77777777" w:rsidR="002C0DD7" w:rsidRPr="00C266C8" w:rsidRDefault="002C0DD7" w:rsidP="007C0EC2">
    <w:pPr>
      <w:pStyle w:val="EPFooter2"/>
    </w:pPr>
    <w:r w:rsidRPr="00C266C8">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EFA83" w14:textId="77777777" w:rsidR="002C0DD7" w:rsidRPr="00C266C8" w:rsidRDefault="002C0DD7" w:rsidP="007C0EC2">
    <w:pPr>
      <w:pStyle w:val="EPFooter"/>
    </w:pPr>
    <w:r w:rsidRPr="00C266C8">
      <w:rPr>
        <w:rStyle w:val="HideTWBExt"/>
      </w:rPr>
      <w:t>&lt;PathFdR&gt;</w:t>
    </w:r>
    <w:r w:rsidRPr="00C266C8">
      <w:t>RR\1299220NL.docx</w:t>
    </w:r>
    <w:r w:rsidRPr="00C266C8">
      <w:rPr>
        <w:rStyle w:val="HideTWBExt"/>
      </w:rPr>
      <w:t>&lt;/</w:t>
    </w:r>
    <w:proofErr w:type="spellStart"/>
    <w:r w:rsidRPr="00C266C8">
      <w:rPr>
        <w:rStyle w:val="HideTWBExt"/>
      </w:rPr>
      <w:t>PathFdR</w:t>
    </w:r>
    <w:proofErr w:type="spellEnd"/>
    <w:r w:rsidRPr="00C266C8">
      <w:rPr>
        <w:rStyle w:val="HideTWBExt"/>
      </w:rPr>
      <w:t>&gt;</w:t>
    </w:r>
    <w:r w:rsidRPr="00C266C8">
      <w:tab/>
    </w:r>
    <w:r w:rsidRPr="00C266C8">
      <w:tab/>
      <w:t>PE</w:t>
    </w:r>
    <w:r w:rsidRPr="00C266C8">
      <w:rPr>
        <w:rStyle w:val="HideTWBExt"/>
      </w:rPr>
      <w:t>&lt;</w:t>
    </w:r>
    <w:proofErr w:type="spellStart"/>
    <w:r w:rsidRPr="00C266C8">
      <w:rPr>
        <w:rStyle w:val="HideTWBExt"/>
      </w:rPr>
      <w:t>NoPE</w:t>
    </w:r>
    <w:proofErr w:type="spellEnd"/>
    <w:r w:rsidRPr="00C266C8">
      <w:rPr>
        <w:rStyle w:val="HideTWBExt"/>
      </w:rPr>
      <w:t>&gt;</w:t>
    </w:r>
    <w:r w:rsidRPr="00C266C8">
      <w:t>753.519</w:t>
    </w:r>
    <w:r w:rsidRPr="00C266C8">
      <w:rPr>
        <w:rStyle w:val="HideTWBExt"/>
      </w:rPr>
      <w:t>&lt;/</w:t>
    </w:r>
    <w:proofErr w:type="spellStart"/>
    <w:r w:rsidRPr="00C266C8">
      <w:rPr>
        <w:rStyle w:val="HideTWBExt"/>
      </w:rPr>
      <w:t>NoPE</w:t>
    </w:r>
    <w:proofErr w:type="spellEnd"/>
    <w:r w:rsidRPr="00C266C8">
      <w:rPr>
        <w:rStyle w:val="HideTWBExt"/>
      </w:rPr>
      <w:t>&gt;&lt;Version&gt;</w:t>
    </w:r>
    <w:r w:rsidRPr="00C266C8">
      <w:t>v03-00</w:t>
    </w:r>
    <w:r w:rsidRPr="00C266C8">
      <w:rPr>
        <w:rStyle w:val="HideTWBExt"/>
      </w:rPr>
      <w:t>&lt;/Version&gt;</w:t>
    </w:r>
  </w:p>
  <w:p w14:paraId="426D815B" w14:textId="77777777" w:rsidR="002C0DD7" w:rsidRPr="00C266C8" w:rsidRDefault="002C0DD7" w:rsidP="007C0EC2">
    <w:pPr>
      <w:pStyle w:val="EPFooter2"/>
    </w:pPr>
    <w:r w:rsidRPr="00C266C8">
      <w:t>NL</w:t>
    </w:r>
    <w:r w:rsidRPr="00C266C8">
      <w:tab/>
    </w:r>
    <w:r w:rsidRPr="00C266C8">
      <w:rPr>
        <w:b w:val="0"/>
        <w:i/>
        <w:color w:val="C0C0C0"/>
        <w:sz w:val="22"/>
      </w:rPr>
      <w:t>In verscheidenheid verenigd</w:t>
    </w:r>
    <w:r w:rsidRPr="00C266C8">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98340" w14:textId="77777777" w:rsidR="00064002" w:rsidRPr="00C266C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0E89C" w14:textId="77777777" w:rsidR="00064002" w:rsidRPr="00C266C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3F290" w14:textId="77777777" w:rsidR="00064002" w:rsidRPr="00C266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FFB4E" w14:textId="77777777" w:rsidR="00815624" w:rsidRPr="00C266C8" w:rsidRDefault="00815624">
      <w:r w:rsidRPr="00C266C8">
        <w:separator/>
      </w:r>
    </w:p>
  </w:footnote>
  <w:footnote w:type="continuationSeparator" w:id="0">
    <w:p w14:paraId="7B509B85" w14:textId="77777777" w:rsidR="00815624" w:rsidRPr="00C266C8" w:rsidRDefault="00815624">
      <w:r w:rsidRPr="00C266C8">
        <w:continuationSeparator/>
      </w:r>
    </w:p>
  </w:footnote>
  <w:footnote w:id="1">
    <w:p w14:paraId="7230A886" w14:textId="624DD730" w:rsidR="002C0DD7" w:rsidRPr="00C266C8" w:rsidRDefault="002C0DD7" w:rsidP="00C266C8">
      <w:pPr>
        <w:pStyle w:val="FootnoteText"/>
        <w:ind w:left="567" w:hanging="567"/>
        <w:rPr>
          <w:sz w:val="24"/>
          <w:lang w:val="nl-NL"/>
        </w:rPr>
      </w:pPr>
      <w:r w:rsidRPr="00C266C8">
        <w:rPr>
          <w:rStyle w:val="FootnoteReference"/>
          <w:sz w:val="24"/>
          <w:lang w:val="nl-NL"/>
        </w:rPr>
        <w:footnoteRef/>
      </w:r>
      <w:r w:rsidR="00C266C8" w:rsidRPr="00C266C8">
        <w:rPr>
          <w:sz w:val="24"/>
          <w:lang w:val="nl-NL"/>
        </w:rPr>
        <w:tab/>
      </w:r>
      <w:r w:rsidRPr="00C266C8">
        <w:rPr>
          <w:sz w:val="24"/>
          <w:lang w:val="nl-NL"/>
        </w:rPr>
        <w:t>PB C, C/2023/594, 27.10.2023.</w:t>
      </w:r>
    </w:p>
  </w:footnote>
  <w:footnote w:id="2">
    <w:p w14:paraId="4FBE0880" w14:textId="5F452AB2" w:rsidR="002C0DD7" w:rsidRPr="00C266C8" w:rsidRDefault="002C0DD7" w:rsidP="00C266C8">
      <w:pPr>
        <w:pStyle w:val="FootnoteText"/>
        <w:ind w:left="567" w:hanging="567"/>
        <w:rPr>
          <w:sz w:val="24"/>
          <w:lang w:val="nl-NL"/>
        </w:rPr>
      </w:pPr>
      <w:r w:rsidRPr="00C266C8">
        <w:rPr>
          <w:rStyle w:val="FootnoteReference"/>
          <w:sz w:val="24"/>
          <w:lang w:val="nl-NL"/>
        </w:rPr>
        <w:footnoteRef/>
      </w:r>
      <w:r w:rsidR="00C266C8" w:rsidRPr="00C266C8">
        <w:rPr>
          <w:sz w:val="24"/>
          <w:lang w:val="nl-NL"/>
        </w:rPr>
        <w:tab/>
      </w:r>
      <w:r w:rsidRPr="00C266C8">
        <w:rPr>
          <w:sz w:val="24"/>
          <w:lang w:val="nl-NL"/>
        </w:rPr>
        <w:t>PB C, C/2023/112, 12.10.2023.</w:t>
      </w:r>
    </w:p>
  </w:footnote>
  <w:footnote w:id="3">
    <w:p w14:paraId="4858FF06" w14:textId="7B83DBD5" w:rsidR="002C0DD7" w:rsidRPr="00C266C8" w:rsidRDefault="002C0DD7" w:rsidP="00C266C8">
      <w:pPr>
        <w:pStyle w:val="FootnoteText"/>
        <w:ind w:left="567" w:hanging="567"/>
        <w:rPr>
          <w:sz w:val="24"/>
          <w:lang w:val="nl-NL"/>
        </w:rPr>
      </w:pPr>
      <w:r w:rsidRPr="00C266C8">
        <w:rPr>
          <w:rStyle w:val="FootnoteReference"/>
          <w:sz w:val="24"/>
          <w:lang w:val="nl-NL"/>
        </w:rPr>
        <w:footnoteRef/>
      </w:r>
      <w:r w:rsidR="00C266C8" w:rsidRPr="00C266C8">
        <w:rPr>
          <w:sz w:val="24"/>
          <w:lang w:val="nl-NL"/>
        </w:rPr>
        <w:tab/>
      </w:r>
      <w:r w:rsidRPr="00C266C8">
        <w:rPr>
          <w:sz w:val="24"/>
          <w:lang w:val="nl-NL"/>
        </w:rPr>
        <w:t>PB L 193 van 30.7.2018, blz. 1.</w:t>
      </w:r>
    </w:p>
  </w:footnote>
  <w:footnote w:id="4">
    <w:p w14:paraId="193C71EF" w14:textId="0C956D2C" w:rsidR="002C0DD7" w:rsidRPr="00C266C8" w:rsidRDefault="002C0DD7" w:rsidP="00C266C8">
      <w:pPr>
        <w:pStyle w:val="FootnoteText"/>
        <w:ind w:left="567" w:hanging="567"/>
        <w:rPr>
          <w:sz w:val="24"/>
          <w:lang w:val="nl-NL"/>
        </w:rPr>
      </w:pPr>
      <w:r w:rsidRPr="00C266C8">
        <w:rPr>
          <w:rStyle w:val="FootnoteReference"/>
          <w:sz w:val="24"/>
          <w:lang w:val="nl-NL"/>
        </w:rPr>
        <w:footnoteRef/>
      </w:r>
      <w:r w:rsidR="00C266C8" w:rsidRPr="00C266C8">
        <w:rPr>
          <w:sz w:val="24"/>
          <w:lang w:val="nl-NL"/>
        </w:rPr>
        <w:tab/>
      </w:r>
      <w:r w:rsidRPr="00C266C8">
        <w:rPr>
          <w:sz w:val="24"/>
          <w:lang w:val="nl-NL"/>
        </w:rPr>
        <w:t>PB L 31 van 1.2.2002, blz. 1.</w:t>
      </w:r>
    </w:p>
  </w:footnote>
  <w:footnote w:id="5">
    <w:p w14:paraId="3EEB8EC1" w14:textId="5B89EEF3" w:rsidR="002C0DD7" w:rsidRPr="00C266C8" w:rsidRDefault="002C0DD7" w:rsidP="00C266C8">
      <w:pPr>
        <w:pStyle w:val="FootnoteText"/>
        <w:ind w:left="567" w:hanging="567"/>
        <w:rPr>
          <w:sz w:val="24"/>
          <w:szCs w:val="24"/>
          <w:lang w:val="nl-NL"/>
        </w:rPr>
      </w:pPr>
      <w:r w:rsidRPr="00C266C8">
        <w:rPr>
          <w:rStyle w:val="FootnoteReference"/>
          <w:sz w:val="24"/>
          <w:lang w:val="nl-NL"/>
        </w:rPr>
        <w:footnoteRef/>
      </w:r>
      <w:r w:rsidR="00C266C8" w:rsidRPr="00C266C8">
        <w:rPr>
          <w:sz w:val="24"/>
          <w:lang w:val="nl-NL"/>
        </w:rPr>
        <w:tab/>
      </w:r>
      <w:r w:rsidRPr="00C266C8">
        <w:rPr>
          <w:sz w:val="24"/>
          <w:lang w:val="nl-NL"/>
        </w:rPr>
        <w:t>PB L 122 van 10.5.2019, blz. 1.</w:t>
      </w:r>
    </w:p>
  </w:footnote>
  <w:footnote w:id="6">
    <w:p w14:paraId="6DD04D0A" w14:textId="55A0C26F" w:rsidR="002C0DD7" w:rsidRPr="00C266C8" w:rsidRDefault="002C0DD7" w:rsidP="00C266C8">
      <w:pPr>
        <w:pStyle w:val="FootnoteText"/>
        <w:ind w:left="567" w:hanging="567"/>
        <w:rPr>
          <w:sz w:val="24"/>
          <w:lang w:val="nl-NL"/>
        </w:rPr>
      </w:pPr>
      <w:r w:rsidRPr="00C266C8">
        <w:rPr>
          <w:rStyle w:val="FootnoteReference"/>
          <w:sz w:val="24"/>
          <w:lang w:val="nl-NL"/>
        </w:rPr>
        <w:footnoteRef/>
      </w:r>
      <w:r w:rsidR="00C266C8" w:rsidRPr="00C266C8">
        <w:rPr>
          <w:sz w:val="24"/>
          <w:lang w:val="nl-NL"/>
        </w:rPr>
        <w:tab/>
      </w:r>
      <w:r w:rsidRPr="00C266C8">
        <w:rPr>
          <w:sz w:val="24"/>
          <w:lang w:val="nl-NL"/>
        </w:rPr>
        <w:t>PB C, C/2023/594, 27.10.2023.</w:t>
      </w:r>
    </w:p>
  </w:footnote>
  <w:footnote w:id="7">
    <w:p w14:paraId="6B286B0C" w14:textId="134FF438" w:rsidR="002C0DD7" w:rsidRPr="00C266C8" w:rsidRDefault="002C0DD7" w:rsidP="00C266C8">
      <w:pPr>
        <w:pStyle w:val="FootnoteText"/>
        <w:ind w:left="567" w:hanging="567"/>
        <w:rPr>
          <w:sz w:val="24"/>
          <w:lang w:val="nl-NL"/>
        </w:rPr>
      </w:pPr>
      <w:r w:rsidRPr="00C266C8">
        <w:rPr>
          <w:rStyle w:val="FootnoteReference"/>
          <w:sz w:val="24"/>
          <w:lang w:val="nl-NL"/>
        </w:rPr>
        <w:footnoteRef/>
      </w:r>
      <w:r w:rsidR="00C266C8" w:rsidRPr="00C266C8">
        <w:rPr>
          <w:sz w:val="24"/>
          <w:lang w:val="nl-NL"/>
        </w:rPr>
        <w:tab/>
      </w:r>
      <w:r w:rsidRPr="00C266C8">
        <w:rPr>
          <w:sz w:val="24"/>
          <w:lang w:val="nl-NL"/>
        </w:rPr>
        <w:t>PB C, C/2023/112, 12.10.2023.</w:t>
      </w:r>
    </w:p>
  </w:footnote>
  <w:footnote w:id="8">
    <w:p w14:paraId="089F934A" w14:textId="7D58BE4A" w:rsidR="002C0DD7" w:rsidRPr="00C266C8" w:rsidRDefault="002C0DD7" w:rsidP="00C266C8">
      <w:pPr>
        <w:pStyle w:val="FootnoteText"/>
        <w:ind w:left="567" w:hanging="567"/>
        <w:rPr>
          <w:sz w:val="24"/>
          <w:lang w:val="nl-NL"/>
        </w:rPr>
      </w:pPr>
      <w:r w:rsidRPr="00C266C8">
        <w:rPr>
          <w:rStyle w:val="FootnoteReference"/>
          <w:sz w:val="24"/>
          <w:lang w:val="nl-NL"/>
        </w:rPr>
        <w:footnoteRef/>
      </w:r>
      <w:r w:rsidR="00C266C8" w:rsidRPr="00C266C8">
        <w:rPr>
          <w:sz w:val="24"/>
          <w:lang w:val="nl-NL"/>
        </w:rPr>
        <w:tab/>
      </w:r>
      <w:r w:rsidRPr="00C266C8">
        <w:rPr>
          <w:sz w:val="24"/>
          <w:lang w:val="nl-NL"/>
        </w:rPr>
        <w:t>PB L 193 van 30.7.2018, blz. 1.</w:t>
      </w:r>
    </w:p>
  </w:footnote>
  <w:footnote w:id="9">
    <w:p w14:paraId="6CE22EF5" w14:textId="508914B1" w:rsidR="002C0DD7" w:rsidRPr="00C266C8" w:rsidRDefault="002C0DD7" w:rsidP="00C266C8">
      <w:pPr>
        <w:pStyle w:val="FootnoteText"/>
        <w:ind w:left="567" w:hanging="567"/>
        <w:rPr>
          <w:sz w:val="24"/>
          <w:lang w:val="nl-NL"/>
        </w:rPr>
      </w:pPr>
      <w:r w:rsidRPr="00C266C8">
        <w:rPr>
          <w:rStyle w:val="FootnoteReference"/>
          <w:sz w:val="24"/>
          <w:lang w:val="nl-NL"/>
        </w:rPr>
        <w:footnoteRef/>
      </w:r>
      <w:r w:rsidR="00C266C8" w:rsidRPr="00C266C8">
        <w:rPr>
          <w:sz w:val="24"/>
          <w:lang w:val="nl-NL"/>
        </w:rPr>
        <w:tab/>
      </w:r>
      <w:r w:rsidRPr="00C266C8">
        <w:rPr>
          <w:sz w:val="24"/>
          <w:lang w:val="nl-NL"/>
        </w:rPr>
        <w:t>PB L 31 van 1.2.2002, blz. 1.</w:t>
      </w:r>
    </w:p>
  </w:footnote>
  <w:footnote w:id="10">
    <w:p w14:paraId="3C306C3C" w14:textId="35EBB539" w:rsidR="002C0DD7" w:rsidRPr="00C266C8" w:rsidRDefault="002C0DD7" w:rsidP="00C266C8">
      <w:pPr>
        <w:pStyle w:val="FootnoteText"/>
        <w:ind w:left="567" w:hanging="567"/>
        <w:rPr>
          <w:sz w:val="24"/>
          <w:szCs w:val="24"/>
          <w:lang w:val="nl-NL"/>
        </w:rPr>
      </w:pPr>
      <w:r w:rsidRPr="00C266C8">
        <w:rPr>
          <w:rStyle w:val="FootnoteReference"/>
          <w:sz w:val="24"/>
          <w:lang w:val="nl-NL"/>
        </w:rPr>
        <w:footnoteRef/>
      </w:r>
      <w:r w:rsidR="00C266C8" w:rsidRPr="00C266C8">
        <w:rPr>
          <w:sz w:val="24"/>
          <w:lang w:val="nl-NL"/>
        </w:rPr>
        <w:tab/>
      </w:r>
      <w:r w:rsidRPr="00C266C8">
        <w:rPr>
          <w:sz w:val="24"/>
          <w:lang w:val="nl-NL"/>
        </w:rPr>
        <w:t>PB L 122 van 10.5.2019, blz. 1.</w:t>
      </w:r>
    </w:p>
  </w:footnote>
  <w:footnote w:id="11">
    <w:p w14:paraId="28B4FDC2" w14:textId="2E942D44" w:rsidR="002C0DD7" w:rsidRPr="00C266C8" w:rsidRDefault="002C0DD7" w:rsidP="00C266C8">
      <w:pPr>
        <w:pStyle w:val="FootnoteText"/>
        <w:ind w:left="567" w:hanging="567"/>
        <w:rPr>
          <w:rFonts w:eastAsia="Calibri"/>
          <w:sz w:val="24"/>
          <w:lang w:val="nl-NL"/>
        </w:rPr>
      </w:pPr>
      <w:r w:rsidRPr="00C266C8">
        <w:rPr>
          <w:rStyle w:val="FootnoteReference"/>
          <w:sz w:val="24"/>
          <w:lang w:val="nl-NL"/>
        </w:rPr>
        <w:footnoteRef/>
      </w:r>
      <w:r w:rsidR="00C266C8" w:rsidRPr="00C266C8">
        <w:rPr>
          <w:sz w:val="24"/>
          <w:lang w:val="nl-NL"/>
        </w:rPr>
        <w:tab/>
      </w:r>
      <w:r w:rsidRPr="00C266C8">
        <w:rPr>
          <w:sz w:val="24"/>
          <w:lang w:val="nl-NL"/>
        </w:rPr>
        <w:t>PB C 178 van 29.4.2022, blz. 1.</w:t>
      </w:r>
    </w:p>
  </w:footnote>
  <w:footnote w:id="12">
    <w:p w14:paraId="4277CBA6" w14:textId="634B7759" w:rsidR="002C0DD7" w:rsidRPr="00C266C8" w:rsidRDefault="002C0DD7" w:rsidP="00C266C8">
      <w:pPr>
        <w:pStyle w:val="FootnoteText"/>
        <w:ind w:left="567" w:hanging="567"/>
        <w:rPr>
          <w:sz w:val="24"/>
          <w:lang w:val="nl-NL"/>
        </w:rPr>
      </w:pPr>
      <w:r w:rsidRPr="00C266C8">
        <w:rPr>
          <w:rStyle w:val="FootnoteReference"/>
          <w:sz w:val="24"/>
          <w:lang w:val="nl-NL"/>
        </w:rPr>
        <w:footnoteRef/>
      </w:r>
      <w:bookmarkStart w:id="14" w:name="_GoBack"/>
      <w:bookmarkEnd w:id="14"/>
      <w:r w:rsidR="00C266C8" w:rsidRPr="00C266C8">
        <w:rPr>
          <w:sz w:val="24"/>
          <w:lang w:val="nl-NL"/>
        </w:rPr>
        <w:tab/>
      </w:r>
      <w:r w:rsidRPr="00C266C8">
        <w:rPr>
          <w:sz w:val="24"/>
          <w:lang w:val="nl-NL"/>
        </w:rPr>
        <w:t>Verordening (EU) 2019/1381 van het Europees Parlement en de Raad van 20 juni 2019 betreffende de transparantie en duurzaamheid van de EU-risicobeoordeling in de voedselketen en tot wijziging van Verordeningen (EG) nr. 178/2002, (EG) nr. 1829/2003, (EG) nr. 1831/2003, (EG) nr. 2065/2003, (EG) nr. 1935/2004, (EG) nr. 1331/2008, (EG) nr. 1107/2009 en (EU) 2015/2283 en Richtlijn 2001/18/EG (PB L 231 van 6.9.2019, blz. 1).</w:t>
      </w:r>
    </w:p>
  </w:footnote>
  <w:footnote w:id="13">
    <w:p w14:paraId="08CC86C9" w14:textId="65A6FE88" w:rsidR="002C0DD7" w:rsidRPr="00C266C8" w:rsidRDefault="002C0DD7" w:rsidP="00C266C8">
      <w:pPr>
        <w:pStyle w:val="FootnoteText"/>
        <w:ind w:left="567" w:hanging="567"/>
        <w:rPr>
          <w:sz w:val="24"/>
          <w:szCs w:val="24"/>
          <w:lang w:val="nl-NL"/>
        </w:rPr>
      </w:pPr>
      <w:r w:rsidRPr="00C266C8">
        <w:rPr>
          <w:rStyle w:val="FootnoteReference"/>
          <w:sz w:val="24"/>
          <w:szCs w:val="24"/>
          <w:lang w:val="nl-NL"/>
        </w:rPr>
        <w:footnoteRef/>
      </w:r>
      <w:r w:rsidR="00C266C8" w:rsidRPr="00C266C8">
        <w:rPr>
          <w:sz w:val="24"/>
          <w:lang w:val="nl-NL"/>
        </w:rPr>
        <w:tab/>
      </w:r>
      <w:r w:rsidRPr="00C266C8">
        <w:rPr>
          <w:sz w:val="24"/>
          <w:lang w:val="nl-NL"/>
        </w:rPr>
        <w:t>Aangenomen teksten, P9_</w:t>
      </w:r>
      <w:proofErr w:type="gramStart"/>
      <w:r w:rsidRPr="00C266C8">
        <w:rPr>
          <w:sz w:val="24"/>
          <w:lang w:val="nl-NL"/>
        </w:rPr>
        <w:t>TA(</w:t>
      </w:r>
      <w:proofErr w:type="gramEnd"/>
      <w:r w:rsidRPr="00C266C8">
        <w:rPr>
          <w:sz w:val="24"/>
          <w:lang w:val="nl-NL"/>
        </w:rPr>
        <w:t>2024)</w:t>
      </w:r>
      <w:r w:rsidR="00173EC5" w:rsidRPr="00C266C8">
        <w:rPr>
          <w:sz w:val="24"/>
          <w:lang w:val="nl-NL"/>
        </w:rPr>
        <w:t>0</w:t>
      </w:r>
      <w:r w:rsidR="00173EC5">
        <w:rPr>
          <w:sz w:val="24"/>
          <w:lang w:val="nl-NL"/>
        </w:rPr>
        <w:t>28</w:t>
      </w:r>
      <w:r w:rsidR="00173EC5" w:rsidRPr="00C266C8">
        <w:rPr>
          <w:sz w:val="24"/>
          <w:lang w:val="nl-NL"/>
        </w:rPr>
        <w:t>0</w:t>
      </w:r>
      <w:r w:rsidRPr="00C266C8">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F3479" w14:textId="77777777" w:rsidR="00064002" w:rsidRPr="00C266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489F4" w14:textId="77777777" w:rsidR="00064002" w:rsidRPr="00C266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FF1C" w14:textId="77777777" w:rsidR="00064002" w:rsidRPr="00C266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NL"/>
    <w:docVar w:name="dvnumam" w:val="0"/>
    <w:docVar w:name="dvpe" w:val="753.519"/>
    <w:docVar w:name="dvrapporteur" w:val="Rapporteur: "/>
    <w:docVar w:name="dvtitre" w:val="1. Besluit van het Europees Parlement van 11 april 2024 over het verlenen van kwijting voor de uitvoering van de begroting van de Europese Autoriteit voor voedselveiligheid voor het begrotingsjaar 2022(2023/2151(DEC))"/>
  </w:docVars>
  <w:rsids>
    <w:rsidRoot w:val="00815624"/>
    <w:rsid w:val="00002272"/>
    <w:rsid w:val="0000230B"/>
    <w:rsid w:val="00064002"/>
    <w:rsid w:val="000677B9"/>
    <w:rsid w:val="000831BA"/>
    <w:rsid w:val="000A42CC"/>
    <w:rsid w:val="000E7DD9"/>
    <w:rsid w:val="0010095E"/>
    <w:rsid w:val="00125B37"/>
    <w:rsid w:val="00173EC5"/>
    <w:rsid w:val="00187494"/>
    <w:rsid w:val="001F32AE"/>
    <w:rsid w:val="002767FF"/>
    <w:rsid w:val="002B18FE"/>
    <w:rsid w:val="002B5493"/>
    <w:rsid w:val="002C0DD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562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BA1"/>
    <w:rsid w:val="00BD48FE"/>
    <w:rsid w:val="00BD7BD8"/>
    <w:rsid w:val="00BE6ADC"/>
    <w:rsid w:val="00C05BFE"/>
    <w:rsid w:val="00C23CD4"/>
    <w:rsid w:val="00C266C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87ED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04D1C"/>
  <w15:chartTrackingRefBased/>
  <w15:docId w15:val="{803369F2-0884-4F39-BBAE-48DF775D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0DD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C0DD7"/>
    <w:pPr>
      <w:spacing w:before="480" w:after="240"/>
    </w:pPr>
  </w:style>
  <w:style w:type="paragraph" w:customStyle="1" w:styleId="PageHeading">
    <w:name w:val="PageHeading"/>
    <w:basedOn w:val="Normal"/>
    <w:rsid w:val="002C0DD7"/>
    <w:pPr>
      <w:keepNext/>
      <w:spacing w:after="480"/>
      <w:jc w:val="center"/>
    </w:pPr>
    <w:rPr>
      <w:rFonts w:ascii="Arial" w:hAnsi="Arial" w:cs="Arial"/>
      <w:b/>
    </w:rPr>
  </w:style>
  <w:style w:type="paragraph" w:customStyle="1" w:styleId="NormalBold">
    <w:name w:val="NormalBold"/>
    <w:basedOn w:val="Normal"/>
    <w:rsid w:val="002C0DD7"/>
    <w:rPr>
      <w:b/>
    </w:rPr>
  </w:style>
  <w:style w:type="paragraph" w:customStyle="1" w:styleId="NormalHanging12a">
    <w:name w:val="NormalHanging12a"/>
    <w:basedOn w:val="Normal"/>
    <w:link w:val="NormalHanging12aChar"/>
    <w:rsid w:val="002C0DD7"/>
    <w:pPr>
      <w:spacing w:after="240"/>
      <w:ind w:left="567" w:hanging="567"/>
    </w:pPr>
  </w:style>
  <w:style w:type="paragraph" w:customStyle="1" w:styleId="NormalCenter12a">
    <w:name w:val="NormalCenter12a"/>
    <w:basedOn w:val="Normal"/>
    <w:rsid w:val="002C0DD7"/>
    <w:pPr>
      <w:spacing w:after="240"/>
      <w:jc w:val="center"/>
    </w:pPr>
  </w:style>
  <w:style w:type="paragraph" w:styleId="Header">
    <w:name w:val="header"/>
    <w:basedOn w:val="Normal"/>
    <w:link w:val="HeaderChar"/>
    <w:rsid w:val="002C0DD7"/>
    <w:pPr>
      <w:tabs>
        <w:tab w:val="center" w:pos="4513"/>
        <w:tab w:val="right" w:pos="9026"/>
      </w:tabs>
    </w:pPr>
  </w:style>
  <w:style w:type="character" w:customStyle="1" w:styleId="HeaderChar">
    <w:name w:val="Header Char"/>
    <w:basedOn w:val="DefaultParagraphFont"/>
    <w:link w:val="Header"/>
    <w:rsid w:val="002C0DD7"/>
    <w:rPr>
      <w:sz w:val="24"/>
      <w:lang w:val="nl-NL"/>
    </w:rPr>
  </w:style>
  <w:style w:type="paragraph" w:customStyle="1" w:styleId="EPFooter">
    <w:name w:val="EPFooter"/>
    <w:basedOn w:val="Normal"/>
    <w:rsid w:val="002C0DD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C0DD7"/>
    <w:rPr>
      <w:sz w:val="24"/>
      <w:lang w:val="nl-NL"/>
    </w:rPr>
  </w:style>
  <w:style w:type="character" w:styleId="CommentReference">
    <w:name w:val="annotation reference"/>
    <w:basedOn w:val="DefaultParagraphFont"/>
    <w:rsid w:val="0000230B"/>
    <w:rPr>
      <w:sz w:val="16"/>
      <w:szCs w:val="16"/>
    </w:rPr>
  </w:style>
  <w:style w:type="paragraph" w:styleId="CommentText">
    <w:name w:val="annotation text"/>
    <w:basedOn w:val="Normal"/>
    <w:link w:val="CommentTextChar"/>
    <w:rsid w:val="0000230B"/>
    <w:rPr>
      <w:sz w:val="20"/>
    </w:rPr>
  </w:style>
  <w:style w:type="character" w:customStyle="1" w:styleId="CommentTextChar">
    <w:name w:val="Comment Text Char"/>
    <w:basedOn w:val="DefaultParagraphFont"/>
    <w:link w:val="CommentText"/>
    <w:rsid w:val="0000230B"/>
    <w:rPr>
      <w:lang w:val="nl-NL"/>
    </w:rPr>
  </w:style>
  <w:style w:type="paragraph" w:styleId="CommentSubject">
    <w:name w:val="annotation subject"/>
    <w:basedOn w:val="CommentText"/>
    <w:next w:val="CommentText"/>
    <w:link w:val="CommentSubjectChar"/>
    <w:rsid w:val="0000230B"/>
    <w:rPr>
      <w:b/>
      <w:bCs/>
    </w:rPr>
  </w:style>
  <w:style w:type="character" w:customStyle="1" w:styleId="CommentSubjectChar">
    <w:name w:val="Comment Subject Char"/>
    <w:basedOn w:val="CommentTextChar"/>
    <w:link w:val="CommentSubject"/>
    <w:rsid w:val="0000230B"/>
    <w:rPr>
      <w:b/>
      <w:bCs/>
      <w:lang w:val="nl-NL"/>
    </w:rPr>
  </w:style>
  <w:style w:type="paragraph" w:styleId="BalloonText">
    <w:name w:val="Balloon Text"/>
    <w:basedOn w:val="Normal"/>
    <w:link w:val="BalloonTextChar"/>
    <w:rsid w:val="0000230B"/>
    <w:rPr>
      <w:rFonts w:ascii="Segoe UI" w:hAnsi="Segoe UI" w:cs="Segoe UI"/>
      <w:sz w:val="18"/>
      <w:szCs w:val="18"/>
    </w:rPr>
  </w:style>
  <w:style w:type="character" w:customStyle="1" w:styleId="BalloonTextChar">
    <w:name w:val="Balloon Text Char"/>
    <w:basedOn w:val="DefaultParagraphFont"/>
    <w:link w:val="BalloonText"/>
    <w:rsid w:val="0000230B"/>
    <w:rPr>
      <w:rFonts w:ascii="Segoe UI" w:hAnsi="Segoe UI" w:cs="Segoe UI"/>
      <w:sz w:val="18"/>
      <w:szCs w:val="18"/>
      <w:lang w:val="nl-NL"/>
    </w:rPr>
  </w:style>
  <w:style w:type="paragraph" w:styleId="Footer">
    <w:name w:val="footer"/>
    <w:basedOn w:val="Normal"/>
    <w:link w:val="FooterChar"/>
    <w:rsid w:val="0000230B"/>
    <w:pPr>
      <w:tabs>
        <w:tab w:val="center" w:pos="4513"/>
        <w:tab w:val="right" w:pos="9026"/>
      </w:tabs>
    </w:pPr>
  </w:style>
  <w:style w:type="character" w:customStyle="1" w:styleId="FooterChar">
    <w:name w:val="Footer Char"/>
    <w:basedOn w:val="DefaultParagraphFont"/>
    <w:link w:val="Footer"/>
    <w:rsid w:val="0000230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36A30-E89A-4A4F-80D3-AAC022CDB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3007</Words>
  <Characters>17819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2024-05-15T11:18:00Z</dcterms:created>
  <dcterms:modified xsi:type="dcterms:W3CDTF">2024-05-15T11:18:00Z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P9_TA(2024)0250_</vt:lpwstr>
  </property>
  <property fmtid="{D5CDD505-2E9C-101B-9397-08002B2CF9AE}" pid="4" name="&lt;Type&gt;">
    <vt:lpwstr>RR</vt:lpwstr>
  </property>
</Properties>
</file>