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2D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2DC7" w:rsidRDefault="003A148B" w:rsidP="0010095E">
            <w:pPr>
              <w:pStyle w:val="EPName"/>
            </w:pPr>
            <w:r w:rsidRPr="00BF2DC7">
              <w:t>Parlament Europejski</w:t>
            </w:r>
          </w:p>
          <w:p w:rsidR="00751A4A" w:rsidRPr="00BF2D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2D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F2DC7" w:rsidRDefault="00187494" w:rsidP="0010095E">
            <w:pPr>
              <w:pStyle w:val="EPLogo"/>
            </w:pPr>
            <w:r w:rsidRPr="00BF2D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2DC7" w:rsidRDefault="00D058B8" w:rsidP="004C5D52">
      <w:pPr>
        <w:pStyle w:val="LineTop"/>
      </w:pPr>
    </w:p>
    <w:p w:rsidR="00680577" w:rsidRPr="00BF2DC7" w:rsidRDefault="003A148B" w:rsidP="00680577">
      <w:pPr>
        <w:pStyle w:val="EPBodyTA1"/>
      </w:pPr>
      <w:r w:rsidRPr="00BF2DC7">
        <w:t>TEKSTY PRZYJĘTE</w:t>
      </w:r>
    </w:p>
    <w:p w:rsidR="00D058B8" w:rsidRPr="00BF2DC7" w:rsidRDefault="00D058B8" w:rsidP="00D058B8">
      <w:pPr>
        <w:pStyle w:val="LineBottom"/>
      </w:pPr>
    </w:p>
    <w:p w:rsidR="003A148B" w:rsidRPr="00BF2DC7" w:rsidRDefault="00547DFA" w:rsidP="003A148B">
      <w:pPr>
        <w:pStyle w:val="ATHeading1"/>
      </w:pPr>
      <w:bookmarkStart w:id="0" w:name="TANumber"/>
      <w:r>
        <w:t>P9_TA(2024)025</w:t>
      </w:r>
      <w:r w:rsidR="003A148B" w:rsidRPr="00BF2DC7">
        <w:t>0</w:t>
      </w:r>
      <w:bookmarkEnd w:id="0"/>
    </w:p>
    <w:p w:rsidR="003A148B" w:rsidRPr="00BF2DC7" w:rsidRDefault="00D82F48" w:rsidP="003A148B">
      <w:pPr>
        <w:pStyle w:val="ATHeading2"/>
      </w:pPr>
      <w:r w:rsidRPr="00D82F48">
        <w:rPr>
          <w:bCs/>
        </w:rPr>
        <w:t xml:space="preserve">Absolutorium za rok 2022: Europejski Urząd ds. </w:t>
      </w:r>
      <w:r w:rsidRPr="00547DFA">
        <w:rPr>
          <w:bCs/>
        </w:rPr>
        <w:t>Bezpieczeństwa Żywności</w:t>
      </w:r>
    </w:p>
    <w:p w:rsidR="003A148B" w:rsidRPr="00BF2DC7" w:rsidRDefault="003A148B" w:rsidP="003A148B">
      <w:pPr>
        <w:rPr>
          <w:i/>
          <w:vanish/>
        </w:rPr>
      </w:pPr>
      <w:r w:rsidRPr="00BF2DC7">
        <w:rPr>
          <w:i/>
        </w:rPr>
        <w:fldChar w:fldCharType="begin"/>
      </w:r>
      <w:r w:rsidRPr="00BF2DC7">
        <w:rPr>
          <w:i/>
        </w:rPr>
        <w:instrText xml:space="preserve"> TC"(</w:instrText>
      </w:r>
      <w:bookmarkStart w:id="1" w:name="DocNumber"/>
      <w:r w:rsidRPr="00BF2DC7">
        <w:rPr>
          <w:i/>
        </w:rPr>
        <w:instrText>A9-0129/2024</w:instrText>
      </w:r>
      <w:bookmarkEnd w:id="1"/>
      <w:r w:rsidRPr="00BF2DC7">
        <w:rPr>
          <w:i/>
        </w:rPr>
        <w:instrText xml:space="preserve"> - Sprawozdawca: </w:instrText>
      </w:r>
      <w:proofErr w:type="spellStart"/>
      <w:r w:rsidRPr="00BF2DC7">
        <w:rPr>
          <w:i/>
        </w:rPr>
        <w:instrText>Petri</w:instrText>
      </w:r>
      <w:proofErr w:type="spellEnd"/>
      <w:r w:rsidRPr="00BF2DC7">
        <w:rPr>
          <w:i/>
        </w:rPr>
        <w:instrText xml:space="preserve"> </w:instrText>
      </w:r>
      <w:proofErr w:type="spellStart"/>
      <w:r w:rsidRPr="00BF2DC7">
        <w:rPr>
          <w:i/>
        </w:rPr>
        <w:instrText>Sarvamaa</w:instrText>
      </w:r>
      <w:proofErr w:type="spellEnd"/>
      <w:proofErr w:type="gramStart"/>
      <w:r w:rsidRPr="00BF2DC7">
        <w:rPr>
          <w:i/>
        </w:rPr>
        <w:instrText>)"\l</w:instrText>
      </w:r>
      <w:proofErr w:type="gramEnd"/>
      <w:r w:rsidRPr="00BF2DC7">
        <w:rPr>
          <w:i/>
        </w:rPr>
        <w:instrText xml:space="preserve">3 \n&gt; \* MERGEFORMAT </w:instrText>
      </w:r>
      <w:r w:rsidRPr="00BF2DC7">
        <w:rPr>
          <w:i/>
        </w:rPr>
        <w:fldChar w:fldCharType="end"/>
      </w:r>
    </w:p>
    <w:p w:rsidR="003A148B" w:rsidRPr="00BF2DC7" w:rsidRDefault="003A148B" w:rsidP="003A148B">
      <w:pPr>
        <w:rPr>
          <w:vanish/>
        </w:rPr>
      </w:pPr>
      <w:bookmarkStart w:id="2" w:name="Commission"/>
      <w:r w:rsidRPr="00BF2DC7">
        <w:rPr>
          <w:vanish/>
        </w:rPr>
        <w:t>Komisja Kontroli Budżetowej</w:t>
      </w:r>
      <w:bookmarkEnd w:id="2"/>
    </w:p>
    <w:p w:rsidR="003A148B" w:rsidRPr="00BF2DC7" w:rsidRDefault="003A148B" w:rsidP="003A148B">
      <w:pPr>
        <w:rPr>
          <w:vanish/>
        </w:rPr>
      </w:pPr>
      <w:bookmarkStart w:id="3" w:name="PE"/>
      <w:r w:rsidRPr="00BF2DC7">
        <w:rPr>
          <w:vanish/>
        </w:rPr>
        <w:t>PE753.519</w:t>
      </w:r>
      <w:bookmarkEnd w:id="3"/>
    </w:p>
    <w:p w:rsidR="003A148B" w:rsidRPr="00BF2DC7" w:rsidRDefault="00D82F48" w:rsidP="003A148B">
      <w:pPr>
        <w:pStyle w:val="ATHeading3"/>
      </w:pPr>
      <w:bookmarkStart w:id="4" w:name="Sujet"/>
      <w:r>
        <w:t xml:space="preserve">1. </w:t>
      </w:r>
      <w:r w:rsidR="003A148B" w:rsidRPr="00BF2DC7">
        <w:t xml:space="preserve">Decyzja Parlamentu Europejskiego z dnia </w:t>
      </w:r>
      <w:r>
        <w:t>11 kwietnia</w:t>
      </w:r>
      <w:r w:rsidR="003A148B" w:rsidRPr="00BF2DC7">
        <w:t xml:space="preserve"> 2024 r. w sprawie absolutorium z wykonania budżetu Europejskiego Urzędu ds. Bezpieczeństwa Żywności za rok budżetowy 2022</w:t>
      </w:r>
      <w:bookmarkEnd w:id="4"/>
      <w:r w:rsidR="003A148B" w:rsidRPr="00BF2DC7">
        <w:t xml:space="preserve"> </w:t>
      </w:r>
      <w:bookmarkStart w:id="5" w:name="References"/>
      <w:r w:rsidR="003A148B" w:rsidRPr="00BF2DC7">
        <w:t>(2023/2151(DEC))</w:t>
      </w:r>
      <w:bookmarkEnd w:id="5"/>
    </w:p>
    <w:p w:rsidR="003A148B" w:rsidRPr="00BF2DC7" w:rsidRDefault="003A148B" w:rsidP="003A148B"/>
    <w:p w:rsidR="00224C1B" w:rsidRPr="00BF2DC7" w:rsidRDefault="00224C1B" w:rsidP="00224C1B">
      <w:pPr>
        <w:pStyle w:val="EPComma"/>
      </w:pPr>
      <w:bookmarkStart w:id="6" w:name="TextBodyBegin"/>
      <w:bookmarkEnd w:id="6"/>
      <w:r w:rsidRPr="00BF2DC7">
        <w:rPr>
          <w:i/>
        </w:rPr>
        <w:t>Parlament Europejski</w:t>
      </w:r>
      <w:r w:rsidRPr="00BF2DC7">
        <w:t>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końcowe roczne sprawozdanie finansowe Europejskiego Urzędu ds. Bezpieczeństwa Żywności za rok budżetowy 2022,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 xml:space="preserve">uwzględniając sprawozdanie roczne Trybunału Obrachunkowego dotyczące agencji UE </w:t>
      </w:r>
      <w:proofErr w:type="gramStart"/>
      <w:r w:rsidRPr="00BF2DC7">
        <w:t>za</w:t>
      </w:r>
      <w:proofErr w:type="gramEnd"/>
      <w:r w:rsidRPr="00BF2DC7">
        <w:t xml:space="preserve"> rok budżetowy 2022 wraz z odpowiedziami agencji</w:t>
      </w:r>
      <w:r w:rsidRPr="00BF2DC7">
        <w:rPr>
          <w:rStyle w:val="FootnoteReference"/>
        </w:rPr>
        <w:footnoteReference w:id="1"/>
      </w:r>
      <w:r w:rsidRPr="00BF2DC7">
        <w:t>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poświadczenie wiarygodności</w:t>
      </w:r>
      <w:r w:rsidRPr="00BF2DC7">
        <w:rPr>
          <w:rStyle w:val="FootnoteReference"/>
        </w:rPr>
        <w:footnoteReference w:id="2"/>
      </w:r>
      <w:r w:rsidRPr="00BF2DC7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zalecenie Rady z dnia 22 lutego 2024 r. w sprawie udzielenia Urzędowi absolutorium z wykonania budż</w:t>
      </w:r>
      <w:r w:rsidR="00B72A46">
        <w:t>etu za rok budżetowy 2022 (06180/2024 – C9</w:t>
      </w:r>
      <w:r w:rsidR="00B72A46">
        <w:noBreakHyphen/>
        <w:t>0089</w:t>
      </w:r>
      <w:r w:rsidRPr="00BF2DC7">
        <w:t>/2024),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art. 319 Traktatu o funkcjonowaniu Unii Europejskiej,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 xml:space="preserve">uwzględniając rozporządzenie Parlamentu Europejskiego i Rady (UE, </w:t>
      </w:r>
      <w:proofErr w:type="spellStart"/>
      <w:r w:rsidRPr="00BF2DC7">
        <w:t>Euratom</w:t>
      </w:r>
      <w:proofErr w:type="spellEnd"/>
      <w:r w:rsidRPr="00BF2DC7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BF2DC7">
        <w:lastRenderedPageBreak/>
        <w:t xml:space="preserve">uchylające rozporządzenie (UE, </w:t>
      </w:r>
      <w:proofErr w:type="spellStart"/>
      <w:r w:rsidRPr="00BF2DC7">
        <w:t>Euratom</w:t>
      </w:r>
      <w:proofErr w:type="spellEnd"/>
      <w:r w:rsidRPr="00BF2DC7">
        <w:t>) nr 966/2012</w:t>
      </w:r>
      <w:r w:rsidRPr="00BF2DC7">
        <w:rPr>
          <w:rStyle w:val="FootnoteReference"/>
        </w:rPr>
        <w:footnoteReference w:id="3"/>
      </w:r>
      <w:r w:rsidRPr="00BF2DC7">
        <w:t>, w szczególności jego art. 70,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rozporządzenie (WE) nr 178/2002 Parlamentu Europejskiego i Rady z dnia 28 stycznia 2002 r. ustanawiające ogólne zasady i wymagania prawa żywnościowego, powołujące Europejski Urząd ds. Bezpieczeństwa Żywności oraz ustanawiające procedury w zakresie bezpieczeństwa żywności</w:t>
      </w:r>
      <w:r w:rsidRPr="00BF2DC7">
        <w:rPr>
          <w:rStyle w:val="FootnoteReference"/>
        </w:rPr>
        <w:footnoteReference w:id="4"/>
      </w:r>
      <w:r w:rsidRPr="00BF2DC7">
        <w:t>, w szczególności jego art. 44,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BF2DC7">
        <w:t>Euratom</w:t>
      </w:r>
      <w:proofErr w:type="spellEnd"/>
      <w:r w:rsidRPr="00BF2DC7">
        <w:t xml:space="preserve">, o których mowa w art. 70 rozporządzenia Parlamentu Europejskiego i Rady (UE, </w:t>
      </w:r>
      <w:proofErr w:type="spellStart"/>
      <w:r w:rsidRPr="00BF2DC7">
        <w:t>Euratom</w:t>
      </w:r>
      <w:proofErr w:type="spellEnd"/>
      <w:r w:rsidRPr="00BF2DC7">
        <w:t>) 2018/1046</w:t>
      </w:r>
      <w:r w:rsidRPr="00BF2DC7">
        <w:rPr>
          <w:rStyle w:val="FootnoteReference"/>
        </w:rPr>
        <w:footnoteReference w:id="5"/>
      </w:r>
      <w:r w:rsidRPr="00BF2DC7">
        <w:t>, w szczególności jego art. 105,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art. 100 Regulaminu i załącznik V do Regulaminu,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opinię przedstawioną przez Komisję Ochrony Środowiska Naturalnego, Zdrowia Publicznego i Bezpieczeństwa Żywności,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sprawozdanie Komisji Kontroli Budżetowej (A9-0129/2024),</w:t>
      </w:r>
    </w:p>
    <w:p w:rsidR="00224C1B" w:rsidRPr="00BF2DC7" w:rsidRDefault="00224C1B" w:rsidP="00224C1B">
      <w:pPr>
        <w:pStyle w:val="NormalHanging12a"/>
      </w:pPr>
      <w:r w:rsidRPr="00BF2DC7">
        <w:t>1.</w:t>
      </w:r>
      <w:r w:rsidRPr="00BF2DC7">
        <w:tab/>
      </w:r>
      <w:proofErr w:type="gramStart"/>
      <w:r w:rsidRPr="00BF2DC7">
        <w:t>udziela</w:t>
      </w:r>
      <w:proofErr w:type="gramEnd"/>
      <w:r w:rsidRPr="00BF2DC7">
        <w:t xml:space="preserve"> dyrektorowi wykonawczemu Europejskiego Urzędu ds. Bezpieczeństwa Żywności absolutorium z wykonania budżetu Urzędu za rok budżetowy 2022;</w:t>
      </w:r>
    </w:p>
    <w:p w:rsidR="00224C1B" w:rsidRPr="00BF2DC7" w:rsidRDefault="00224C1B" w:rsidP="00224C1B">
      <w:pPr>
        <w:pStyle w:val="NormalHanging12a"/>
      </w:pPr>
      <w:r w:rsidRPr="00BF2DC7">
        <w:t>2.</w:t>
      </w:r>
      <w:r w:rsidRPr="00BF2DC7">
        <w:tab/>
      </w:r>
      <w:proofErr w:type="gramStart"/>
      <w:r w:rsidRPr="00BF2DC7">
        <w:t>przedstawia</w:t>
      </w:r>
      <w:proofErr w:type="gramEnd"/>
      <w:r w:rsidRPr="00BF2DC7">
        <w:t xml:space="preserve"> swoje uwagi w poniższej rezolucji;</w:t>
      </w:r>
    </w:p>
    <w:p w:rsidR="00224C1B" w:rsidRPr="00BF2DC7" w:rsidRDefault="00224C1B" w:rsidP="00224C1B">
      <w:pPr>
        <w:pStyle w:val="NormalHanging12a"/>
      </w:pPr>
      <w:r w:rsidRPr="00BF2DC7">
        <w:t>3.</w:t>
      </w:r>
      <w:r w:rsidRPr="00BF2DC7">
        <w:tab/>
      </w:r>
      <w:proofErr w:type="gramStart"/>
      <w:r w:rsidRPr="00BF2DC7">
        <w:t>zobowiązuje</w:t>
      </w:r>
      <w:proofErr w:type="gramEnd"/>
      <w:r w:rsidRPr="00BF2DC7">
        <w:t xml:space="preserve"> swoją przewodniczącą do przekazania niniejszej decyzji wraz z rezolucją, która stanowi jej integralną część, dyrektorowi wykonawczemu Europejskiego Urzędu ds. Bezpieczeństwa Żywności, Radzie, Komisji i Trybunałowi Obrachunkowemu oraz do zarządzenia jej publikacji w </w:t>
      </w:r>
      <w:r w:rsidRPr="00BF2DC7">
        <w:rPr>
          <w:i/>
        </w:rPr>
        <w:t>Dzienniku Urzędowym Unii Europejskiej</w:t>
      </w:r>
      <w:r w:rsidRPr="00BF2DC7">
        <w:t xml:space="preserve"> (seria L).</w:t>
      </w:r>
    </w:p>
    <w:p w:rsidR="00224C1B" w:rsidRPr="00BF2DC7" w:rsidRDefault="00224C1B" w:rsidP="00224C1B"/>
    <w:p w:rsidR="00224C1B" w:rsidRPr="00BF2DC7" w:rsidRDefault="00224C1B" w:rsidP="00224C1B">
      <w:pPr>
        <w:widowControl/>
        <w:rPr>
          <w:rFonts w:ascii="Arial" w:hAnsi="Arial" w:cs="Arial"/>
          <w:b/>
        </w:rPr>
        <w:sectPr w:rsidR="00224C1B" w:rsidRPr="00BF2DC7" w:rsidSect="00BF2D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224C1B" w:rsidRPr="00BF2DC7" w:rsidRDefault="00224C1B" w:rsidP="00D82F48">
      <w:pPr>
        <w:pStyle w:val="ATHeading3"/>
      </w:pPr>
      <w:bookmarkStart w:id="7" w:name="_Toc146807918"/>
      <w:bookmarkStart w:id="8" w:name="_Toc161992220"/>
      <w:r w:rsidRPr="00BF2DC7">
        <w:lastRenderedPageBreak/>
        <w:t xml:space="preserve">2. </w:t>
      </w:r>
      <w:r w:rsidR="00D82F48">
        <w:t>Decyzja</w:t>
      </w:r>
      <w:r w:rsidR="00D82F48" w:rsidRPr="00BF2DC7">
        <w:t xml:space="preserve"> Parlamentu Europejskiego</w:t>
      </w:r>
      <w:bookmarkEnd w:id="7"/>
      <w:bookmarkEnd w:id="8"/>
      <w:r w:rsidR="00D82F48">
        <w:t xml:space="preserve"> </w:t>
      </w:r>
      <w:r w:rsidR="00D82F48" w:rsidRPr="00BF2DC7">
        <w:t xml:space="preserve">z dnia </w:t>
      </w:r>
      <w:r w:rsidR="00D82F48">
        <w:t>11 kwietnia</w:t>
      </w:r>
      <w:r w:rsidR="00D82F48" w:rsidRPr="00BF2DC7">
        <w:t xml:space="preserve"> 2024 r. </w:t>
      </w:r>
      <w:r w:rsidRPr="00BF2DC7">
        <w:t>w sprawie zamknięcia ksiąg dochodów i wydatków Europejskiego Urzędu ds. Bezpieczeństwa Żywności za rok budżetowy 2022</w:t>
      </w:r>
      <w:r w:rsidR="00D82F48">
        <w:t xml:space="preserve"> </w:t>
      </w:r>
      <w:r w:rsidRPr="00BF2DC7">
        <w:t>(2023/2151(DEC))</w:t>
      </w:r>
    </w:p>
    <w:p w:rsidR="00224C1B" w:rsidRPr="00BF2DC7" w:rsidRDefault="00224C1B" w:rsidP="00224C1B">
      <w:pPr>
        <w:pStyle w:val="EPComma"/>
      </w:pPr>
      <w:r w:rsidRPr="00BF2DC7">
        <w:rPr>
          <w:i/>
        </w:rPr>
        <w:t>Parlament Europejski</w:t>
      </w:r>
      <w:r w:rsidRPr="00BF2DC7">
        <w:t>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końcowe roczne sprawozdanie finansowe Europejskiego Urzędu ds. Bezpieczeństwa Żywności za rok budżetowy 2022,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sprawozdanie roczne Trybunału Obrachunkowego dotyczące agencji UE za rok budżetowy 2022 wraz z odpowiedziami agencji</w:t>
      </w:r>
      <w:r w:rsidRPr="00BF2DC7">
        <w:rPr>
          <w:rStyle w:val="FootnoteReference"/>
        </w:rPr>
        <w:footnoteReference w:id="6"/>
      </w:r>
      <w:r w:rsidRPr="00BF2DC7">
        <w:t>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poświadczenie wiarygodności</w:t>
      </w:r>
      <w:r w:rsidRPr="00BF2DC7">
        <w:rPr>
          <w:rStyle w:val="FootnoteReference"/>
        </w:rPr>
        <w:footnoteReference w:id="7"/>
      </w:r>
      <w:r w:rsidRPr="00BF2DC7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zalecenie Rady z dnia 22 lutego 2024 r. w sprawie udzielenia Urzędowi absolutorium z wykonania budż</w:t>
      </w:r>
      <w:r w:rsidR="00B72A46">
        <w:t>etu za rok budżetowy 2022 (06180/2024 – C9</w:t>
      </w:r>
      <w:r w:rsidR="00B72A46">
        <w:noBreakHyphen/>
        <w:t>0089</w:t>
      </w:r>
      <w:r w:rsidRPr="00BF2DC7">
        <w:t>/2024),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art. 319 Traktatu o funkcjonowaniu Unii Europejskiej,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 xml:space="preserve">uwzględniając rozporządzenie Parlamentu Europejskiego i Rady (UE, </w:t>
      </w:r>
      <w:proofErr w:type="spellStart"/>
      <w:r w:rsidRPr="00BF2DC7">
        <w:t>Euratom</w:t>
      </w:r>
      <w:proofErr w:type="spellEnd"/>
      <w:r w:rsidRPr="00BF2DC7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BF2DC7">
        <w:t>Euratom</w:t>
      </w:r>
      <w:proofErr w:type="spellEnd"/>
      <w:r w:rsidRPr="00BF2DC7">
        <w:t>) nr 966/2012</w:t>
      </w:r>
      <w:r w:rsidRPr="00BF2DC7">
        <w:rPr>
          <w:rStyle w:val="FootnoteReference"/>
        </w:rPr>
        <w:footnoteReference w:id="8"/>
      </w:r>
      <w:r w:rsidRPr="00BF2DC7">
        <w:t>, w szczególności jego art. 70,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rozporządzenie (WE) nr 178/2002 Parlamentu Europejskiego i Rady z dnia 28 stycznia 2002 r. ustanawiające ogólne zasady i wymagania prawa żywnościowego, powołujące Europejski Urząd ds. Bezpieczeństwa Żywności oraz ustanawiające procedury w zakresie bezpieczeństwa żywności</w:t>
      </w:r>
      <w:r w:rsidRPr="00BF2DC7">
        <w:rPr>
          <w:rStyle w:val="FootnoteReference"/>
        </w:rPr>
        <w:footnoteReference w:id="9"/>
      </w:r>
      <w:r w:rsidRPr="00BF2DC7">
        <w:t>, w szczególności jego art. 44,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BF2DC7">
        <w:t>Euratom</w:t>
      </w:r>
      <w:proofErr w:type="spellEnd"/>
      <w:r w:rsidRPr="00BF2DC7">
        <w:t xml:space="preserve">, o których mowa w art. 70 rozporządzenia Parlamentu Europejskiego i Rady (UE, </w:t>
      </w:r>
      <w:proofErr w:type="spellStart"/>
      <w:r w:rsidRPr="00BF2DC7">
        <w:t>Euratom</w:t>
      </w:r>
      <w:proofErr w:type="spellEnd"/>
      <w:r w:rsidRPr="00BF2DC7">
        <w:t>) 2018/1046</w:t>
      </w:r>
      <w:r w:rsidRPr="00BF2DC7">
        <w:rPr>
          <w:rStyle w:val="FootnoteReference"/>
        </w:rPr>
        <w:footnoteReference w:id="10"/>
      </w:r>
      <w:r w:rsidRPr="00BF2DC7">
        <w:t>, w szczególności jego art. 105,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art. 100 Regulaminu i załącznik V do Regulaminu,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 xml:space="preserve">uwzględniając opinię przedstawioną przez Komisję Ochrony Środowiska Naturalnego, </w:t>
      </w:r>
      <w:r w:rsidRPr="00BF2DC7">
        <w:lastRenderedPageBreak/>
        <w:t>Zdrowia Publicznego i Bezpieczeństwa Żywności,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sprawozdanie Komisji Kontroli Budżetowej (A9-0129/2024),</w:t>
      </w:r>
    </w:p>
    <w:p w:rsidR="00224C1B" w:rsidRPr="00BF2DC7" w:rsidRDefault="00224C1B" w:rsidP="00224C1B">
      <w:pPr>
        <w:pStyle w:val="NormalHanging12a"/>
      </w:pPr>
      <w:r w:rsidRPr="00BF2DC7">
        <w:t>1.</w:t>
      </w:r>
      <w:r w:rsidRPr="00BF2DC7">
        <w:tab/>
      </w:r>
      <w:proofErr w:type="gramStart"/>
      <w:r w:rsidRPr="00BF2DC7">
        <w:t>zatwierdza</w:t>
      </w:r>
      <w:proofErr w:type="gramEnd"/>
      <w:r w:rsidRPr="00BF2DC7">
        <w:t xml:space="preserve"> zamknięcie ksiąg dochodów i wydatków Europejskiego Urzędu ds. Bezpieczeństwa Żywności za rok budżetowy 2022;</w:t>
      </w:r>
    </w:p>
    <w:p w:rsidR="00224C1B" w:rsidRPr="00BF2DC7" w:rsidRDefault="00224C1B" w:rsidP="00224C1B">
      <w:pPr>
        <w:pStyle w:val="NormalHanging12a"/>
      </w:pPr>
      <w:r w:rsidRPr="00BF2DC7">
        <w:t>2.</w:t>
      </w:r>
      <w:r w:rsidRPr="00BF2DC7">
        <w:tab/>
      </w:r>
      <w:proofErr w:type="gramStart"/>
      <w:r w:rsidRPr="00BF2DC7">
        <w:t>zobowiązuje</w:t>
      </w:r>
      <w:proofErr w:type="gramEnd"/>
      <w:r w:rsidRPr="00BF2DC7">
        <w:t xml:space="preserve"> swoją przewodniczącą do przekazania niniejszej decyzji dyrektorowi wykonawczemu Europejskiego Urzędu ds. Bezpieczeństwa Żywności, Radzie, Komisji i Trybunałowi Obrachunkowemu oraz do zarządzenia jej publikacji w </w:t>
      </w:r>
      <w:r w:rsidRPr="00BF2DC7">
        <w:rPr>
          <w:i/>
        </w:rPr>
        <w:t>Dzienniku Urzędowym Unii Europejskiej</w:t>
      </w:r>
      <w:r w:rsidRPr="00BF2DC7">
        <w:t xml:space="preserve"> (seria L).</w:t>
      </w:r>
    </w:p>
    <w:p w:rsidR="00224C1B" w:rsidRPr="00BF2DC7" w:rsidRDefault="00224C1B" w:rsidP="00224C1B"/>
    <w:p w:rsidR="00224C1B" w:rsidRPr="00BF2DC7" w:rsidRDefault="00224C1B" w:rsidP="00224C1B">
      <w:pPr>
        <w:widowControl/>
        <w:rPr>
          <w:rFonts w:ascii="Arial" w:hAnsi="Arial" w:cs="Arial"/>
          <w:b/>
        </w:rPr>
        <w:sectPr w:rsidR="00224C1B" w:rsidRPr="00BF2DC7" w:rsidSect="00BF2DC7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224C1B" w:rsidRPr="00BF2DC7" w:rsidRDefault="00224C1B" w:rsidP="00D82F48">
      <w:pPr>
        <w:pStyle w:val="ATHeading3"/>
      </w:pPr>
      <w:bookmarkStart w:id="9" w:name="_Toc146807919"/>
      <w:bookmarkStart w:id="10" w:name="_Toc161992221"/>
      <w:r w:rsidRPr="00BF2DC7">
        <w:lastRenderedPageBreak/>
        <w:t xml:space="preserve">3. </w:t>
      </w:r>
      <w:r w:rsidR="00D82F48">
        <w:t>Rezolucja</w:t>
      </w:r>
      <w:r w:rsidR="00D82F48" w:rsidRPr="00BF2DC7">
        <w:t xml:space="preserve"> Parlamentu Europejskiego</w:t>
      </w:r>
      <w:bookmarkEnd w:id="9"/>
      <w:bookmarkEnd w:id="10"/>
      <w:r w:rsidR="00D82F48">
        <w:t xml:space="preserve"> </w:t>
      </w:r>
      <w:r w:rsidR="00D82F48" w:rsidRPr="00BF2DC7">
        <w:t xml:space="preserve">z dnia </w:t>
      </w:r>
      <w:r w:rsidR="00D82F48">
        <w:t>11 kwietnia</w:t>
      </w:r>
      <w:r w:rsidR="00D82F48" w:rsidRPr="00BF2DC7">
        <w:t xml:space="preserve"> 2024 r. </w:t>
      </w:r>
      <w:r w:rsidR="00D82F48">
        <w:t>zawierająca</w:t>
      </w:r>
      <w:r w:rsidRPr="00BF2DC7">
        <w:t xml:space="preserve"> uwagi stanowiące integralną część decyzji w sprawie absolutorium z wykonania budżetu Europejskiego Urzędu ds. Bezpieczeństwa Żywności za rok budżetowy 2022</w:t>
      </w:r>
      <w:r w:rsidR="00D82F48">
        <w:t xml:space="preserve"> </w:t>
      </w:r>
      <w:r w:rsidRPr="00BF2DC7">
        <w:t>(2023/2151(DEC))</w:t>
      </w:r>
    </w:p>
    <w:p w:rsidR="00224C1B" w:rsidRPr="00BF2DC7" w:rsidRDefault="00224C1B" w:rsidP="00224C1B">
      <w:pPr>
        <w:pStyle w:val="EPComma"/>
      </w:pPr>
      <w:r w:rsidRPr="00BF2DC7">
        <w:rPr>
          <w:i/>
        </w:rPr>
        <w:t>Parlament Europejski</w:t>
      </w:r>
      <w:r w:rsidRPr="00BF2DC7">
        <w:t>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swoją decyzję w sprawie absolutorium z wykonania budżetu Europejskiego Urzędu ds. Bezpieczeństwa Żywności za rok budżetowy 2022,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art. 100 Regulaminu i załącznik V do Regulaminu,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opinię przedstawioną przez Komisję Ochrony Środowiska Naturalnego, Zdrowia Publicznego i Bezpieczeństwa Żywności,</w:t>
      </w:r>
    </w:p>
    <w:p w:rsidR="00224C1B" w:rsidRPr="00BF2DC7" w:rsidRDefault="00224C1B" w:rsidP="00224C1B">
      <w:pPr>
        <w:pStyle w:val="NormalHanging12a"/>
      </w:pPr>
      <w:r w:rsidRPr="00BF2DC7">
        <w:t>–</w:t>
      </w:r>
      <w:r w:rsidRPr="00BF2DC7">
        <w:tab/>
        <w:t>uwzględniając sprawozdanie Komisji Kontroli Budżetowej (A9-0129/2024),</w:t>
      </w:r>
    </w:p>
    <w:p w:rsidR="00224C1B" w:rsidRPr="00BF2DC7" w:rsidRDefault="00224C1B" w:rsidP="00224C1B">
      <w:pPr>
        <w:autoSpaceDE w:val="0"/>
        <w:autoSpaceDN w:val="0"/>
        <w:adjustRightInd w:val="0"/>
        <w:spacing w:after="240"/>
        <w:ind w:left="567" w:hanging="567"/>
        <w:rPr>
          <w:rFonts w:eastAsia="Calibri"/>
          <w:szCs w:val="24"/>
        </w:rPr>
      </w:pPr>
      <w:r w:rsidRPr="00BF2DC7">
        <w:t>A.</w:t>
      </w:r>
      <w:r w:rsidRPr="00BF2DC7">
        <w:tab/>
      </w:r>
      <w:proofErr w:type="gramStart"/>
      <w:r w:rsidRPr="00BF2DC7">
        <w:t>mając</w:t>
      </w:r>
      <w:proofErr w:type="gramEnd"/>
      <w:r w:rsidRPr="00BF2DC7">
        <w:t xml:space="preserve"> na uwadze, że zgodnie z zestawieniem dochodów i wydatków</w:t>
      </w:r>
      <w:r w:rsidRPr="00BF2DC7">
        <w:rPr>
          <w:rFonts w:eastAsia="Calibri"/>
          <w:szCs w:val="24"/>
          <w:vertAlign w:val="superscript"/>
        </w:rPr>
        <w:footnoteReference w:id="11"/>
      </w:r>
      <w:r w:rsidRPr="00BF2DC7">
        <w:t xml:space="preserve"> Europejskiego Urzędu ds. Bezpieczeństwa Żywności („Urząd”) jego ostateczny budżet na rok budżetowy 2022 wyniósł 149 841 816,93 EUR, co stanowi wzrost o 15,99 % w porównaniu z 2021 r.; mając na uwadze, że budżet Urzędu pochodzi głównie z budżetu Unii;</w:t>
      </w:r>
    </w:p>
    <w:p w:rsidR="00224C1B" w:rsidRPr="00BF2DC7" w:rsidRDefault="00224C1B" w:rsidP="00224C1B">
      <w:pPr>
        <w:spacing w:after="240"/>
        <w:ind w:left="567" w:hanging="567"/>
        <w:rPr>
          <w:szCs w:val="24"/>
        </w:rPr>
      </w:pPr>
      <w:r w:rsidRPr="00BF2DC7">
        <w:t>B.</w:t>
      </w:r>
      <w:r w:rsidRPr="00BF2DC7">
        <w:tab/>
        <w:t>mając na uwadze, że Trybunał Obrachunkowy („Trybunał”) w sprawozdaniu dotyczącym rocznego sprawozdania finansowego Urzędu za rok budżetowy 2022 („sprawozdanie Trybunału”) stwierdza, że uzyskał wystarczającą pewność, że roczne sprawozdanie finansowe Urzędu jest wiarygodne oraz że transakcje leżące u jego podstaw są legalne i prawidłowe;</w:t>
      </w:r>
    </w:p>
    <w:p w:rsidR="00224C1B" w:rsidRPr="00BF2DC7" w:rsidRDefault="00224C1B" w:rsidP="00224C1B">
      <w:pPr>
        <w:widowControl/>
        <w:spacing w:after="240"/>
        <w:ind w:left="567" w:hanging="567"/>
        <w:rPr>
          <w:szCs w:val="24"/>
        </w:rPr>
      </w:pPr>
      <w:r w:rsidRPr="00BF2DC7">
        <w:t>C.</w:t>
      </w:r>
      <w:r w:rsidRPr="00BF2DC7">
        <w:tab/>
      </w:r>
      <w:proofErr w:type="gramStart"/>
      <w:r w:rsidRPr="00BF2DC7">
        <w:t>mając</w:t>
      </w:r>
      <w:proofErr w:type="gramEnd"/>
      <w:r w:rsidRPr="00BF2DC7">
        <w:t xml:space="preserve"> na uwadze, że nie zgłoszono żadnych problemów wymagających działań naprawczych w odniesieniu do zamówień publicznych Urzędu w 2022 r. oraz że nie są </w:t>
      </w:r>
      <w:r w:rsidR="00D82F48" w:rsidRPr="00BF2DC7">
        <w:t xml:space="preserve">REALIZOWANE </w:t>
      </w:r>
      <w:r w:rsidRPr="00BF2DC7">
        <w:t>ani nie oczekują na realizację żadne działania naprawcze, które wynikałyby z audytów i ocen dotyczących lat poprzednich;</w:t>
      </w:r>
    </w:p>
    <w:p w:rsidR="00224C1B" w:rsidRPr="00BF2DC7" w:rsidRDefault="00224C1B" w:rsidP="00224C1B">
      <w:pPr>
        <w:widowControl/>
        <w:spacing w:after="240"/>
        <w:ind w:left="567" w:hanging="567"/>
        <w:rPr>
          <w:szCs w:val="24"/>
        </w:rPr>
      </w:pPr>
      <w:r w:rsidRPr="00BF2DC7">
        <w:t>D.</w:t>
      </w:r>
      <w:r w:rsidRPr="00BF2DC7">
        <w:tab/>
      </w:r>
      <w:proofErr w:type="gramStart"/>
      <w:r w:rsidRPr="00BF2DC7">
        <w:t>mając</w:t>
      </w:r>
      <w:proofErr w:type="gramEnd"/>
      <w:r w:rsidRPr="00BF2DC7">
        <w:t xml:space="preserve"> na uwadze, że nie zgłoszono żadnych problemów wymagających działań naprawczych w odniesieniu do systemów kontroli wewnętrznej Agencji w 2022 r. oraz że nie są realizowane ani nie oczekują na realizację żadne działania naprawcze, które wynikałyby z audytów i ocen dotyczących lat poprzednich;</w:t>
      </w:r>
    </w:p>
    <w:p w:rsidR="00224C1B" w:rsidRPr="00BF2DC7" w:rsidRDefault="00224C1B" w:rsidP="00224C1B">
      <w:pPr>
        <w:spacing w:after="240"/>
        <w:ind w:left="567" w:hanging="567"/>
        <w:rPr>
          <w:b/>
          <w:i/>
          <w:szCs w:val="24"/>
        </w:rPr>
      </w:pPr>
      <w:r w:rsidRPr="00BF2DC7">
        <w:rPr>
          <w:b/>
          <w:i/>
        </w:rPr>
        <w:t>Zarządzanie budżetem i finansami</w:t>
      </w:r>
    </w:p>
    <w:p w:rsidR="00224C1B" w:rsidRPr="00BF2DC7" w:rsidRDefault="00224C1B" w:rsidP="00224C1B">
      <w:pPr>
        <w:spacing w:after="240"/>
        <w:ind w:left="567" w:hanging="567"/>
        <w:rPr>
          <w:szCs w:val="24"/>
        </w:rPr>
      </w:pPr>
      <w:r w:rsidRPr="00BF2DC7">
        <w:t>1.</w:t>
      </w:r>
      <w:r w:rsidRPr="00BF2DC7">
        <w:tab/>
      </w:r>
      <w:proofErr w:type="gramStart"/>
      <w:r w:rsidRPr="00BF2DC7">
        <w:t>zauważa</w:t>
      </w:r>
      <w:proofErr w:type="gramEnd"/>
      <w:r w:rsidRPr="00BF2DC7">
        <w:t xml:space="preserve"> z uznaniem, że wysiłki związane z monitorowaniem budżetu w roku budżetowym 2022 doprowadziły do osiągnięcia wskaźnika wykonania w odniesieniu do środków na zobowiązania na bieżący rok w wysokości 99,95 %, co oznacza nieznaczny spadek o 0,04 % w porównaniu z 2021 r.; zwraca ponadto uwagę, że wskaźnik wykonania w odniesieniu do środków na płatności na omawiany rok wyniósł 89,77 %, co oznacza wzrost o 0,92 % w porównaniu z 2021 r.;</w:t>
      </w:r>
    </w:p>
    <w:p w:rsidR="00224C1B" w:rsidRPr="00BF2DC7" w:rsidRDefault="00224C1B" w:rsidP="00224C1B">
      <w:pPr>
        <w:pStyle w:val="NormalHanging12a"/>
      </w:pPr>
      <w:r w:rsidRPr="00BF2DC7">
        <w:t>2.</w:t>
      </w:r>
      <w:r w:rsidRPr="00BF2DC7">
        <w:tab/>
      </w:r>
      <w:proofErr w:type="gramStart"/>
      <w:r w:rsidRPr="00BF2DC7">
        <w:t>zauważa</w:t>
      </w:r>
      <w:proofErr w:type="gramEnd"/>
      <w:r w:rsidRPr="00BF2DC7">
        <w:t xml:space="preserve">, że brak zasobów i stanowisk dla organów regulacyjnych ds. środków ochrony </w:t>
      </w:r>
      <w:r w:rsidRPr="00BF2DC7">
        <w:lastRenderedPageBreak/>
        <w:t>roślin powoduje opóźnienia w zatwierdzaniu substancji czynnych niskiego ryzyka i aktualizacji metod oceny zgodnie z postępem naukowym, co w perspektywie długoterminowej zmniejszyłoby wpływ środków ochrony roślin na środowisko; wzywa Komisję do podjęcia odpowiednich kroków w celu dopilnowania, aby Urząd dysponował wystarczającymi zasobami i stanowiskami, aby wesprzeć państwa członkowskie w dotrzymywaniu terminów określonych w rozporządzeniu (WE) nr 1107/2009, podwojeniu rocznej liczby ocen substancji czynnych do środków ochrony roślin oraz potrojeniu tempa opracowywania metod w celu dostosowania ocen ryzyka do najnowszych osiągnięć naukowych i oczekiwań społecznych;</w:t>
      </w:r>
    </w:p>
    <w:p w:rsidR="00224C1B" w:rsidRPr="00BF2DC7" w:rsidRDefault="00224C1B" w:rsidP="00224C1B">
      <w:pPr>
        <w:spacing w:after="240"/>
        <w:ind w:left="567" w:hanging="567"/>
        <w:rPr>
          <w:b/>
          <w:i/>
          <w:szCs w:val="24"/>
        </w:rPr>
      </w:pPr>
      <w:r w:rsidRPr="00BF2DC7">
        <w:rPr>
          <w:b/>
          <w:i/>
        </w:rPr>
        <w:t>Wyniki</w:t>
      </w:r>
    </w:p>
    <w:p w:rsidR="00224C1B" w:rsidRPr="00BF2DC7" w:rsidRDefault="00224C1B" w:rsidP="00224C1B">
      <w:pPr>
        <w:pStyle w:val="NormalHanging12a"/>
      </w:pPr>
      <w:r w:rsidRPr="00BF2DC7">
        <w:t>3.</w:t>
      </w:r>
      <w:r w:rsidRPr="00BF2DC7">
        <w:tab/>
      </w:r>
      <w:proofErr w:type="gramStart"/>
      <w:r w:rsidRPr="00BF2DC7">
        <w:t>z</w:t>
      </w:r>
      <w:proofErr w:type="gramEnd"/>
      <w:r w:rsidRPr="00BF2DC7">
        <w:t xml:space="preserve"> zadowoleniem stwierdza, że Urząd przyczynia się do poprawy bezpieczeństwa łańcucha pasz i żywności w Unii oraz podejmuje znaczne wysiłki, aby zapewnić unijnym podmiotom zarządzającym ryzykiem kompleksowe, niezależne i aktualne doradztwo naukowe w kwestiach związanych z łańcuchem żywnościowym, jasno informować opinię publiczną o wynikach swojej działalności i informacjach stanowiących ich podstawę, a także współpracować z zainteresowanymi stronami i partnerami instytucjonalnymi w celu promowania spójności i zaufania do systemu bezpieczeństwa żywności;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4.</w:t>
      </w:r>
      <w:r w:rsidRPr="00BF2DC7">
        <w:tab/>
      </w:r>
      <w:proofErr w:type="gramStart"/>
      <w:r w:rsidRPr="00BF2DC7">
        <w:t>zauważa</w:t>
      </w:r>
      <w:proofErr w:type="gramEnd"/>
      <w:r w:rsidRPr="00BF2DC7">
        <w:t xml:space="preserve"> z zadowoleniem, że Urząd wdrożył zintegrowane ramy wykonania łączące zasoby i działania z wynikami i oczekiwanymi rezultatami, uzupełnione zestawem kluczowych wskaźników skuteczności działania służących monitorowaniu i poprawie wyników; zauważa ponadto, że wyniki w stosunku do celów określonych w ramach wykonania wyniosły ogólnie 96 %; zauważa, że w odniesieniu do obszarów celów strategicznych nr 2 (zapewnienie gotowości na przyszłe potrzeby w zakresie analizy ryzyka) i nr 3 (wzmocnienie pozycji obywateli i zapewnienie sprawności organizacyjnej) stwierdzono ogólnie dobre wyniki, podczas gdy w przypadku obszaru celu strategicznego nr 1 (zapewnienie wiarygodnego doradztwa naukowego i informowanie o ryzyku „od pola do stołu”), na który w dużym stopniu wpłynęło </w:t>
      </w:r>
      <w:proofErr w:type="gramStart"/>
      <w:r w:rsidRPr="00BF2DC7">
        <w:t>wdrożenie</w:t>
      </w:r>
      <w:proofErr w:type="gramEnd"/>
      <w:r w:rsidRPr="00BF2DC7">
        <w:t xml:space="preserve"> nowych zasad i procedur na mocy rozporządzenia (UE) 2019/1381</w:t>
      </w:r>
      <w:r w:rsidRPr="00BF2DC7">
        <w:rPr>
          <w:rStyle w:val="FootnoteReference"/>
          <w:szCs w:val="24"/>
        </w:rPr>
        <w:footnoteReference w:id="12"/>
      </w:r>
      <w:r w:rsidRPr="00BF2DC7">
        <w:t>, zaobserwowano odejście od celu;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5.</w:t>
      </w:r>
      <w:r w:rsidRPr="00BF2DC7">
        <w:tab/>
      </w:r>
      <w:proofErr w:type="gramStart"/>
      <w:r w:rsidRPr="00BF2DC7">
        <w:t>podkreśla</w:t>
      </w:r>
      <w:proofErr w:type="gramEnd"/>
      <w:r w:rsidRPr="00BF2DC7">
        <w:t>, że Urząd sfinalizował 586 spośród docelowych 701 pytań naukowych dotyczących celu nr 1: zapewnienie wiarygodnego doradztwa naukowego i informowanie o ryzyku „od pola do stołu”; zauważa, że chociaż liczba zamkniętych pytań naukowych była niższa niż przewidywano, zasadniczo dorównała ona liczbie nowych pytań otrzymanych w ciągu roku, co sprawiło, że liczba otwartych pytań nie wzrosła;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6.</w:t>
      </w:r>
      <w:r w:rsidRPr="00BF2DC7">
        <w:tab/>
      </w:r>
      <w:proofErr w:type="gramStart"/>
      <w:r w:rsidRPr="00BF2DC7">
        <w:t>z</w:t>
      </w:r>
      <w:proofErr w:type="gramEnd"/>
      <w:r w:rsidRPr="00BF2DC7">
        <w:t xml:space="preserve"> zadowoleniem stwierdza, że w obszarze informowania o ustaleniach odnotowano bardzo pozytywne wyniki, a terminowość publikacji w Dzienniku Urzędu pozwoliła </w:t>
      </w:r>
      <w:r w:rsidRPr="00BF2DC7">
        <w:lastRenderedPageBreak/>
        <w:t>utrzymać pozytywne wyniki osiągnięte w ciągu ostatnich dwóch lat;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7.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rok 2022 był pierwszym rokiem wdrażania strategii na 2027 r.; strategia na 2027 r., która ma przekształcić strategię na 2020 r., koncentruje się na wdrożeniu rozporządzenia (UE) 2019/1381 (w perspektywie krótkoterminowej) i przygotowuje Urząd do zajęcia się nowymi zmieniającymi się strategiami politycznymi Unii (w perspektywie długoterminowej);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8.</w:t>
      </w:r>
      <w:r w:rsidRPr="00BF2DC7">
        <w:tab/>
      </w:r>
      <w:proofErr w:type="gramStart"/>
      <w:r w:rsidRPr="00BF2DC7">
        <w:t>z</w:t>
      </w:r>
      <w:proofErr w:type="gramEnd"/>
      <w:r w:rsidRPr="00BF2DC7">
        <w:t xml:space="preserve"> zadowoleniem przyjmuje zorganizowanie przez Urząd w czerwcu 2022 r. konferencji „Jedno – zdrowie, środowisko, społeczeństwo”, podczas której podkreślono związek między zdrowiem ludzi, zdrowiem zwierząt i zdrowiem środowiskowym oraz wprowadzono hasło „jedno zdrowie – jedno środowisko”;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9.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we współpracy z 18 państwami członkowskimi Urząd rozpoczął kampanię na temat afrykańskiego pomoru świń; zauważa ponadto, że Urząd przyczynił się do opracowania i wdrożenia strategii UE w zakresie chemikaliów;</w:t>
      </w:r>
    </w:p>
    <w:p w:rsidR="00224C1B" w:rsidRPr="00BF2DC7" w:rsidRDefault="00224C1B" w:rsidP="00224C1B">
      <w:pPr>
        <w:pStyle w:val="NormalHanging12a"/>
      </w:pPr>
      <w:r w:rsidRPr="00BF2DC7">
        <w:t>10.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zgodnie z zainicjowanym przez Urząd rocznym badaniem strategicznym, w którym zwrócono się do klientów, partnerów i zainteresowanych stron bezpośrednio lub pośrednio zaangażowanych w wydawanie opinii naukowych Urzędu o informacje zwrotne, należy bacznie przyjrzeć się zdolności Urzędu do terminowego udzielania porad;</w:t>
      </w:r>
    </w:p>
    <w:p w:rsidR="00224C1B" w:rsidRPr="00BF2DC7" w:rsidRDefault="00224C1B" w:rsidP="00224C1B">
      <w:pPr>
        <w:pStyle w:val="NormalHanging12a"/>
        <w:rPr>
          <w:b/>
          <w:i/>
          <w:szCs w:val="24"/>
        </w:rPr>
      </w:pPr>
      <w:r w:rsidRPr="00BF2DC7">
        <w:rPr>
          <w:b/>
          <w:i/>
        </w:rPr>
        <w:t>Wydajność i zyski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11.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Urząd współpracuje z Europejską Agencją Chemikaliów w odniesieniu do nowej strategii Unii w zakresie chemikaliów, a także z Europejskim Centrum ds. Zapobiegania i Kontroli Chorób w celu opracowania systemów gromadzenia i analizy sekwencjonowania genomu; zauważa ponadto, że Urząd dzieli się zasobami ludzkimi i badawczymi z pokrewnymi agencjami i ze Wspólnym Centrum Badawczym; podkreśla także horyzontalne korzyści płynące ze współpracy i dostosowania najlepszych praktyk;</w:t>
      </w:r>
    </w:p>
    <w:p w:rsidR="00224C1B" w:rsidRPr="00BF2DC7" w:rsidRDefault="00224C1B" w:rsidP="00224C1B">
      <w:pPr>
        <w:pStyle w:val="NormalHanging12a"/>
        <w:rPr>
          <w:szCs w:val="24"/>
        </w:rPr>
      </w:pPr>
      <w:r w:rsidRPr="00BF2DC7">
        <w:t>12.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w 2022 r. Urząd zintensyfikował wysiłki na rzecz konsolidacji wdrażania nowych procesów i narzędzi informatycznych, aby osiągnąć wysoki poziom efektywności i zmaksymalizować synergię z innymi agencjami; zauważa ponadto, że niektórych wyników Urzędu dotyczących wydajności i zysków w odniesieniu do narzędzi informatycznych przyjętych w latach 2020–2022 nie uwzględniono do końca 2023 r.;</w:t>
      </w:r>
    </w:p>
    <w:p w:rsidR="00224C1B" w:rsidRPr="00BF2DC7" w:rsidRDefault="00224C1B" w:rsidP="00224C1B">
      <w:pPr>
        <w:pStyle w:val="NormalHanging12a"/>
      </w:pPr>
      <w:r w:rsidRPr="00BF2DC7">
        <w:t>13.</w:t>
      </w:r>
      <w:r w:rsidRPr="00BF2DC7">
        <w:tab/>
      </w:r>
      <w:proofErr w:type="gramStart"/>
      <w:r w:rsidRPr="00BF2DC7">
        <w:t>z</w:t>
      </w:r>
      <w:proofErr w:type="gramEnd"/>
      <w:r w:rsidRPr="00BF2DC7">
        <w:t xml:space="preserve"> zadowoleniem przyjmuje zamiar Urzędu dotyczący wzmocnienia wspólnego zarządzania danymi z państwami członkowskimi i innymi agencjami w celu poprawy jakości i interoperacyjności danych (zgodnie z podejściem „Jedno zdrowie”);</w:t>
      </w:r>
    </w:p>
    <w:p w:rsidR="00224C1B" w:rsidRPr="00BF2DC7" w:rsidRDefault="00224C1B" w:rsidP="00224C1B">
      <w:pPr>
        <w:spacing w:after="240"/>
        <w:ind w:left="567" w:hanging="567"/>
        <w:rPr>
          <w:b/>
          <w:i/>
          <w:szCs w:val="24"/>
        </w:rPr>
      </w:pPr>
      <w:r w:rsidRPr="00BF2DC7">
        <w:rPr>
          <w:b/>
          <w:i/>
        </w:rPr>
        <w:t>Polityka kadrowa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14.</w:t>
      </w:r>
      <w:r w:rsidRPr="00BF2DC7">
        <w:tab/>
      </w:r>
      <w:proofErr w:type="gramStart"/>
      <w:r w:rsidRPr="00BF2DC7">
        <w:t>zauważa</w:t>
      </w:r>
      <w:proofErr w:type="gramEnd"/>
      <w:r w:rsidRPr="00BF2DC7">
        <w:t xml:space="preserve">, że 31 grudnia 2022 r. plan zatrudnienia zrealizowano w 95,55 %, przy czym powołano pięcioro urzędników i 382 pracowników na czas określony na 405 stanowisk zatwierdzonych w budżecie Unii (w porównaniu z 380 zatwierdzonymi stanowiskami w 2021 r.); zauważa ponadto, że w 2022 r. dla Urzędu pracowało 170 pracowników kontraktowych i 14 oddelegowanych ekspertów krajowych; zauważa także, że aby wdrożyć rozporządzenie (UE) 2019/1381, Urząd otrzymał 31 nowych stanowisk w </w:t>
      </w:r>
      <w:r w:rsidRPr="00BF2DC7">
        <w:lastRenderedPageBreak/>
        <w:t>2022 r. oraz 15 dodatkowych pracowników kontraktowych na lata 2022–2024;</w:t>
      </w:r>
    </w:p>
    <w:p w:rsidR="00224C1B" w:rsidRPr="00BF2DC7" w:rsidRDefault="00224C1B" w:rsidP="00224C1B">
      <w:pPr>
        <w:widowControl/>
        <w:spacing w:after="240"/>
        <w:ind w:left="567" w:hanging="567"/>
        <w:rPr>
          <w:szCs w:val="24"/>
        </w:rPr>
      </w:pPr>
      <w:r w:rsidRPr="00BF2DC7">
        <w:t>15.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w 2022 r. osiągnięto równowagę płci wśród całego personelu Urzędu, przy czym 335 z 557 (60,1 %) wszystkich pracowników to kobiety, a w zarządzie Urzędu liczącym 70 członków zasiada 37 kobiet (52,9 %); zauważa, że mężczyźni zajmują więcej wyższych stanowisk i stanowisk kierowniczych (63 %) niż kobiety (37 %); wzywa Urząd do wzmożenia wysiłków na rzecz zniwelowania różnic w traktowaniu kobiet i mężczyzn na wyższych stanowiskach i stanowiskach kierowniczych;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16.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w 2022 r. Służba Medyczna zgłosiła trzy przypadki wypalenia zawodowego;</w:t>
      </w:r>
      <w:r w:rsidRPr="00BF2DC7">
        <w:rPr>
          <w:rFonts w:ascii="Segoe UI" w:hAnsi="Segoe UI"/>
          <w:color w:val="374151"/>
        </w:rPr>
        <w:t xml:space="preserve"> </w:t>
      </w:r>
      <w:r w:rsidRPr="00BF2DC7">
        <w:t>podkreśla kluczowe znaczenie utrzymania równowagi między obowiązkami zawodowymi a życiem prywatnym; wzywa Urząd do dalszego promowania zdrowej równowagi między życiem zawodowym a prywatnym wśród pracowników;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17.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Urząd jest zaangażowany w poszanowanie wartości sieci agencji UE i Karty na rzecz różnorodności i włączenia społecznego oraz pracuje nad jej jak najszybszym przyjęciem; odnotowuje ponadto udział Urzędu w grupie roboczej sieci agencji UE ds. różnorodności i włączenia, polegający na dzieleniu się synergiami, informacjami i zasobami dotyczącymi różnorodności i włączenia społecznego; ponadto wdrożono pewne inicjatywy wewnętrzne, takie jak nowa strona internetowa dotycząca kariery zawodowej i film wideo na temat pracy w Urzędzie, w którym poświęcono uwagę różnorodności i włączeniu społecznemu;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18.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Urząd przyjął wytyczne dotyczące wdrażania pomocy dla osób z niepełnosprawnościami, w których promuje politykę społeczną i równe traktowanie w miejscu pracy; zauważa ponadto, że budynek Urzędu zaprojektowano zgodnie z włoskimi rozporządzeniami w sprawie dostępności dla osób z niepełnosprawnościami;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19.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1 stycznia 2022 r. wdrożono nową strukturę organizacyjną, która ma wspierać wdrażanie rozporządzenia (UE) 2019/1381 i ambicje strategii Urzędu na 2027 r.;</w:t>
      </w:r>
    </w:p>
    <w:p w:rsidR="00224C1B" w:rsidRPr="00BF2DC7" w:rsidRDefault="00224C1B" w:rsidP="00224C1B">
      <w:pPr>
        <w:spacing w:after="240"/>
        <w:ind w:left="567" w:hanging="567"/>
        <w:rPr>
          <w:b/>
          <w:i/>
          <w:szCs w:val="24"/>
        </w:rPr>
      </w:pPr>
      <w:r w:rsidRPr="00BF2DC7">
        <w:rPr>
          <w:b/>
          <w:i/>
        </w:rPr>
        <w:t>Zapobieganie konfliktom interesów i zarządzanie nimi oraz przejrzystość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20.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zarząd i kierownictwo ds. operacyjnych Urzędu podpisały deklarację o konflikcie interesów, która została opublikowana i jest dostępna na stronie internetowej; zauważa ponadto, że życiorysy członków i zastępców członków zarządu miały zostać opublikowane do końca 2023 r.;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21.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w 2022 r. Urząd zidentyfikował siedem przypadków konfliktu interesów w odniesieniu do rocznych deklaracji interesów dotyczących ekspertów zewnętrznych i zajął się nimi; zauważa, że Urząd uniemożliwił tym osobom uczestnictwo w działalności naukowej;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22.</w:t>
      </w:r>
      <w:r w:rsidRPr="00BF2DC7">
        <w:tab/>
      </w:r>
      <w:proofErr w:type="gramStart"/>
      <w:r w:rsidRPr="00BF2DC7">
        <w:t>przyjmuje</w:t>
      </w:r>
      <w:proofErr w:type="gramEnd"/>
      <w:r w:rsidRPr="00BF2DC7">
        <w:t xml:space="preserve"> do wiadomości, że Urząd wprowadził dobrowolny kodeks postępowania, zgodnie z którym członkowie zarządu zobowiązują się do informowania Urzędu o działalności zawodowej prowadzonej w ciągu dwóch lat po zakończeniu kadencji;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23.</w:t>
      </w:r>
      <w:r w:rsidRPr="00BF2DC7">
        <w:tab/>
      </w:r>
      <w:proofErr w:type="gramStart"/>
      <w:r w:rsidRPr="00BF2DC7">
        <w:t>zauważa</w:t>
      </w:r>
      <w:proofErr w:type="gramEnd"/>
      <w:r w:rsidRPr="00BF2DC7">
        <w:t xml:space="preserve">, że do pierwszego kwartału 2024 r. Urząd planuje przyjąć nową standardową procedurę obowiązującą po okresie zatrudnienia, która obejmowałaby kryteria i procedurę zablokowania dostępu do informacji poufnych pracownikom odchodzącym </w:t>
      </w:r>
      <w:r w:rsidRPr="00BF2DC7">
        <w:lastRenderedPageBreak/>
        <w:t>ze służby, wymogi w zakresie monitorowania i wdrażania oraz standardy przejrzystości;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24.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Urząd wdrożył strategię zwalczania nadużyć finansowych, opracowaną w ścisłej współpracy z Europejskim Urzędem ds. Zwalczania Nadużyć Finansowych, wraz z powiązanymi przepisami wykonawczymi i planem działania na rzecz zapobiegania nadużyciom finansowym i korupcji;</w:t>
      </w:r>
    </w:p>
    <w:p w:rsidR="00224C1B" w:rsidRPr="00BF2DC7" w:rsidRDefault="00224C1B" w:rsidP="00224C1B">
      <w:pPr>
        <w:spacing w:after="240"/>
        <w:ind w:left="567" w:hanging="567"/>
        <w:rPr>
          <w:b/>
          <w:i/>
          <w:szCs w:val="24"/>
        </w:rPr>
      </w:pPr>
      <w:r w:rsidRPr="00BF2DC7">
        <w:rPr>
          <w:b/>
          <w:i/>
        </w:rPr>
        <w:t>Inne uwagi</w:t>
      </w:r>
    </w:p>
    <w:p w:rsidR="00224C1B" w:rsidRPr="00BF2DC7" w:rsidRDefault="00224C1B" w:rsidP="00224C1B">
      <w:pPr>
        <w:spacing w:after="240"/>
        <w:ind w:left="567" w:hanging="567"/>
        <w:rPr>
          <w:szCs w:val="24"/>
        </w:rPr>
      </w:pPr>
      <w:r w:rsidRPr="00BF2DC7">
        <w:t>25.</w:t>
      </w:r>
      <w:r w:rsidRPr="00BF2DC7">
        <w:tab/>
      </w:r>
      <w:proofErr w:type="gramStart"/>
      <w:r w:rsidRPr="00BF2DC7">
        <w:t>zauważa</w:t>
      </w:r>
      <w:proofErr w:type="gramEnd"/>
      <w:r w:rsidRPr="00BF2DC7">
        <w:t>, że w czerwcu 2022 r. Służba Audytu Wewnętrznego (IAS) opublikowała sprawozdanie z audytu dotyczące bezpieczeństwa informacji i przywracania gotowości do pracy po wystąpieniu sytuacji nadzwyczajnej w celu dokonania oceny adekwatności koncepcji i wdrożenia zarządzania oraz wskazała dwie uwagi i trzy ważne uwagi dotyczące zarządzania bezpieczeństwem IT; zauważa, że Urząd przyjął zalecenia IAS i obecnie wdraża plan działania;</w:t>
      </w:r>
    </w:p>
    <w:p w:rsidR="00224C1B" w:rsidRPr="00BF2DC7" w:rsidRDefault="00224C1B" w:rsidP="00224C1B">
      <w:pPr>
        <w:pStyle w:val="NormalHanging12a"/>
      </w:pPr>
      <w:r w:rsidRPr="00BF2DC7">
        <w:t>26.</w:t>
      </w:r>
      <w:r w:rsidRPr="00BF2DC7">
        <w:tab/>
      </w:r>
      <w:proofErr w:type="gramStart"/>
      <w:r w:rsidRPr="00BF2DC7">
        <w:t>z</w:t>
      </w:r>
      <w:proofErr w:type="gramEnd"/>
      <w:r w:rsidRPr="00BF2DC7">
        <w:t xml:space="preserve"> zadowoleniem przyjmuje wysiłki Urzędu na rzecz zwiększenia jego widoczności i obecności w </w:t>
      </w:r>
      <w:proofErr w:type="spellStart"/>
      <w:r w:rsidRPr="00BF2DC7">
        <w:t>internecie</w:t>
      </w:r>
      <w:proofErr w:type="spellEnd"/>
      <w:r w:rsidRPr="00BF2DC7">
        <w:t xml:space="preserve"> przez uruchomienie po raz drugi kampanii „#</w:t>
      </w:r>
      <w:proofErr w:type="spellStart"/>
      <w:r w:rsidRPr="00BF2DC7">
        <w:t>EUChooseSafeFood</w:t>
      </w:r>
      <w:proofErr w:type="spellEnd"/>
      <w:r w:rsidRPr="00BF2DC7">
        <w:t xml:space="preserve">”, realizowanej we współpracy z właściwymi organami państw członkowskich, w celu wyjaśnienia w przystępny sposób wiedzy naukowej leżącej u podstaw bezpieczeństwa żywności w Unii, a także organizację konferencji „Jedno – zdrowie, środowisko, społeczeństwo” we współpracy z pozostałymi czterema agencjami Komisji Ochrony Środowiska Naturalnego, Zdrowia Publicznego i Bezpieczeństwa Żywności, która doprowadziła do uruchomienia wspólnego kanału na Instagramie pod nazwą „Jedno zdrowie – jedno środowisko”; zauważa ponadto, że Urząd zainwestował w wielojęzyczność swojej strony internetowej, do czego wykorzystał sztuczną inteligencję za pośrednictwem </w:t>
      </w:r>
      <w:proofErr w:type="spellStart"/>
      <w:r w:rsidRPr="00BF2DC7">
        <w:t>widgetu</w:t>
      </w:r>
      <w:proofErr w:type="spellEnd"/>
      <w:r w:rsidRPr="00BF2DC7">
        <w:t xml:space="preserve"> </w:t>
      </w:r>
      <w:proofErr w:type="spellStart"/>
      <w:r w:rsidRPr="00BF2DC7">
        <w:t>eTranslation</w:t>
      </w:r>
      <w:proofErr w:type="spellEnd"/>
      <w:r w:rsidRPr="00BF2DC7">
        <w:t xml:space="preserve"> Komisji; zauważa także, że w 2022 r. Urząd nadal inwestował w rozwój portalu </w:t>
      </w:r>
      <w:proofErr w:type="spellStart"/>
      <w:r w:rsidRPr="00BF2DC7">
        <w:t>OpenEFSA</w:t>
      </w:r>
      <w:proofErr w:type="spellEnd"/>
      <w:r w:rsidRPr="00BF2DC7">
        <w:t xml:space="preserve"> zgodnie z wymogami rozporządzenia (UE) 2019/1381;</w:t>
      </w:r>
    </w:p>
    <w:p w:rsidR="00224C1B" w:rsidRPr="00BF2DC7" w:rsidRDefault="00224C1B" w:rsidP="00224C1B">
      <w:pPr>
        <w:spacing w:after="240"/>
        <w:ind w:left="567" w:hanging="567"/>
        <w:rPr>
          <w:rFonts w:eastAsia="Calibri"/>
          <w:szCs w:val="24"/>
        </w:rPr>
      </w:pPr>
      <w:r w:rsidRPr="00BF2DC7">
        <w:t>27.</w:t>
      </w:r>
      <w:r w:rsidRPr="00BF2DC7">
        <w:tab/>
      </w:r>
      <w:proofErr w:type="gramStart"/>
      <w:r w:rsidRPr="00BF2DC7">
        <w:t>z</w:t>
      </w:r>
      <w:proofErr w:type="gramEnd"/>
      <w:r w:rsidRPr="00BF2DC7">
        <w:t xml:space="preserve"> zadowoleniem przyjmuje fakt, że od kilku lat Urząd znajduje się wśród agencji mających certyfikat EMAS; zauważa, że w zależności od rodzaju zakupu Urząd przestrzega norm dotyczących zielonych zamówień publicznych jako minimalnych wymogów specyfikacji przetargowej w odniesieniu do kryteriów wyboru lub udzielania zamówień;</w:t>
      </w:r>
    </w:p>
    <w:p w:rsidR="00224C1B" w:rsidRPr="00BF2DC7" w:rsidRDefault="00224C1B" w:rsidP="00224C1B">
      <w:pPr>
        <w:spacing w:after="240"/>
        <w:jc w:val="center"/>
      </w:pPr>
      <w:r w:rsidRPr="00BF2DC7">
        <w:t>°</w:t>
      </w:r>
    </w:p>
    <w:p w:rsidR="00224C1B" w:rsidRPr="00BF2DC7" w:rsidRDefault="00224C1B" w:rsidP="00224C1B">
      <w:pPr>
        <w:pStyle w:val="NormalCenter12a"/>
      </w:pPr>
      <w:r w:rsidRPr="00BF2DC7">
        <w:t>°</w:t>
      </w:r>
      <w:r w:rsidRPr="00BF2DC7">
        <w:tab/>
        <w:t>°</w:t>
      </w:r>
    </w:p>
    <w:p w:rsidR="00224C1B" w:rsidRPr="00BF2DC7" w:rsidRDefault="00224C1B" w:rsidP="00224C1B">
      <w:pPr>
        <w:widowControl/>
        <w:spacing w:after="240"/>
        <w:ind w:left="567" w:hanging="567"/>
        <w:rPr>
          <w:szCs w:val="24"/>
        </w:rPr>
      </w:pPr>
      <w:r w:rsidRPr="00BF2DC7">
        <w:t>28.</w:t>
      </w:r>
      <w:r w:rsidRPr="00BF2DC7">
        <w:tab/>
      </w:r>
      <w:proofErr w:type="gramStart"/>
      <w:r w:rsidRPr="00BF2DC7">
        <w:t>w</w:t>
      </w:r>
      <w:proofErr w:type="gramEnd"/>
      <w:r w:rsidRPr="00BF2DC7">
        <w:t xml:space="preserve"> odniesieniu do innych uwag towarzyszących decyzji w sprawie absolutorium, które mają charakter przekrojowy, od</w:t>
      </w:r>
      <w:r w:rsidR="00B72A46">
        <w:t>syła do swojej rezolucji z dnia 11 kwietnia 2024 r.</w:t>
      </w:r>
      <w:r w:rsidRPr="00BF2DC7">
        <w:rPr>
          <w:rStyle w:val="FootnoteReference"/>
        </w:rPr>
        <w:footnoteReference w:id="13"/>
      </w:r>
      <w:r w:rsidRPr="00BF2DC7">
        <w:t xml:space="preserve"> w sprawie wyników, zarządzania finansami i kontroli agencji.</w:t>
      </w:r>
    </w:p>
    <w:p w:rsidR="00E365E1" w:rsidRPr="00BF2DC7" w:rsidRDefault="00E365E1" w:rsidP="003A148B">
      <w:bookmarkStart w:id="12" w:name="TextBodyEnd"/>
      <w:bookmarkEnd w:id="12"/>
    </w:p>
    <w:sectPr w:rsidR="00E365E1" w:rsidRPr="00BF2DC7" w:rsidSect="00BF2DC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48B" w:rsidRPr="00BF2DC7" w:rsidRDefault="003A148B">
      <w:r w:rsidRPr="00BF2DC7">
        <w:separator/>
      </w:r>
    </w:p>
  </w:endnote>
  <w:endnote w:type="continuationSeparator" w:id="0">
    <w:p w:rsidR="003A148B" w:rsidRPr="00BF2DC7" w:rsidRDefault="003A148B">
      <w:r w:rsidRPr="00BF2D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1B" w:rsidRPr="00BF2DC7" w:rsidRDefault="00224C1B" w:rsidP="005449A2">
    <w:pPr>
      <w:pStyle w:val="EPFooter"/>
    </w:pPr>
    <w:r w:rsidRPr="00BF2DC7">
      <w:t>PE</w:t>
    </w:r>
    <w:r w:rsidRPr="00BF2DC7">
      <w:rPr>
        <w:rStyle w:val="HideTWBExt"/>
      </w:rPr>
      <w:t>&lt;</w:t>
    </w:r>
    <w:proofErr w:type="spellStart"/>
    <w:r w:rsidRPr="00BF2DC7">
      <w:rPr>
        <w:rStyle w:val="HideTWBExt"/>
      </w:rPr>
      <w:t>NoPE</w:t>
    </w:r>
    <w:proofErr w:type="spellEnd"/>
    <w:r w:rsidRPr="00BF2DC7">
      <w:rPr>
        <w:rStyle w:val="HideTWBExt"/>
      </w:rPr>
      <w:t>&gt;</w:t>
    </w:r>
    <w:r w:rsidRPr="00BF2DC7">
      <w:t>753.519</w:t>
    </w:r>
    <w:r w:rsidRPr="00BF2DC7">
      <w:rPr>
        <w:rStyle w:val="HideTWBExt"/>
      </w:rPr>
      <w:t>&lt;/</w:t>
    </w:r>
    <w:proofErr w:type="spellStart"/>
    <w:r w:rsidRPr="00BF2DC7">
      <w:rPr>
        <w:rStyle w:val="HideTWBExt"/>
      </w:rPr>
      <w:t>NoPE</w:t>
    </w:r>
    <w:proofErr w:type="spellEnd"/>
    <w:r w:rsidRPr="00BF2DC7">
      <w:rPr>
        <w:rStyle w:val="HideTWBExt"/>
      </w:rPr>
      <w:t>&gt;&lt;Version&gt;</w:t>
    </w:r>
    <w:r w:rsidRPr="00BF2DC7">
      <w:t>v03-00</w:t>
    </w:r>
    <w:r w:rsidRPr="00BF2DC7">
      <w:rPr>
        <w:rStyle w:val="HideTWBExt"/>
      </w:rPr>
      <w:t>&lt;/Version&gt;</w:t>
    </w:r>
    <w:r w:rsidRPr="00BF2DC7">
      <w:tab/>
    </w:r>
    <w:r w:rsidRPr="00BF2DC7">
      <w:fldChar w:fldCharType="begin"/>
    </w:r>
    <w:r w:rsidRPr="00BF2DC7">
      <w:instrText xml:space="preserve"> PAGE  \* MERGEFORMAT </w:instrText>
    </w:r>
    <w:r w:rsidRPr="00BF2DC7">
      <w:fldChar w:fldCharType="separate"/>
    </w:r>
    <w:r w:rsidR="00BF2DC7" w:rsidRPr="00BF2DC7">
      <w:rPr>
        <w:noProof/>
      </w:rPr>
      <w:t>2</w:t>
    </w:r>
    <w:r w:rsidRPr="00BF2DC7">
      <w:fldChar w:fldCharType="end"/>
    </w:r>
    <w:r w:rsidRPr="00BF2DC7">
      <w:t>/</w:t>
    </w:r>
    <w:r w:rsidR="00547DFA">
      <w:fldChar w:fldCharType="begin"/>
    </w:r>
    <w:r w:rsidR="00547DFA">
      <w:instrText xml:space="preserve"> NUMPAGES  \* MERGEFORMAT </w:instrText>
    </w:r>
    <w:r w:rsidR="00547DFA">
      <w:fldChar w:fldCharType="separate"/>
    </w:r>
    <w:r w:rsidR="00BF2DC7" w:rsidRPr="00BF2DC7">
      <w:rPr>
        <w:noProof/>
      </w:rPr>
      <w:t>3</w:t>
    </w:r>
    <w:r w:rsidR="00547DFA">
      <w:rPr>
        <w:noProof/>
      </w:rPr>
      <w:fldChar w:fldCharType="end"/>
    </w:r>
    <w:r w:rsidRPr="00BF2DC7">
      <w:tab/>
    </w:r>
    <w:r w:rsidRPr="00BF2DC7">
      <w:rPr>
        <w:rStyle w:val="HideTWBExt"/>
      </w:rPr>
      <w:t>&lt;PathFdR&gt;</w:t>
    </w:r>
    <w:r w:rsidRPr="00BF2DC7">
      <w:t>RR\1299220PL.docx</w:t>
    </w:r>
    <w:r w:rsidRPr="00BF2DC7">
      <w:rPr>
        <w:rStyle w:val="HideTWBExt"/>
      </w:rPr>
      <w:t>&lt;/</w:t>
    </w:r>
    <w:proofErr w:type="spellStart"/>
    <w:r w:rsidRPr="00BF2DC7">
      <w:rPr>
        <w:rStyle w:val="HideTWBExt"/>
      </w:rPr>
      <w:t>PathFdR</w:t>
    </w:r>
    <w:proofErr w:type="spellEnd"/>
    <w:r w:rsidRPr="00BF2DC7">
      <w:rPr>
        <w:rStyle w:val="HideTWBExt"/>
      </w:rPr>
      <w:t>&gt;</w:t>
    </w:r>
  </w:p>
  <w:p w:rsidR="00224C1B" w:rsidRPr="00BF2DC7" w:rsidRDefault="00224C1B" w:rsidP="005449A2">
    <w:pPr>
      <w:pStyle w:val="EPFooter2"/>
    </w:pPr>
    <w:r w:rsidRPr="00BF2DC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1B" w:rsidRPr="00BF2DC7" w:rsidRDefault="00224C1B" w:rsidP="005449A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1B" w:rsidRPr="00BF2DC7" w:rsidRDefault="00224C1B" w:rsidP="005449A2">
    <w:pPr>
      <w:pStyle w:val="EPFooter"/>
    </w:pPr>
    <w:r w:rsidRPr="00BF2DC7">
      <w:rPr>
        <w:rStyle w:val="HideTWBExt"/>
      </w:rPr>
      <w:t>&lt;PathFdR&gt;</w:t>
    </w:r>
    <w:r w:rsidRPr="00BF2DC7">
      <w:t>RR\1299220PL.docx</w:t>
    </w:r>
    <w:r w:rsidRPr="00BF2DC7">
      <w:rPr>
        <w:rStyle w:val="HideTWBExt"/>
      </w:rPr>
      <w:t>&lt;/</w:t>
    </w:r>
    <w:proofErr w:type="spellStart"/>
    <w:r w:rsidRPr="00BF2DC7">
      <w:rPr>
        <w:rStyle w:val="HideTWBExt"/>
      </w:rPr>
      <w:t>PathFdR</w:t>
    </w:r>
    <w:proofErr w:type="spellEnd"/>
    <w:r w:rsidRPr="00BF2DC7">
      <w:rPr>
        <w:rStyle w:val="HideTWBExt"/>
      </w:rPr>
      <w:t>&gt;</w:t>
    </w:r>
    <w:r w:rsidRPr="00BF2DC7">
      <w:tab/>
    </w:r>
    <w:r w:rsidRPr="00BF2DC7">
      <w:tab/>
      <w:t>PE</w:t>
    </w:r>
    <w:r w:rsidRPr="00BF2DC7">
      <w:rPr>
        <w:rStyle w:val="HideTWBExt"/>
      </w:rPr>
      <w:t>&lt;</w:t>
    </w:r>
    <w:proofErr w:type="spellStart"/>
    <w:r w:rsidRPr="00BF2DC7">
      <w:rPr>
        <w:rStyle w:val="HideTWBExt"/>
      </w:rPr>
      <w:t>NoPE</w:t>
    </w:r>
    <w:proofErr w:type="spellEnd"/>
    <w:r w:rsidRPr="00BF2DC7">
      <w:rPr>
        <w:rStyle w:val="HideTWBExt"/>
      </w:rPr>
      <w:t>&gt;</w:t>
    </w:r>
    <w:r w:rsidRPr="00BF2DC7">
      <w:t>753.519</w:t>
    </w:r>
    <w:r w:rsidRPr="00BF2DC7">
      <w:rPr>
        <w:rStyle w:val="HideTWBExt"/>
      </w:rPr>
      <w:t>&lt;/</w:t>
    </w:r>
    <w:proofErr w:type="spellStart"/>
    <w:r w:rsidRPr="00BF2DC7">
      <w:rPr>
        <w:rStyle w:val="HideTWBExt"/>
      </w:rPr>
      <w:t>NoPE</w:t>
    </w:r>
    <w:proofErr w:type="spellEnd"/>
    <w:r w:rsidRPr="00BF2DC7">
      <w:rPr>
        <w:rStyle w:val="HideTWBExt"/>
      </w:rPr>
      <w:t>&gt;&lt;Version&gt;</w:t>
    </w:r>
    <w:r w:rsidRPr="00BF2DC7">
      <w:t>v03-00</w:t>
    </w:r>
    <w:r w:rsidRPr="00BF2DC7">
      <w:rPr>
        <w:rStyle w:val="HideTWBExt"/>
      </w:rPr>
      <w:t>&lt;/Version&gt;</w:t>
    </w:r>
  </w:p>
  <w:p w:rsidR="00224C1B" w:rsidRPr="00BF2DC7" w:rsidRDefault="00224C1B" w:rsidP="005449A2">
    <w:pPr>
      <w:pStyle w:val="EPFooter2"/>
    </w:pPr>
    <w:r w:rsidRPr="00BF2DC7">
      <w:t>PL</w:t>
    </w:r>
    <w:r w:rsidRPr="00BF2DC7">
      <w:tab/>
    </w:r>
    <w:r w:rsidRPr="00BF2DC7">
      <w:rPr>
        <w:b w:val="0"/>
        <w:i/>
        <w:color w:val="C0C0C0"/>
        <w:sz w:val="22"/>
      </w:rPr>
      <w:t>Zjednoczona w różnorodności</w:t>
    </w:r>
    <w:r w:rsidRPr="00BF2DC7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DC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DC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D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48B" w:rsidRPr="00BF2DC7" w:rsidRDefault="003A148B">
      <w:r w:rsidRPr="00BF2DC7">
        <w:separator/>
      </w:r>
    </w:p>
  </w:footnote>
  <w:footnote w:type="continuationSeparator" w:id="0">
    <w:p w:rsidR="003A148B" w:rsidRPr="00BF2DC7" w:rsidRDefault="003A148B">
      <w:r w:rsidRPr="00BF2DC7">
        <w:continuationSeparator/>
      </w:r>
    </w:p>
  </w:footnote>
  <w:footnote w:id="1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>Dz.U. C, C/2023/594 z 27.10.2023.</w:t>
      </w:r>
    </w:p>
  </w:footnote>
  <w:footnote w:id="2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>Dz.U. C, C/2023/112 z 12.10.2023.</w:t>
      </w:r>
    </w:p>
  </w:footnote>
  <w:footnote w:id="3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L 193 z 30.7.2018,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 1.</w:t>
      </w:r>
    </w:p>
  </w:footnote>
  <w:footnote w:id="4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L 31 z 1.2.2002,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 1.</w:t>
      </w:r>
    </w:p>
  </w:footnote>
  <w:footnote w:id="5">
    <w:p w:rsidR="00224C1B" w:rsidRPr="00BF2DC7" w:rsidRDefault="00224C1B" w:rsidP="00BF2DC7">
      <w:pPr>
        <w:pStyle w:val="FootnoteText"/>
        <w:ind w:left="567" w:hanging="567"/>
        <w:rPr>
          <w:sz w:val="24"/>
          <w:szCs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L 122 z 10.5.2019,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 1.</w:t>
      </w:r>
    </w:p>
  </w:footnote>
  <w:footnote w:id="6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>Dz.U. C, C/2023/594 z 27.10.2023.</w:t>
      </w:r>
    </w:p>
  </w:footnote>
  <w:footnote w:id="7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>Dz.U. C, C/2023/112 z 12.10.2023.</w:t>
      </w:r>
    </w:p>
  </w:footnote>
  <w:footnote w:id="8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L 193 z 30.7.2018,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 1.</w:t>
      </w:r>
    </w:p>
  </w:footnote>
  <w:footnote w:id="9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L 31 z 1.2.2002,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 1.</w:t>
      </w:r>
    </w:p>
  </w:footnote>
  <w:footnote w:id="10">
    <w:p w:rsidR="00224C1B" w:rsidRPr="00BF2DC7" w:rsidRDefault="00224C1B" w:rsidP="00BF2DC7">
      <w:pPr>
        <w:pStyle w:val="FootnoteText"/>
        <w:ind w:left="567" w:hanging="567"/>
        <w:rPr>
          <w:sz w:val="24"/>
          <w:szCs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L 122 z 10.5.2019,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 1.</w:t>
      </w:r>
    </w:p>
  </w:footnote>
  <w:footnote w:id="11">
    <w:p w:rsidR="00224C1B" w:rsidRPr="00BF2DC7" w:rsidRDefault="00224C1B" w:rsidP="00BF2DC7">
      <w:pPr>
        <w:pStyle w:val="FootnoteText"/>
        <w:ind w:left="567" w:hanging="567"/>
        <w:rPr>
          <w:rFonts w:eastAsia="Calibri"/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Dz.U. C 178 z 29.4.2022,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 1.</w:t>
      </w:r>
    </w:p>
  </w:footnote>
  <w:footnote w:id="12">
    <w:p w:rsidR="00224C1B" w:rsidRPr="00BF2DC7" w:rsidRDefault="00224C1B" w:rsidP="00BF2DC7">
      <w:pPr>
        <w:pStyle w:val="FootnoteText"/>
        <w:ind w:left="567" w:hanging="567"/>
        <w:rPr>
          <w:sz w:val="24"/>
          <w:lang w:val="pl-PL"/>
        </w:rPr>
      </w:pPr>
      <w:r w:rsidRPr="00BF2DC7">
        <w:rPr>
          <w:rStyle w:val="FootnoteReference"/>
          <w:sz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Pr="00BF2DC7">
        <w:rPr>
          <w:sz w:val="24"/>
          <w:lang w:val="pl-PL"/>
        </w:rPr>
        <w:t xml:space="preserve">Rozporządzenie Parlamentu Europejskiego i Rady (UE) 2019/1381 z dnia 20 czerwca 2019 r. w sprawie przejrzystości i zrównoważonego charakteru unijnej oceny ryzyka w łańcuchu żywnościowym oraz zmieniające rozporządzenia (WE) nr 178/2002, (WE) nr 1829/2003, (WE) nr 1831/2003, (WE) nr 2065/2003, (WE) nr 1935/2004, (WE) nr 1331/2008, (WE) nr 1107/2009, (UE) 2015/2283 oraz dyrektywę 2001/18/WE (Dz.U. L 231 z 6.9.2019, </w:t>
      </w:r>
      <w:proofErr w:type="gramStart"/>
      <w:r w:rsidRPr="00BF2DC7">
        <w:rPr>
          <w:sz w:val="24"/>
          <w:lang w:val="pl-PL"/>
        </w:rPr>
        <w:t>s</w:t>
      </w:r>
      <w:proofErr w:type="gramEnd"/>
      <w:r w:rsidRPr="00BF2DC7">
        <w:rPr>
          <w:sz w:val="24"/>
          <w:lang w:val="pl-PL"/>
        </w:rPr>
        <w:t>. 1).</w:t>
      </w:r>
    </w:p>
  </w:footnote>
  <w:footnote w:id="13">
    <w:p w:rsidR="00224C1B" w:rsidRPr="00BF2DC7" w:rsidRDefault="00224C1B" w:rsidP="00BF2DC7">
      <w:pPr>
        <w:pStyle w:val="FootnoteText"/>
        <w:ind w:left="567" w:hanging="567"/>
        <w:rPr>
          <w:sz w:val="24"/>
          <w:szCs w:val="24"/>
          <w:lang w:val="pl-PL"/>
        </w:rPr>
      </w:pPr>
      <w:r w:rsidRPr="00BF2DC7">
        <w:rPr>
          <w:rStyle w:val="FootnoteReference"/>
          <w:sz w:val="24"/>
          <w:szCs w:val="24"/>
          <w:lang w:val="pl-PL"/>
        </w:rPr>
        <w:footnoteRef/>
      </w:r>
      <w:r w:rsidR="00BF2DC7" w:rsidRPr="00BF2DC7">
        <w:rPr>
          <w:sz w:val="24"/>
          <w:lang w:val="pl-PL"/>
        </w:rPr>
        <w:t xml:space="preserve"> </w:t>
      </w:r>
      <w:r w:rsidR="00BF2DC7" w:rsidRPr="00BF2DC7">
        <w:rPr>
          <w:sz w:val="24"/>
          <w:lang w:val="pl-PL"/>
        </w:rPr>
        <w:tab/>
      </w:r>
      <w:r w:rsidR="00547DFA">
        <w:rPr>
          <w:sz w:val="24"/>
          <w:lang w:val="pl-PL"/>
        </w:rPr>
        <w:t xml:space="preserve">Teksty przyjęte, </w:t>
      </w:r>
      <w:r w:rsidR="00547DFA">
        <w:rPr>
          <w:sz w:val="24"/>
          <w:lang w:val="pl-PL"/>
        </w:rPr>
        <w:t>P9_TA(2024)028</w:t>
      </w:r>
      <w:bookmarkStart w:id="11" w:name="_GoBack"/>
      <w:bookmarkEnd w:id="11"/>
      <w:r w:rsidRPr="00BF2DC7">
        <w:rPr>
          <w:sz w:val="24"/>
          <w:lang w:val="pl-PL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1B" w:rsidRPr="00BF2DC7" w:rsidRDefault="00224C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1B" w:rsidRPr="00BF2DC7" w:rsidRDefault="00224C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1B" w:rsidRPr="00BF2DC7" w:rsidRDefault="00224C1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DC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DC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D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9/2024"/>
    <w:docVar w:name="dvlangue" w:val="PL"/>
    <w:docVar w:name="dvnumam" w:val="0"/>
    <w:docVar w:name="dvpe" w:val="753.519"/>
    <w:docVar w:name="dvrapporteur" w:val="Sprawozdawca: "/>
    <w:docVar w:name="dvstar" w:val="??"/>
    <w:docVar w:name="dvtitre" w:val="Decyzja Parlamentu Europejskiego z dnia  2024 r. w sprawie absolutorium z wykonania budżetu Europejskiego Urzędu ds. Bezpieczeństwa Żywności za rok budżetowy 2022(2023/2151(DEC))"/>
  </w:docVars>
  <w:rsids>
    <w:rsidRoot w:val="003A14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C1B"/>
    <w:rsid w:val="002767FF"/>
    <w:rsid w:val="002B18FE"/>
    <w:rsid w:val="002B5493"/>
    <w:rsid w:val="00343214"/>
    <w:rsid w:val="00361C00"/>
    <w:rsid w:val="00395FA1"/>
    <w:rsid w:val="003A148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DFA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A46"/>
    <w:rsid w:val="00BD48FE"/>
    <w:rsid w:val="00BD7BD8"/>
    <w:rsid w:val="00BE6ADC"/>
    <w:rsid w:val="00BF2DC7"/>
    <w:rsid w:val="00C05BFE"/>
    <w:rsid w:val="00C23CD4"/>
    <w:rsid w:val="00C61C0C"/>
    <w:rsid w:val="00C941CB"/>
    <w:rsid w:val="00CC2357"/>
    <w:rsid w:val="00CF071A"/>
    <w:rsid w:val="00D058B8"/>
    <w:rsid w:val="00D56C11"/>
    <w:rsid w:val="00D82F4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4E73F"/>
  <w15:chartTrackingRefBased/>
  <w15:docId w15:val="{BF0AE631-277C-419F-93B3-09C0662E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24C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24C1B"/>
    <w:pPr>
      <w:spacing w:before="480" w:after="240"/>
    </w:pPr>
  </w:style>
  <w:style w:type="paragraph" w:customStyle="1" w:styleId="PageHeading">
    <w:name w:val="PageHeading"/>
    <w:basedOn w:val="Normal"/>
    <w:rsid w:val="00224C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24C1B"/>
    <w:rPr>
      <w:b/>
    </w:rPr>
  </w:style>
  <w:style w:type="paragraph" w:customStyle="1" w:styleId="NormalHanging12a">
    <w:name w:val="NormalHanging12a"/>
    <w:basedOn w:val="Normal"/>
    <w:link w:val="NormalHanging12aChar"/>
    <w:rsid w:val="00224C1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24C1B"/>
    <w:pPr>
      <w:spacing w:after="240"/>
      <w:jc w:val="center"/>
    </w:pPr>
  </w:style>
  <w:style w:type="paragraph" w:styleId="Header">
    <w:name w:val="header"/>
    <w:basedOn w:val="Normal"/>
    <w:link w:val="HeaderChar"/>
    <w:rsid w:val="00224C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4C1B"/>
    <w:rPr>
      <w:sz w:val="24"/>
      <w:lang w:val="pl-PL"/>
    </w:rPr>
  </w:style>
  <w:style w:type="paragraph" w:customStyle="1" w:styleId="EPFooter">
    <w:name w:val="EPFooter"/>
    <w:basedOn w:val="Normal"/>
    <w:rsid w:val="00224C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224C1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FECA2-2FB4-4D85-BA2D-D109B4B3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2903</Words>
  <Characters>16549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2024-04-11T12:03:00Z</dcterms:created>
  <dcterms:modified xsi:type="dcterms:W3CDTF">2024-04-11T12:03:00Z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A9-0129/2024</vt:lpwstr>
  </property>
  <property fmtid="{D5CDD505-2E9C-101B-9397-08002B2CF9AE}" pid="4" name="&lt;Type&gt;">
    <vt:lpwstr>RR</vt:lpwstr>
  </property>
</Properties>
</file>