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B4C" w:rsidTr="0010095E">
        <w:trPr>
          <w:trHeight w:hRule="exact" w:val="1418"/>
        </w:trPr>
        <w:tc>
          <w:tcPr>
            <w:tcW w:w="6804" w:type="dxa"/>
            <w:shd w:val="clear" w:color="auto" w:fill="auto"/>
            <w:vAlign w:val="center"/>
          </w:tcPr>
          <w:p w:rsidR="00751A4A" w:rsidRPr="009A1B4C" w:rsidRDefault="00F00F32" w:rsidP="0010095E">
            <w:pPr>
              <w:pStyle w:val="EPName"/>
            </w:pPr>
            <w:r w:rsidRPr="009A1B4C">
              <w:t>Parlamentul European</w:t>
            </w:r>
          </w:p>
          <w:p w:rsidR="00751A4A" w:rsidRPr="009A1B4C" w:rsidRDefault="00817416" w:rsidP="00756632">
            <w:pPr>
              <w:pStyle w:val="EPTerm"/>
              <w:rPr>
                <w:rStyle w:val="HideTWBExt"/>
                <w:noProof w:val="0"/>
                <w:vanish w:val="0"/>
                <w:color w:val="auto"/>
              </w:rPr>
            </w:pPr>
            <w:r w:rsidRPr="009A1B4C">
              <w:t>2019-2024</w:t>
            </w:r>
          </w:p>
        </w:tc>
        <w:tc>
          <w:tcPr>
            <w:tcW w:w="2268" w:type="dxa"/>
            <w:shd w:val="clear" w:color="auto" w:fill="auto"/>
          </w:tcPr>
          <w:p w:rsidR="00751A4A" w:rsidRPr="009A1B4C" w:rsidRDefault="00187494" w:rsidP="0010095E">
            <w:pPr>
              <w:pStyle w:val="EPLogo"/>
            </w:pPr>
            <w:r w:rsidRPr="009A1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1B4C" w:rsidRDefault="00D058B8" w:rsidP="004C5D52">
      <w:pPr>
        <w:pStyle w:val="LineTop"/>
      </w:pPr>
    </w:p>
    <w:p w:rsidR="00680577" w:rsidRPr="009A1B4C" w:rsidRDefault="00F00F32" w:rsidP="00680577">
      <w:pPr>
        <w:pStyle w:val="EPBodyTA1"/>
      </w:pPr>
      <w:r w:rsidRPr="009A1B4C">
        <w:t>TEXTE ADOPTATE</w:t>
      </w:r>
    </w:p>
    <w:p w:rsidR="00D058B8" w:rsidRPr="009A1B4C" w:rsidRDefault="00D058B8" w:rsidP="00D058B8">
      <w:pPr>
        <w:pStyle w:val="LineBottom"/>
      </w:pPr>
    </w:p>
    <w:p w:rsidR="00F00F32" w:rsidRPr="009A1B4C" w:rsidRDefault="00F00F32" w:rsidP="00F00F32">
      <w:pPr>
        <w:pStyle w:val="ATHeading1"/>
      </w:pPr>
      <w:bookmarkStart w:id="0" w:name="TANumber"/>
      <w:r w:rsidRPr="009A1B4C">
        <w:t>P9_TA(2024)</w:t>
      </w:r>
      <w:bookmarkEnd w:id="0"/>
      <w:r w:rsidR="009A1B4C" w:rsidRPr="009A1B4C">
        <w:t>0250</w:t>
      </w:r>
    </w:p>
    <w:p w:rsidR="00F00F32" w:rsidRPr="009A1B4C" w:rsidRDefault="00F00F32" w:rsidP="00F00F32">
      <w:pPr>
        <w:pStyle w:val="ATHeading2"/>
      </w:pPr>
      <w:bookmarkStart w:id="1" w:name="title"/>
      <w:r w:rsidRPr="009A1B4C">
        <w:t>Descărcarea de gestiune 2022: Autoritatea Europeană pentru Siguranța Alimentară</w:t>
      </w:r>
      <w:bookmarkEnd w:id="1"/>
    </w:p>
    <w:p w:rsidR="00F00F32" w:rsidRPr="009A1B4C" w:rsidRDefault="00F00F32" w:rsidP="00F00F32">
      <w:pPr>
        <w:rPr>
          <w:i/>
          <w:vanish/>
        </w:rPr>
      </w:pPr>
      <w:r w:rsidRPr="009A1B4C">
        <w:rPr>
          <w:i/>
        </w:rPr>
        <w:fldChar w:fldCharType="begin"/>
      </w:r>
      <w:r w:rsidRPr="009A1B4C">
        <w:rPr>
          <w:i/>
        </w:rPr>
        <w:instrText xml:space="preserve"> TC"(</w:instrText>
      </w:r>
      <w:bookmarkStart w:id="2" w:name="DocNumber"/>
      <w:r w:rsidRPr="009A1B4C">
        <w:rPr>
          <w:i/>
        </w:rPr>
        <w:instrText>A9-0129/2024</w:instrText>
      </w:r>
      <w:bookmarkEnd w:id="2"/>
      <w:r w:rsidRPr="009A1B4C">
        <w:rPr>
          <w:i/>
        </w:rPr>
        <w:instrText xml:space="preserve"> - Raportor: Petri </w:instrText>
      </w:r>
      <w:proofErr w:type="spellStart"/>
      <w:r w:rsidRPr="009A1B4C">
        <w:rPr>
          <w:i/>
        </w:rPr>
        <w:instrText>Sarvamaa</w:instrText>
      </w:r>
      <w:proofErr w:type="spellEnd"/>
      <w:r w:rsidRPr="009A1B4C">
        <w:rPr>
          <w:i/>
        </w:rPr>
        <w:instrText xml:space="preserve">)"\l3 \n&gt; \* MERGEFORMAT </w:instrText>
      </w:r>
      <w:r w:rsidRPr="009A1B4C">
        <w:rPr>
          <w:i/>
        </w:rPr>
        <w:fldChar w:fldCharType="end"/>
      </w:r>
    </w:p>
    <w:p w:rsidR="00F00F32" w:rsidRPr="009A1B4C" w:rsidRDefault="00F00F32" w:rsidP="00F00F32">
      <w:pPr>
        <w:rPr>
          <w:vanish/>
        </w:rPr>
      </w:pPr>
      <w:bookmarkStart w:id="3" w:name="Commission"/>
      <w:r w:rsidRPr="009A1B4C">
        <w:rPr>
          <w:vanish/>
        </w:rPr>
        <w:t>Comisia pentru control bugetar</w:t>
      </w:r>
      <w:bookmarkEnd w:id="3"/>
    </w:p>
    <w:p w:rsidR="00F00F32" w:rsidRPr="009A1B4C" w:rsidRDefault="00F00F32" w:rsidP="00F00F32">
      <w:pPr>
        <w:rPr>
          <w:vanish/>
        </w:rPr>
      </w:pPr>
      <w:bookmarkStart w:id="4" w:name="PE"/>
      <w:r w:rsidRPr="009A1B4C">
        <w:rPr>
          <w:vanish/>
        </w:rPr>
        <w:t>PE753.519</w:t>
      </w:r>
      <w:bookmarkEnd w:id="4"/>
    </w:p>
    <w:p w:rsidR="00F00F32" w:rsidRPr="009A1B4C" w:rsidRDefault="00F00F32" w:rsidP="000F03BB">
      <w:pPr>
        <w:pStyle w:val="ATHeading3"/>
      </w:pPr>
      <w:bookmarkStart w:id="5" w:name="Sujet"/>
      <w:r w:rsidRPr="009A1B4C">
        <w:t>1. Decizia Parlamentului European din 11 aprilie 2024 privind descărcarea de gestiune pentru execuția bugetului Autorității Europene pentru Siguranța Alimentară aferent exercițiului financiar 2022</w:t>
      </w:r>
      <w:bookmarkEnd w:id="5"/>
      <w:r w:rsidRPr="009A1B4C">
        <w:t xml:space="preserve"> </w:t>
      </w:r>
      <w:bookmarkStart w:id="6" w:name="References"/>
      <w:r w:rsidRPr="009A1B4C">
        <w:t>(2023/2151(DEC))</w:t>
      </w:r>
      <w:bookmarkEnd w:id="6"/>
    </w:p>
    <w:p w:rsidR="00F22B1D" w:rsidRPr="009A1B4C" w:rsidRDefault="00F22B1D" w:rsidP="00F22B1D">
      <w:pPr>
        <w:pStyle w:val="EPComma"/>
      </w:pPr>
      <w:bookmarkStart w:id="7" w:name="TextBodyBegin"/>
      <w:bookmarkEnd w:id="7"/>
      <w:r w:rsidRPr="009A1B4C">
        <w:rPr>
          <w:i/>
        </w:rPr>
        <w:t>Parlamentul European</w:t>
      </w:r>
      <w:r w:rsidRPr="009A1B4C">
        <w:t>,</w:t>
      </w:r>
    </w:p>
    <w:p w:rsidR="00F22B1D" w:rsidRPr="009A1B4C" w:rsidRDefault="00F22B1D" w:rsidP="00F22B1D">
      <w:pPr>
        <w:pStyle w:val="NormalHanging12a"/>
      </w:pPr>
      <w:r w:rsidRPr="009A1B4C">
        <w:t>–</w:t>
      </w:r>
      <w:r w:rsidRPr="009A1B4C">
        <w:tab/>
        <w:t>având în vedere conturile anuale finale ale Autorității Europene pentru Siguranța Alimentară pentru exercițiul financiar 2022,</w:t>
      </w:r>
    </w:p>
    <w:p w:rsidR="00F22B1D" w:rsidRPr="009A1B4C" w:rsidRDefault="00F22B1D" w:rsidP="00F22B1D">
      <w:pPr>
        <w:pStyle w:val="NormalHanging12a"/>
      </w:pPr>
      <w:r w:rsidRPr="009A1B4C">
        <w:t>–</w:t>
      </w:r>
      <w:r w:rsidRPr="009A1B4C">
        <w:tab/>
        <w:t>având în vedere Raportul anual al Curții de Conturi privind agențiile UE pentru exercițiul financiar 2022, însoțit de răspunsurile agențiilor,</w:t>
      </w:r>
      <w:r w:rsidRPr="009A1B4C">
        <w:rPr>
          <w:rStyle w:val="FootnoteReference"/>
        </w:rPr>
        <w:footnoteReference w:id="1"/>
      </w:r>
    </w:p>
    <w:p w:rsidR="00F22B1D" w:rsidRPr="009A1B4C" w:rsidRDefault="00F22B1D" w:rsidP="00F22B1D">
      <w:pPr>
        <w:pStyle w:val="NormalHanging12a"/>
      </w:pPr>
      <w:r w:rsidRPr="009A1B4C">
        <w:t>–</w:t>
      </w:r>
      <w:r w:rsidRPr="009A1B4C">
        <w:tab/>
        <w:t>având în vedere declarația de asigurare</w:t>
      </w:r>
      <w:r w:rsidRPr="009A1B4C">
        <w:rPr>
          <w:rStyle w:val="FootnoteReference"/>
        </w:rPr>
        <w:footnoteReference w:id="2"/>
      </w:r>
      <w:r w:rsidRPr="009A1B4C">
        <w:t xml:space="preserve"> privind fiabilitatea conturilor și legalitatea și regularitatea operațiunilor subiacente întocmită de Curtea de Conturi pentru exercițiul 2022 în temeiul articolului 287 din Tratatul privind funcționarea Uniunii Europene,</w:t>
      </w:r>
    </w:p>
    <w:p w:rsidR="00F22B1D" w:rsidRPr="009A1B4C" w:rsidRDefault="00F22B1D" w:rsidP="00F22B1D">
      <w:pPr>
        <w:pStyle w:val="NormalHanging12a"/>
      </w:pPr>
      <w:r w:rsidRPr="009A1B4C">
        <w:t>–</w:t>
      </w:r>
      <w:r w:rsidRPr="009A1B4C">
        <w:tab/>
        <w:t>având în vedere Recomandarea Consiliului din 22 februarie 2024 privind descărcarea de gestiune a Autorității în ceea ce privește execuția bugetară pentru exercițiul financiar 2022 (</w:t>
      </w:r>
      <w:r w:rsidR="0015003D" w:rsidRPr="009A1B4C">
        <w:t>06180/2024 – C9</w:t>
      </w:r>
      <w:r w:rsidR="0015003D" w:rsidRPr="009A1B4C">
        <w:noBreakHyphen/>
        <w:t>0089/2024</w:t>
      </w:r>
      <w:r w:rsidRPr="009A1B4C">
        <w:t>),</w:t>
      </w:r>
    </w:p>
    <w:p w:rsidR="00F22B1D" w:rsidRPr="009A1B4C" w:rsidRDefault="00F22B1D" w:rsidP="00F22B1D">
      <w:pPr>
        <w:pStyle w:val="NormalHanging12a"/>
      </w:pPr>
      <w:r w:rsidRPr="009A1B4C">
        <w:t>–</w:t>
      </w:r>
      <w:r w:rsidRPr="009A1B4C">
        <w:tab/>
        <w:t>având în vedere articolul 319 din Tratatul privind funcționarea Uniunii Europene,</w:t>
      </w:r>
    </w:p>
    <w:p w:rsidR="00F22B1D" w:rsidRPr="009A1B4C" w:rsidRDefault="00F22B1D" w:rsidP="00F22B1D">
      <w:pPr>
        <w:pStyle w:val="NormalHanging12a"/>
      </w:pPr>
      <w:r w:rsidRPr="009A1B4C">
        <w:t>–</w:t>
      </w:r>
      <w:r w:rsidRPr="009A1B4C">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A1B4C">
        <w:rPr>
          <w:rStyle w:val="FootnoteReference"/>
        </w:rPr>
        <w:footnoteReference w:id="3"/>
      </w:r>
      <w:r w:rsidRPr="009A1B4C">
        <w:t>, în special articolul 70,</w:t>
      </w:r>
    </w:p>
    <w:p w:rsidR="00F22B1D" w:rsidRPr="009A1B4C" w:rsidRDefault="00F22B1D" w:rsidP="00F22B1D">
      <w:pPr>
        <w:pStyle w:val="NormalHanging12a"/>
      </w:pPr>
      <w:r w:rsidRPr="009A1B4C">
        <w:t>–</w:t>
      </w:r>
      <w:r w:rsidRPr="009A1B4C">
        <w:tab/>
        <w:t xml:space="preserve">având în vedere Regulamentul (CE) nr. 178/2002 al Parlamentului European și al </w:t>
      </w:r>
      <w:r w:rsidRPr="009A1B4C">
        <w:lastRenderedPageBreak/>
        <w:t>Consiliului din 28 ianuarie 2002 de stabilire a principiilor și a cerințelor generale ale legislației alimentare, de instituire a Autorității Europene pentru Siguranța Alimenta și de stabilire a procedurilor în domeniul siguranței produselor alimentare</w:t>
      </w:r>
      <w:r w:rsidRPr="009A1B4C">
        <w:rPr>
          <w:rStyle w:val="FootnoteReference"/>
        </w:rPr>
        <w:footnoteReference w:id="4"/>
      </w:r>
      <w:r w:rsidRPr="009A1B4C">
        <w:t>, în special articolul 44,</w:t>
      </w:r>
    </w:p>
    <w:p w:rsidR="00F22B1D" w:rsidRPr="009A1B4C" w:rsidRDefault="00F22B1D" w:rsidP="00F22B1D">
      <w:pPr>
        <w:pStyle w:val="NormalHanging12a"/>
      </w:pPr>
      <w:r w:rsidRPr="009A1B4C">
        <w:t>–</w:t>
      </w:r>
      <w:r w:rsidRPr="009A1B4C">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A1B4C">
        <w:rPr>
          <w:rStyle w:val="FootnoteReference"/>
        </w:rPr>
        <w:footnoteReference w:id="5"/>
      </w:r>
      <w:r w:rsidRPr="009A1B4C">
        <w:t>, în special articolul 105,</w:t>
      </w:r>
    </w:p>
    <w:p w:rsidR="00F22B1D" w:rsidRPr="009A1B4C" w:rsidRDefault="00F22B1D" w:rsidP="00F22B1D">
      <w:pPr>
        <w:pStyle w:val="NormalHanging12a"/>
      </w:pPr>
      <w:r w:rsidRPr="009A1B4C">
        <w:t>–</w:t>
      </w:r>
      <w:r w:rsidRPr="009A1B4C">
        <w:tab/>
        <w:t>având în vedere articolul 100 și anexa V la Regulamentul său de procedură,</w:t>
      </w:r>
    </w:p>
    <w:p w:rsidR="00F22B1D" w:rsidRPr="009A1B4C" w:rsidRDefault="00F22B1D" w:rsidP="00F22B1D">
      <w:pPr>
        <w:pStyle w:val="NormalHanging12a"/>
      </w:pPr>
      <w:r w:rsidRPr="009A1B4C">
        <w:t>–</w:t>
      </w:r>
      <w:r w:rsidRPr="009A1B4C">
        <w:tab/>
        <w:t>având în vedere avizul Comisiei pentru mediu, sănătate publică și siguranță alimentară,</w:t>
      </w:r>
    </w:p>
    <w:p w:rsidR="00F22B1D" w:rsidRPr="009A1B4C" w:rsidRDefault="00F22B1D" w:rsidP="00F22B1D">
      <w:pPr>
        <w:pStyle w:val="NormalHanging12a"/>
      </w:pPr>
      <w:r w:rsidRPr="009A1B4C">
        <w:t>–</w:t>
      </w:r>
      <w:r w:rsidRPr="009A1B4C">
        <w:tab/>
        <w:t>având în vedere raportul Comisiei pentru control bugetar (A9-0129/2024),</w:t>
      </w:r>
    </w:p>
    <w:p w:rsidR="00F22B1D" w:rsidRPr="009A1B4C" w:rsidRDefault="00F22B1D" w:rsidP="00F22B1D">
      <w:pPr>
        <w:pStyle w:val="NormalHanging12a"/>
      </w:pPr>
      <w:r w:rsidRPr="009A1B4C">
        <w:t>1.</w:t>
      </w:r>
      <w:r w:rsidRPr="009A1B4C">
        <w:tab/>
        <w:t>acordă directorului executiv al Autorității Europene pentru Siguranța Alimentară descărcarea de gestiune pentru execuția bugetului Autorității aferent exercițiului financiar 2022;</w:t>
      </w:r>
    </w:p>
    <w:p w:rsidR="00F22B1D" w:rsidRPr="009A1B4C" w:rsidRDefault="00F22B1D" w:rsidP="00F22B1D">
      <w:pPr>
        <w:pStyle w:val="NormalHanging12a"/>
      </w:pPr>
      <w:r w:rsidRPr="009A1B4C">
        <w:t>2.</w:t>
      </w:r>
      <w:r w:rsidRPr="009A1B4C">
        <w:tab/>
        <w:t>își prezintă observațiile în cadrul rezoluției de mai jos;</w:t>
      </w:r>
    </w:p>
    <w:p w:rsidR="00F22B1D" w:rsidRPr="009A1B4C" w:rsidRDefault="00F22B1D" w:rsidP="00F22B1D">
      <w:pPr>
        <w:pStyle w:val="NormalHanging12a"/>
      </w:pPr>
      <w:r w:rsidRPr="009A1B4C">
        <w:t>3.</w:t>
      </w:r>
      <w:r w:rsidRPr="009A1B4C">
        <w:tab/>
        <w:t xml:space="preserve">încredințează Președintei sarcina de a transmite prezenta decizie împreună cu rezoluția Parlamentului, ca parte integrantă a acesteia, directorului executiv al Autorității Europene pentru Siguranța Alimentară, Consiliului, Comisiei și Curții de Conturi și de a asigura publicarea acestora în </w:t>
      </w:r>
      <w:r w:rsidRPr="009A1B4C">
        <w:rPr>
          <w:i/>
        </w:rPr>
        <w:t>Jurnalul Oficial al Uniunii Europene</w:t>
      </w:r>
      <w:r w:rsidRPr="009A1B4C">
        <w:t xml:space="preserve"> (seria L).</w:t>
      </w:r>
    </w:p>
    <w:p w:rsidR="00F22B1D" w:rsidRPr="009A1B4C" w:rsidRDefault="00F22B1D" w:rsidP="00F22B1D"/>
    <w:p w:rsidR="00F22B1D" w:rsidRPr="009A1B4C" w:rsidRDefault="00F22B1D" w:rsidP="00F22B1D">
      <w:pPr>
        <w:widowControl/>
        <w:rPr>
          <w:rFonts w:ascii="Arial" w:hAnsi="Arial" w:cs="Arial"/>
          <w:b/>
        </w:rPr>
        <w:sectPr w:rsidR="00F22B1D" w:rsidRPr="009A1B4C" w:rsidSect="00C935D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22B1D" w:rsidRPr="009A1B4C" w:rsidRDefault="001D6167" w:rsidP="000F03BB">
      <w:pPr>
        <w:pStyle w:val="ATHeading3"/>
      </w:pPr>
      <w:r w:rsidRPr="009A1B4C">
        <w:lastRenderedPageBreak/>
        <w:t xml:space="preserve">2. Decizia Parlamentului European din 11 aprilie 2024 </w:t>
      </w:r>
      <w:r w:rsidR="00F22B1D" w:rsidRPr="009A1B4C">
        <w:t>privind închiderea conturilor Autorității Europene pentru Siguranța Alimentară pentru exercițiul financiar</w:t>
      </w:r>
      <w:r w:rsidR="000F03BB" w:rsidRPr="009A1B4C">
        <w:t> </w:t>
      </w:r>
      <w:r w:rsidR="00F22B1D" w:rsidRPr="009A1B4C">
        <w:t>2022</w:t>
      </w:r>
      <w:r w:rsidR="000F03BB" w:rsidRPr="009A1B4C">
        <w:t xml:space="preserve"> </w:t>
      </w:r>
      <w:r w:rsidR="00F22B1D" w:rsidRPr="009A1B4C">
        <w:t>(2023/2151(DEC))</w:t>
      </w:r>
    </w:p>
    <w:p w:rsidR="00F22B1D" w:rsidRPr="009A1B4C" w:rsidRDefault="00F22B1D" w:rsidP="00F22B1D">
      <w:pPr>
        <w:pStyle w:val="EPComma"/>
      </w:pPr>
      <w:r w:rsidRPr="009A1B4C">
        <w:rPr>
          <w:i/>
        </w:rPr>
        <w:t>Parlamentul European</w:t>
      </w:r>
      <w:r w:rsidRPr="009A1B4C">
        <w:t>,</w:t>
      </w:r>
    </w:p>
    <w:p w:rsidR="00F22B1D" w:rsidRPr="009A1B4C" w:rsidRDefault="00F22B1D" w:rsidP="00F22B1D">
      <w:pPr>
        <w:pStyle w:val="NormalHanging12a"/>
      </w:pPr>
      <w:r w:rsidRPr="009A1B4C">
        <w:t>–</w:t>
      </w:r>
      <w:r w:rsidRPr="009A1B4C">
        <w:tab/>
        <w:t>având în vedere conturile anuale finale ale Autorității Europene pentru Siguranța Alimentară pentru exercițiul financiar 2022,</w:t>
      </w:r>
    </w:p>
    <w:p w:rsidR="00F22B1D" w:rsidRPr="009A1B4C" w:rsidRDefault="00F22B1D" w:rsidP="00F22B1D">
      <w:pPr>
        <w:pStyle w:val="NormalHanging12a"/>
      </w:pPr>
      <w:r w:rsidRPr="009A1B4C">
        <w:t>–</w:t>
      </w:r>
      <w:r w:rsidRPr="009A1B4C">
        <w:tab/>
        <w:t>având în vedere Raportul anual al Curții de Conturi privind agențiile UE pentru exercițiul financiar 2022, însoțit de răspunsurile agențiilor</w:t>
      </w:r>
      <w:r w:rsidRPr="009A1B4C">
        <w:rPr>
          <w:rStyle w:val="FootnoteReference"/>
        </w:rPr>
        <w:footnoteReference w:id="6"/>
      </w:r>
      <w:r w:rsidRPr="009A1B4C">
        <w:t>,</w:t>
      </w:r>
    </w:p>
    <w:p w:rsidR="00F22B1D" w:rsidRPr="009A1B4C" w:rsidRDefault="00F22B1D" w:rsidP="00F22B1D">
      <w:pPr>
        <w:pStyle w:val="NormalHanging12a"/>
      </w:pPr>
      <w:r w:rsidRPr="009A1B4C">
        <w:t>–</w:t>
      </w:r>
      <w:r w:rsidRPr="009A1B4C">
        <w:tab/>
        <w:t>având în vedere declarația de asigurare</w:t>
      </w:r>
      <w:r w:rsidRPr="009A1B4C">
        <w:rPr>
          <w:rStyle w:val="FootnoteReference"/>
        </w:rPr>
        <w:footnoteReference w:id="7"/>
      </w:r>
      <w:r w:rsidRPr="009A1B4C">
        <w:t xml:space="preserve"> privind fiabilitatea conturilor și legalitatea și regularitatea operațiunilor subiacente întocmită de Curtea de Conturi pentru exercițiul 2022 în temeiul articolului 287 din Tratatul privind funcționarea Uniunii Europene,</w:t>
      </w:r>
    </w:p>
    <w:p w:rsidR="00F22B1D" w:rsidRPr="009A1B4C" w:rsidRDefault="00F22B1D" w:rsidP="00F22B1D">
      <w:pPr>
        <w:pStyle w:val="NormalHanging12a"/>
      </w:pPr>
      <w:r w:rsidRPr="009A1B4C">
        <w:t>–</w:t>
      </w:r>
      <w:r w:rsidRPr="009A1B4C">
        <w:tab/>
        <w:t>având în vedere Recomandarea Consiliului din 22 februarie 2024 privind descărcarea de gestiune a Autorității în ceea ce privește execuția bugetară pentru exercițiul financiar 2022 (</w:t>
      </w:r>
      <w:r w:rsidR="0015003D" w:rsidRPr="009A1B4C">
        <w:t>06180/2024 – C9</w:t>
      </w:r>
      <w:r w:rsidR="0015003D" w:rsidRPr="009A1B4C">
        <w:noBreakHyphen/>
        <w:t>0089/2024</w:t>
      </w:r>
      <w:r w:rsidRPr="009A1B4C">
        <w:t>),</w:t>
      </w:r>
    </w:p>
    <w:p w:rsidR="00F22B1D" w:rsidRPr="009A1B4C" w:rsidRDefault="00F22B1D" w:rsidP="00F22B1D">
      <w:pPr>
        <w:pStyle w:val="NormalHanging12a"/>
      </w:pPr>
      <w:r w:rsidRPr="009A1B4C">
        <w:t>–</w:t>
      </w:r>
      <w:r w:rsidRPr="009A1B4C">
        <w:tab/>
        <w:t>având în vedere articolul 319 din Tratatul privind funcționarea Uniunii Europene,</w:t>
      </w:r>
    </w:p>
    <w:p w:rsidR="00F22B1D" w:rsidRPr="009A1B4C" w:rsidRDefault="00F22B1D" w:rsidP="00F22B1D">
      <w:pPr>
        <w:pStyle w:val="NormalHanging12a"/>
      </w:pPr>
      <w:r w:rsidRPr="009A1B4C">
        <w:t>–</w:t>
      </w:r>
      <w:r w:rsidRPr="009A1B4C">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A1B4C">
        <w:rPr>
          <w:rStyle w:val="FootnoteReference"/>
        </w:rPr>
        <w:footnoteReference w:id="8"/>
      </w:r>
      <w:r w:rsidRPr="009A1B4C">
        <w:t>, în special articolul 70,</w:t>
      </w:r>
    </w:p>
    <w:p w:rsidR="00F22B1D" w:rsidRPr="009A1B4C" w:rsidRDefault="00F22B1D" w:rsidP="00F22B1D">
      <w:pPr>
        <w:pStyle w:val="NormalHanging12a"/>
      </w:pPr>
      <w:r w:rsidRPr="009A1B4C">
        <w:t>–</w:t>
      </w:r>
      <w:r w:rsidRPr="009A1B4C">
        <w:tab/>
        <w:t>având în vedere Regulamentul (CE) nr. 178/2002 al Parlamentului European și al Consiliului din 28 ianuarie 2002 de stabilire a principiilor și a cerințelor generale ale legislației alimentare, de instituire a Autorității Europene pentru Siguranța Alimenta și de stabilire a procedurilor în domeniul siguranței produselor alimentare</w:t>
      </w:r>
      <w:r w:rsidRPr="009A1B4C">
        <w:rPr>
          <w:rStyle w:val="FootnoteReference"/>
        </w:rPr>
        <w:footnoteReference w:id="9"/>
      </w:r>
      <w:r w:rsidRPr="009A1B4C">
        <w:t>, în special articolul 44,</w:t>
      </w:r>
    </w:p>
    <w:p w:rsidR="00F22B1D" w:rsidRPr="009A1B4C" w:rsidRDefault="00F22B1D" w:rsidP="00F22B1D">
      <w:pPr>
        <w:pStyle w:val="NormalHanging12a"/>
      </w:pPr>
      <w:r w:rsidRPr="009A1B4C">
        <w:t>–</w:t>
      </w:r>
      <w:r w:rsidRPr="009A1B4C">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A1B4C">
        <w:rPr>
          <w:rStyle w:val="FootnoteReference"/>
        </w:rPr>
        <w:footnoteReference w:id="10"/>
      </w:r>
      <w:r w:rsidRPr="009A1B4C">
        <w:t>, în special articolul 105,</w:t>
      </w:r>
    </w:p>
    <w:p w:rsidR="00F22B1D" w:rsidRPr="009A1B4C" w:rsidRDefault="00F22B1D" w:rsidP="00F22B1D">
      <w:pPr>
        <w:pStyle w:val="NormalHanging12a"/>
      </w:pPr>
      <w:r w:rsidRPr="009A1B4C">
        <w:t>–</w:t>
      </w:r>
      <w:r w:rsidRPr="009A1B4C">
        <w:tab/>
        <w:t>având în vedere articolul 100 și anexa V la Regulamentul său de procedură,</w:t>
      </w:r>
    </w:p>
    <w:p w:rsidR="00F22B1D" w:rsidRPr="009A1B4C" w:rsidRDefault="00F22B1D" w:rsidP="00F22B1D">
      <w:pPr>
        <w:pStyle w:val="NormalHanging12a"/>
      </w:pPr>
      <w:r w:rsidRPr="009A1B4C">
        <w:t>–</w:t>
      </w:r>
      <w:r w:rsidRPr="009A1B4C">
        <w:tab/>
        <w:t>având în vedere avizul Comisiei pentru mediu, sănătate publică și siguranță alimentară,</w:t>
      </w:r>
    </w:p>
    <w:p w:rsidR="00F22B1D" w:rsidRPr="009A1B4C" w:rsidRDefault="00F22B1D" w:rsidP="00F22B1D">
      <w:pPr>
        <w:pStyle w:val="NormalHanging12a"/>
      </w:pPr>
      <w:r w:rsidRPr="009A1B4C">
        <w:lastRenderedPageBreak/>
        <w:t>–</w:t>
      </w:r>
      <w:r w:rsidRPr="009A1B4C">
        <w:tab/>
        <w:t>având în vedere raportul Comisiei pentru control bugetar (A9-0129/2024),</w:t>
      </w:r>
    </w:p>
    <w:p w:rsidR="00F22B1D" w:rsidRPr="009A1B4C" w:rsidRDefault="00F22B1D" w:rsidP="00F22B1D">
      <w:pPr>
        <w:pStyle w:val="NormalHanging12a"/>
      </w:pPr>
      <w:r w:rsidRPr="009A1B4C">
        <w:t>1.</w:t>
      </w:r>
      <w:r w:rsidRPr="009A1B4C">
        <w:tab/>
        <w:t>aprobă închiderea conturilor Autorității Europene pentru Siguranța Alimentară pentru exercițiul financiar 2022;</w:t>
      </w:r>
    </w:p>
    <w:p w:rsidR="00F22B1D" w:rsidRPr="009A1B4C" w:rsidRDefault="00F22B1D" w:rsidP="00F22B1D">
      <w:pPr>
        <w:pStyle w:val="NormalHanging12a"/>
      </w:pPr>
      <w:r w:rsidRPr="009A1B4C">
        <w:t>2.</w:t>
      </w:r>
      <w:r w:rsidRPr="009A1B4C">
        <w:tab/>
        <w:t xml:space="preserve">încredințează Președintei sarcina de a transmite prezenta decizie directorului executiv al Autorității Europene pentru Siguranța Alimentară, Consiliului, Comisiei și Curții de Conturi și de a asigura publicarea acesteia în </w:t>
      </w:r>
      <w:r w:rsidRPr="009A1B4C">
        <w:rPr>
          <w:i/>
        </w:rPr>
        <w:t>Jurnalul Oficial al Uniunii Europene</w:t>
      </w:r>
      <w:r w:rsidRPr="009A1B4C">
        <w:t xml:space="preserve"> (seria L).</w:t>
      </w:r>
    </w:p>
    <w:p w:rsidR="00F22B1D" w:rsidRPr="009A1B4C" w:rsidRDefault="00F22B1D" w:rsidP="00F22B1D"/>
    <w:p w:rsidR="00F22B1D" w:rsidRPr="009A1B4C" w:rsidRDefault="00F22B1D" w:rsidP="00F22B1D">
      <w:pPr>
        <w:widowControl/>
        <w:rPr>
          <w:rFonts w:ascii="Arial" w:hAnsi="Arial" w:cs="Arial"/>
          <w:b/>
        </w:rPr>
        <w:sectPr w:rsidR="00F22B1D" w:rsidRPr="009A1B4C" w:rsidSect="00C935D0">
          <w:footnotePr>
            <w:numRestart w:val="eachPage"/>
          </w:footnotePr>
          <w:endnotePr>
            <w:numFmt w:val="decimal"/>
          </w:endnotePr>
          <w:pgSz w:w="11906" w:h="16838"/>
          <w:pgMar w:top="1134" w:right="1418" w:bottom="1418" w:left="1418" w:header="567" w:footer="567" w:gutter="0"/>
          <w:cols w:space="720"/>
          <w:docGrid w:linePitch="326"/>
        </w:sectPr>
      </w:pPr>
    </w:p>
    <w:p w:rsidR="00F22B1D" w:rsidRPr="009A1B4C" w:rsidRDefault="001D6167" w:rsidP="000F03BB">
      <w:pPr>
        <w:pStyle w:val="ATHeading3"/>
      </w:pPr>
      <w:r w:rsidRPr="009A1B4C">
        <w:lastRenderedPageBreak/>
        <w:t xml:space="preserve">3. Rezoluția Parlamentului European din 11 aprilie 2024 </w:t>
      </w:r>
      <w:r w:rsidR="00F22B1D" w:rsidRPr="009A1B4C">
        <w:t>conținând observațiile care fac parte integrantă din decizia privind descărcarea de gestiune pentru execuția bugetului Autorității Europene pentru Siguranța Alimentară aferent exercițiului financiar</w:t>
      </w:r>
      <w:r w:rsidR="000F03BB" w:rsidRPr="009A1B4C">
        <w:t> </w:t>
      </w:r>
      <w:r w:rsidR="00F22B1D" w:rsidRPr="009A1B4C">
        <w:t>2022</w:t>
      </w:r>
      <w:r w:rsidR="000F03BB" w:rsidRPr="009A1B4C">
        <w:t xml:space="preserve"> </w:t>
      </w:r>
      <w:r w:rsidR="00F22B1D" w:rsidRPr="009A1B4C">
        <w:t>(2023/2151(DEC))</w:t>
      </w:r>
    </w:p>
    <w:p w:rsidR="00F22B1D" w:rsidRPr="009A1B4C" w:rsidRDefault="00F22B1D" w:rsidP="00F22B1D">
      <w:pPr>
        <w:pStyle w:val="EPComma"/>
      </w:pPr>
      <w:r w:rsidRPr="009A1B4C">
        <w:rPr>
          <w:i/>
        </w:rPr>
        <w:t>Parlamentul European</w:t>
      </w:r>
      <w:r w:rsidRPr="009A1B4C">
        <w:t>,</w:t>
      </w:r>
    </w:p>
    <w:p w:rsidR="00F22B1D" w:rsidRPr="009A1B4C" w:rsidRDefault="00F22B1D" w:rsidP="00F22B1D">
      <w:pPr>
        <w:pStyle w:val="NormalHanging12a"/>
      </w:pPr>
      <w:r w:rsidRPr="009A1B4C">
        <w:t>–</w:t>
      </w:r>
      <w:r w:rsidRPr="009A1B4C">
        <w:tab/>
        <w:t>având în vedere decizia sa privind descărcarea de gestiune pentru execuția bugetului Autorității Europene pentru Siguranța Alimentară aferent exercițiului financiar 2022,</w:t>
      </w:r>
    </w:p>
    <w:p w:rsidR="00F22B1D" w:rsidRPr="009A1B4C" w:rsidRDefault="00F22B1D" w:rsidP="00F22B1D">
      <w:pPr>
        <w:pStyle w:val="NormalHanging12a"/>
      </w:pPr>
      <w:r w:rsidRPr="009A1B4C">
        <w:t>–</w:t>
      </w:r>
      <w:r w:rsidRPr="009A1B4C">
        <w:tab/>
        <w:t>având în vedere articolul 100 și anexa V la Regulamentul său de procedură,</w:t>
      </w:r>
    </w:p>
    <w:p w:rsidR="00F22B1D" w:rsidRPr="009A1B4C" w:rsidRDefault="00F22B1D" w:rsidP="00F22B1D">
      <w:pPr>
        <w:pStyle w:val="NormalHanging12a"/>
      </w:pPr>
      <w:r w:rsidRPr="009A1B4C">
        <w:t>–</w:t>
      </w:r>
      <w:r w:rsidRPr="009A1B4C">
        <w:tab/>
        <w:t>având în vedere avizul Comisiei pentru mediu, sănătate publică și siguranță alimentară,</w:t>
      </w:r>
    </w:p>
    <w:p w:rsidR="00F22B1D" w:rsidRPr="009A1B4C" w:rsidRDefault="00F22B1D" w:rsidP="00F22B1D">
      <w:pPr>
        <w:pStyle w:val="NormalHanging12a"/>
      </w:pPr>
      <w:r w:rsidRPr="009A1B4C">
        <w:t>–</w:t>
      </w:r>
      <w:r w:rsidRPr="009A1B4C">
        <w:tab/>
        <w:t>având în vedere raportul Comisiei pentru control bugetar (A9-0129/2024),</w:t>
      </w:r>
    </w:p>
    <w:p w:rsidR="00F22B1D" w:rsidRPr="009A1B4C" w:rsidRDefault="00F22B1D" w:rsidP="00F22B1D">
      <w:pPr>
        <w:autoSpaceDE w:val="0"/>
        <w:autoSpaceDN w:val="0"/>
        <w:adjustRightInd w:val="0"/>
        <w:spacing w:after="240"/>
        <w:ind w:left="567" w:hanging="567"/>
        <w:rPr>
          <w:rFonts w:eastAsia="Calibri"/>
          <w:szCs w:val="24"/>
        </w:rPr>
      </w:pPr>
      <w:r w:rsidRPr="009A1B4C">
        <w:t>A.</w:t>
      </w:r>
      <w:r w:rsidRPr="009A1B4C">
        <w:tab/>
        <w:t>întrucât, potrivit situației veniturilor și cheltuielilor sale</w:t>
      </w:r>
      <w:r w:rsidRPr="009A1B4C">
        <w:rPr>
          <w:rFonts w:eastAsia="Calibri"/>
          <w:szCs w:val="24"/>
          <w:vertAlign w:val="superscript"/>
        </w:rPr>
        <w:footnoteReference w:id="11"/>
      </w:r>
      <w:r w:rsidRPr="009A1B4C">
        <w:t>, bugetul definitiv al Autorității Europene pentru Siguranța Alimentară („Autoritatea”) aferent exercițiului financiar 2022 a fost de 149 841 816,93 EUR, ceea ce reprezintă o majorare cu 15,99 % față de bugetul pe 2021; întrucât bugetul Autorității provine în principal de la bugetul Uniunii;</w:t>
      </w:r>
    </w:p>
    <w:p w:rsidR="00F22B1D" w:rsidRPr="009A1B4C" w:rsidRDefault="00F22B1D" w:rsidP="00F22B1D">
      <w:pPr>
        <w:spacing w:after="240"/>
        <w:ind w:left="567" w:hanging="567"/>
        <w:rPr>
          <w:szCs w:val="24"/>
        </w:rPr>
      </w:pPr>
      <w:r w:rsidRPr="009A1B4C">
        <w:t>B.</w:t>
      </w:r>
      <w:r w:rsidRPr="009A1B4C">
        <w:tab/>
        <w:t>întrucât Curtea de Conturi („Curtea”), în raportul său privind conturile anuale ale Autorității pentru exercițiul financiar 2022 („raportul Curții”), declară că a obținut asigurări rezonabile cu privire la fiabilitatea conturilor anuale ale Autorității și cu privire la legalitatea și regularitatea operațiunilor subiacente;</w:t>
      </w:r>
    </w:p>
    <w:p w:rsidR="00F22B1D" w:rsidRPr="009A1B4C" w:rsidRDefault="00F22B1D" w:rsidP="00F22B1D">
      <w:pPr>
        <w:widowControl/>
        <w:spacing w:after="240"/>
        <w:ind w:left="567" w:hanging="567"/>
        <w:rPr>
          <w:szCs w:val="24"/>
        </w:rPr>
      </w:pPr>
      <w:r w:rsidRPr="009A1B4C">
        <w:t>C.</w:t>
      </w:r>
      <w:r w:rsidRPr="009A1B4C">
        <w:tab/>
        <w:t>întrucât, în ceea ce privește sectorul achizițiilor publice ale Autorității, nu au fost raportate probleme care să necesite acțiuni corective pentru 2022 și nici nu există acțiuni corective în curs sau restante în urma auditurilor și evaluărilor din exercițiile anterioare;</w:t>
      </w:r>
    </w:p>
    <w:p w:rsidR="00F22B1D" w:rsidRPr="009A1B4C" w:rsidRDefault="00F22B1D" w:rsidP="00F22B1D">
      <w:pPr>
        <w:widowControl/>
        <w:spacing w:after="240"/>
        <w:ind w:left="567" w:hanging="567"/>
        <w:rPr>
          <w:szCs w:val="24"/>
        </w:rPr>
      </w:pPr>
      <w:r w:rsidRPr="009A1B4C">
        <w:t>D.</w:t>
      </w:r>
      <w:r w:rsidRPr="009A1B4C">
        <w:tab/>
        <w:t>întrucât, în ceea ce privește sistemele de control intern ale Autorității, nu au fost raportate probleme care să necesite acțiuni corective pentru 2022 și nici nu există acțiuni corective în curs sau restante în urma auditurilor și evaluărilor din exercițiile anterioare,</w:t>
      </w:r>
    </w:p>
    <w:p w:rsidR="00F22B1D" w:rsidRPr="009A1B4C" w:rsidRDefault="00F22B1D" w:rsidP="00F22B1D">
      <w:pPr>
        <w:spacing w:after="240"/>
        <w:ind w:left="567" w:hanging="567"/>
        <w:rPr>
          <w:b/>
          <w:i/>
          <w:szCs w:val="24"/>
        </w:rPr>
      </w:pPr>
      <w:r w:rsidRPr="009A1B4C">
        <w:rPr>
          <w:b/>
          <w:i/>
        </w:rPr>
        <w:t>Gestiunea bugetară și financiară</w:t>
      </w:r>
    </w:p>
    <w:p w:rsidR="00F22B1D" w:rsidRPr="009A1B4C" w:rsidRDefault="00F22B1D" w:rsidP="00F22B1D">
      <w:pPr>
        <w:spacing w:after="240"/>
        <w:ind w:left="567" w:hanging="567"/>
        <w:rPr>
          <w:szCs w:val="24"/>
        </w:rPr>
      </w:pPr>
      <w:r w:rsidRPr="009A1B4C">
        <w:t>1.</w:t>
      </w:r>
      <w:r w:rsidRPr="009A1B4C">
        <w:tab/>
        <w:t>constată cu apreciere că eforturile de monitorizare a bugetului din cursul exercițiului financiar 2022 au avut ca rezultat o rată de execuție bugetară a creditelor de angajament din exercițiul curent de 99,95 %, ceea ce reprezintă o ușoară scădere de 0,04 % față de 2021; constată, în continuare, că rata de execuție a creditelor de plată pentru anul în curs a fost de 89,77 %, ceea ce reprezintă o creștere de 0,92 % în comparație cu 2021;</w:t>
      </w:r>
    </w:p>
    <w:p w:rsidR="00F22B1D" w:rsidRPr="009A1B4C" w:rsidRDefault="00F22B1D" w:rsidP="00F22B1D">
      <w:pPr>
        <w:pStyle w:val="NormalHanging12a"/>
      </w:pPr>
      <w:r w:rsidRPr="009A1B4C">
        <w:t>2.</w:t>
      </w:r>
      <w:r w:rsidRPr="009A1B4C">
        <w:tab/>
        <w:t xml:space="preserve">constată că lipsa resurselor și a posturilor pentru autoritățile de reglementare a produselor de protecție a plantelor duce la întârzieri în aprobarea substanțelor active cu risc scăzut și în actualizarea metodologiilor de evaluare în conformitate cu evoluțiile științifice, ceea ce ar reduce impactul produselor de protecție a plantelor asupra mediului pe termen lung; invită Comisia să ia măsurile adecvate pentru a se asigura că Autoritatea dispune de resurse și posturi suficiente pentru a sprijini statele membre să își </w:t>
      </w:r>
      <w:r w:rsidRPr="009A1B4C">
        <w:lastRenderedPageBreak/>
        <w:t>respecte termenele stabilite în Regulamentul (CE) nr. 1107/2009, pentru a dubla numărul de evaluări ale substanțelor active pentru produsele de protecție a plantelor pe an și pentru a tripla viteza de elaborare a metodologiilor pentru a ține evaluările riscurilor la curent cu cele mai recente evoluții științifice și cu așteptările societății;</w:t>
      </w:r>
    </w:p>
    <w:p w:rsidR="00F22B1D" w:rsidRPr="009A1B4C" w:rsidRDefault="00F22B1D" w:rsidP="00F22B1D">
      <w:pPr>
        <w:spacing w:after="240"/>
        <w:ind w:left="567" w:hanging="567"/>
        <w:rPr>
          <w:b/>
          <w:i/>
          <w:szCs w:val="24"/>
        </w:rPr>
      </w:pPr>
      <w:r w:rsidRPr="009A1B4C">
        <w:rPr>
          <w:b/>
          <w:i/>
        </w:rPr>
        <w:t>Performanță</w:t>
      </w:r>
    </w:p>
    <w:p w:rsidR="00F22B1D" w:rsidRPr="009A1B4C" w:rsidRDefault="00F22B1D" w:rsidP="00F22B1D">
      <w:pPr>
        <w:pStyle w:val="NormalHanging12a"/>
      </w:pPr>
      <w:r w:rsidRPr="009A1B4C">
        <w:t>3.</w:t>
      </w:r>
      <w:r w:rsidRPr="009A1B4C">
        <w:tab/>
        <w:t>salută contribuția Autorității la siguranța lanțului alimentar și furajer în Uniune și pentru eforturile considerabile pe care le-a depus pentru a le oferi administratorilor de risc o consiliere științifică amplă, independentă și actualizată referitoare la chestiunile aferente lanțului alimentar, comunicând clar populației rezultatele obținute și informațiile pe care se bazează și cooperând cu părțile interesate și cu partenerii instituționali pentru a promova coerența sistemului de siguranță alimentară din Uniune și încrederea în el;</w:t>
      </w:r>
    </w:p>
    <w:p w:rsidR="00F22B1D" w:rsidRPr="009A1B4C" w:rsidRDefault="00F22B1D" w:rsidP="00F22B1D">
      <w:pPr>
        <w:pStyle w:val="NormalHanging12a"/>
        <w:rPr>
          <w:szCs w:val="24"/>
        </w:rPr>
      </w:pPr>
      <w:r w:rsidRPr="009A1B4C">
        <w:t>4.</w:t>
      </w:r>
      <w:r w:rsidRPr="009A1B4C">
        <w:tab/>
        <w:t>ia act cu satisfacție de faptul că Autoritatea a pus în aplicare un cadru integrat de performanță care conectează resursele și activitățile cu realizările și rezultatele preconizate, completat de un set de indicatori-cheie de performanță (ICP) pentru a monitoriza și a stimula performanța; constată, de asemenea, că performanța în raport cu obiectivele stabilite în cadrul de performanță a atins o rată globală de 96 %; observă că domeniile obiectivelor strategice 2 (Asigurarea pregătirii pentru viitoarele nevoi în materie de analiză a riscurilor) și ale obiectivului strategic 3 (capacitarea oamenilor și asigurarea agilității organizaționale) au prezentat o performanță bună în general, în timp ce domeniul obiectivului strategic 1 (furnizarea de consiliere științifică fiabilă și comunicarea riscurilor de la fermă la consumator), puternic afectat de punerea în aplicare a noilor norme și proceduri în temeiul Regulamentului (UE) 2019/1381</w:t>
      </w:r>
      <w:r w:rsidRPr="009A1B4C">
        <w:rPr>
          <w:rStyle w:val="FootnoteReference"/>
          <w:szCs w:val="24"/>
        </w:rPr>
        <w:footnoteReference w:id="12"/>
      </w:r>
      <w:r w:rsidRPr="009A1B4C">
        <w:t>, a prezentat o abatere de la obiectiv;</w:t>
      </w:r>
    </w:p>
    <w:p w:rsidR="00F22B1D" w:rsidRPr="009A1B4C" w:rsidRDefault="00F22B1D" w:rsidP="00F22B1D">
      <w:pPr>
        <w:pStyle w:val="NormalHanging12a"/>
        <w:rPr>
          <w:szCs w:val="24"/>
        </w:rPr>
      </w:pPr>
      <w:r w:rsidRPr="009A1B4C">
        <w:t>5.</w:t>
      </w:r>
      <w:r w:rsidRPr="009A1B4C">
        <w:tab/>
        <w:t>subliniază că Autoritatea a finalizat 586 de întrebări științifice din cele 701 întrebări vizate cu privire la obiectivul 1: „Furnizarea de consiliere științifică fiabilă și comunicarea riscurilor de la fermă la consumator”; ia act de faptul că, în pofida faptului că numărul de întrebări științifice închise a fost mai mic decât se prevăzuse, acesta a echivalat, în linii mari, cu noile întrebări primite în cursul anului, asigurându-se astfel că stocul de întrebări deschise nu a crescut;</w:t>
      </w:r>
    </w:p>
    <w:p w:rsidR="00F22B1D" w:rsidRPr="009A1B4C" w:rsidRDefault="00F22B1D" w:rsidP="00F22B1D">
      <w:pPr>
        <w:pStyle w:val="NormalHanging12a"/>
        <w:rPr>
          <w:szCs w:val="24"/>
        </w:rPr>
      </w:pPr>
      <w:r w:rsidRPr="009A1B4C">
        <w:t>6.</w:t>
      </w:r>
      <w:r w:rsidRPr="009A1B4C">
        <w:tab/>
        <w:t>salută faptul că domeniul comunicării constatărilor a înregistrat rezultate foarte pozitive, publicarea la timp în Jurnalul Oficial al Autorității menținând rezultatele pozitive obținute în ultimii doi ani;</w:t>
      </w:r>
    </w:p>
    <w:p w:rsidR="00F22B1D" w:rsidRPr="009A1B4C" w:rsidRDefault="00F22B1D" w:rsidP="00F22B1D">
      <w:pPr>
        <w:pStyle w:val="NormalHanging12a"/>
        <w:rPr>
          <w:szCs w:val="24"/>
        </w:rPr>
      </w:pPr>
      <w:r w:rsidRPr="009A1B4C">
        <w:t>7.</w:t>
      </w:r>
      <w:r w:rsidRPr="009A1B4C">
        <w:tab/>
        <w:t>ia act de faptul că 2022 a marcat primul an de punere în aplicare a Strategiei 2027; concepută ca o evoluție a Strategiei 2020, că această strategie se axează pe punerea în aplicare a Regulamentului (UE) 2019/1381 (pe termen scurt) și pregătește Autoritatea să abordeze noile politici ale Uniunii aflate în evoluție (pe termen lung);</w:t>
      </w:r>
    </w:p>
    <w:p w:rsidR="00F22B1D" w:rsidRPr="009A1B4C" w:rsidRDefault="00F22B1D" w:rsidP="00F22B1D">
      <w:pPr>
        <w:pStyle w:val="NormalHanging12a"/>
        <w:rPr>
          <w:szCs w:val="24"/>
        </w:rPr>
      </w:pPr>
      <w:r w:rsidRPr="009A1B4C">
        <w:t>8.</w:t>
      </w:r>
      <w:r w:rsidRPr="009A1B4C">
        <w:tab/>
        <w:t xml:space="preserve">salută organizarea de către Autoritate, în iunie 2022, a conferinței ONE - „Sănătate, mediu, societate”, care subliniază legătura dintre sănătatea umană, sănătatea animalelor </w:t>
      </w:r>
      <w:r w:rsidRPr="009A1B4C">
        <w:lastRenderedPageBreak/>
        <w:t>și cea de mediu și ne conduce la conceptul „o sănătate - un mediu”;</w:t>
      </w:r>
    </w:p>
    <w:p w:rsidR="00F22B1D" w:rsidRPr="009A1B4C" w:rsidRDefault="00F22B1D" w:rsidP="00F22B1D">
      <w:pPr>
        <w:pStyle w:val="NormalHanging12a"/>
        <w:rPr>
          <w:szCs w:val="24"/>
        </w:rPr>
      </w:pPr>
      <w:r w:rsidRPr="009A1B4C">
        <w:t>9.</w:t>
      </w:r>
      <w:r w:rsidRPr="009A1B4C">
        <w:tab/>
        <w:t>ia act de faptul că Autoritatea a lansat o campanie privind pesta porcină africană în parteneriat cu optsprezece state membre; constată, de asemenea, că Autoritatea a contribuit la conceperea și punerea în aplicare a „Strategiei UE privind substanțele chimice”;</w:t>
      </w:r>
    </w:p>
    <w:p w:rsidR="00F22B1D" w:rsidRPr="009A1B4C" w:rsidRDefault="00F22B1D" w:rsidP="00F22B1D">
      <w:pPr>
        <w:pStyle w:val="NormalHanging12a"/>
      </w:pPr>
      <w:r w:rsidRPr="009A1B4C">
        <w:t>10.</w:t>
      </w:r>
      <w:r w:rsidRPr="009A1B4C">
        <w:tab/>
        <w:t>ia act de faptul că, potrivit Anchetei strategice anuale lansate de Autoritate, prin care solicită feedback din partea clienților săi, a partenerilor și a părților interesate care sunt implicate direct sau indirect în emiterea avizelor științifice ale Autorității, capacitatea Autorității de a-și oferi avizul în timp util rămâne un punct de interes;</w:t>
      </w:r>
    </w:p>
    <w:p w:rsidR="00F22B1D" w:rsidRPr="009A1B4C" w:rsidRDefault="00F22B1D" w:rsidP="00F22B1D">
      <w:pPr>
        <w:pStyle w:val="NormalHanging12a"/>
        <w:rPr>
          <w:b/>
          <w:i/>
          <w:szCs w:val="24"/>
        </w:rPr>
      </w:pPr>
      <w:r w:rsidRPr="009A1B4C">
        <w:rPr>
          <w:b/>
          <w:i/>
        </w:rPr>
        <w:t>Eficiența și realizările</w:t>
      </w:r>
    </w:p>
    <w:p w:rsidR="00F22B1D" w:rsidRPr="009A1B4C" w:rsidRDefault="00F22B1D" w:rsidP="00F22B1D">
      <w:pPr>
        <w:pStyle w:val="NormalHanging12a"/>
        <w:rPr>
          <w:szCs w:val="24"/>
        </w:rPr>
      </w:pPr>
      <w:r w:rsidRPr="009A1B4C">
        <w:t>11.</w:t>
      </w:r>
      <w:r w:rsidRPr="009A1B4C">
        <w:tab/>
        <w:t xml:space="preserve">observă că Autoritatea a colaborat cu Agenția Europeană pentru Produse Chimice, în contextul noii Strategii a Uniunii privind substanțele chimice, și cu Centrul European de Prevenire și Control al Bolilor pentru a dezvolta sisteme de colectare și analiză a </w:t>
      </w:r>
      <w:proofErr w:type="spellStart"/>
      <w:r w:rsidRPr="009A1B4C">
        <w:t>secvențierii</w:t>
      </w:r>
      <w:proofErr w:type="spellEnd"/>
      <w:r w:rsidRPr="009A1B4C">
        <w:t xml:space="preserve"> genomului; constată, de asemenea, că Autoritatea a partajat resurse umane și resurse de cercetare cu agențiile de control și cu Centrul Comun de Cercetare; subliniază, de asemenea, beneficiile orizontale ale colaborării și adaptării celor mai bune practici;</w:t>
      </w:r>
    </w:p>
    <w:p w:rsidR="00F22B1D" w:rsidRPr="009A1B4C" w:rsidRDefault="00F22B1D" w:rsidP="00F22B1D">
      <w:pPr>
        <w:pStyle w:val="NormalHanging12a"/>
        <w:rPr>
          <w:szCs w:val="24"/>
        </w:rPr>
      </w:pPr>
      <w:r w:rsidRPr="009A1B4C">
        <w:t>12.</w:t>
      </w:r>
      <w:r w:rsidRPr="009A1B4C">
        <w:tab/>
        <w:t xml:space="preserve">ia act de faptul că Autoritatea și-a intensificat eforturile în 2022 pentru a consolida implementarea de noi procese și instrumente informatice, încercând să atingă un nivel ridicat de eficiență și să maximizeze </w:t>
      </w:r>
      <w:proofErr w:type="spellStart"/>
      <w:r w:rsidRPr="009A1B4C">
        <w:t>sinergiile</w:t>
      </w:r>
      <w:proofErr w:type="spellEnd"/>
      <w:r w:rsidRPr="009A1B4C">
        <w:t xml:space="preserve"> cu alte agenții; constată, de asemenea, că unele dintre rezultatele Autorității în ceea ce privește eficiența și câștigurile în ceea ce privește instrumentele informatice adoptate în perioada 2020-2022 nu au fost vizate până la sfârșitul anului 2023;</w:t>
      </w:r>
    </w:p>
    <w:p w:rsidR="00F22B1D" w:rsidRPr="009A1B4C" w:rsidRDefault="00F22B1D" w:rsidP="00F22B1D">
      <w:pPr>
        <w:pStyle w:val="NormalHanging12a"/>
      </w:pPr>
      <w:r w:rsidRPr="009A1B4C">
        <w:t>13.</w:t>
      </w:r>
      <w:r w:rsidRPr="009A1B4C">
        <w:tab/>
        <w:t>salută intenția Autorității de a consolida gestionarea datelor în comun cu statele membre și cu alte agenții, ceea ce ar trebui să îmbunătățească calitatea datelor și interoperabilitatea datelor (în conformitate cu abordarea de tip „O singură sănătate”);</w:t>
      </w:r>
    </w:p>
    <w:p w:rsidR="00F22B1D" w:rsidRPr="009A1B4C" w:rsidRDefault="00F22B1D" w:rsidP="00F22B1D">
      <w:pPr>
        <w:spacing w:after="240"/>
        <w:ind w:left="567" w:hanging="567"/>
        <w:rPr>
          <w:b/>
          <w:i/>
          <w:szCs w:val="24"/>
        </w:rPr>
      </w:pPr>
      <w:r w:rsidRPr="009A1B4C">
        <w:rPr>
          <w:b/>
          <w:i/>
        </w:rPr>
        <w:t>Politica de personal</w:t>
      </w:r>
    </w:p>
    <w:p w:rsidR="00F22B1D" w:rsidRPr="009A1B4C" w:rsidRDefault="00F22B1D" w:rsidP="00F22B1D">
      <w:pPr>
        <w:spacing w:after="240"/>
        <w:ind w:left="567" w:hanging="567"/>
        <w:rPr>
          <w:rFonts w:eastAsia="Calibri"/>
          <w:szCs w:val="24"/>
        </w:rPr>
      </w:pPr>
      <w:r w:rsidRPr="009A1B4C">
        <w:t>14.</w:t>
      </w:r>
      <w:r w:rsidRPr="009A1B4C">
        <w:tab/>
        <w:t>observă că, la 31 decembrie 2022, schema de personal era completată în proporție de 95,55 %, fiind numiți 5 funcționari și 382 de agenți temporari din totalul de 405 posturi autorizate în conformitate cu bugetul Uniunii (față de 380 de posturi autorizate în 2021); constată că în 2022 pentru Autoritate au mai lucrat și 170 de agenți contractuali și 14 experți naționali detașați; constată, de asemenea, că, pentru a pune în aplicare Regulamentul (UE) 2019/1381, Autoritatea a primit 31 de noi posturi în 2022 și 15 agenți contractuali suplimentari (AC) pentru perioada 2022-2024;</w:t>
      </w:r>
    </w:p>
    <w:p w:rsidR="00F22B1D" w:rsidRPr="009A1B4C" w:rsidRDefault="00F22B1D" w:rsidP="00F22B1D">
      <w:pPr>
        <w:widowControl/>
        <w:spacing w:after="240"/>
        <w:ind w:left="567" w:hanging="567"/>
        <w:rPr>
          <w:szCs w:val="24"/>
        </w:rPr>
      </w:pPr>
      <w:r w:rsidRPr="009A1B4C">
        <w:t>15.</w:t>
      </w:r>
      <w:r w:rsidRPr="009A1B4C">
        <w:tab/>
        <w:t>ia act de faptul că, în 2022, echilibrul de gen a fost realizat în cadrul întregului personal al Autorității, 335 din 557 (60,1 %) fiind femei, iar în cadrul consiliului de administrație al Autorității, 37 din 70 (52,9 %) fiind femei; observă că, în posturile superioare și de conducere, există o proporție mai mare de posturi ocupate de bărbați (63 %) decât de femei (37 %); invită Autoritatea să își intensifice eforturile pentru a elimina disparitatea de gen în posturile superioare și de conducere;</w:t>
      </w:r>
    </w:p>
    <w:p w:rsidR="00F22B1D" w:rsidRPr="009A1B4C" w:rsidRDefault="00F22B1D" w:rsidP="00F22B1D">
      <w:pPr>
        <w:spacing w:after="240"/>
        <w:ind w:left="567" w:hanging="567"/>
        <w:rPr>
          <w:rFonts w:eastAsia="Calibri"/>
          <w:szCs w:val="24"/>
        </w:rPr>
      </w:pPr>
      <w:r w:rsidRPr="009A1B4C">
        <w:t>16.</w:t>
      </w:r>
      <w:r w:rsidRPr="009A1B4C">
        <w:tab/>
        <w:t>ia act de faptul că Serviciul medical a raportat trei cazuri de epuizare profesională („</w:t>
      </w:r>
      <w:proofErr w:type="spellStart"/>
      <w:r w:rsidRPr="009A1B4C">
        <w:t>burnout</w:t>
      </w:r>
      <w:proofErr w:type="spellEnd"/>
      <w:r w:rsidRPr="009A1B4C">
        <w:t>”) în 2022;</w:t>
      </w:r>
      <w:r w:rsidRPr="009A1B4C">
        <w:rPr>
          <w:rFonts w:ascii="Segoe UI" w:hAnsi="Segoe UI"/>
          <w:color w:val="374151"/>
        </w:rPr>
        <w:t xml:space="preserve"> </w:t>
      </w:r>
      <w:r w:rsidRPr="009A1B4C">
        <w:t xml:space="preserve">subliniază importanța crucială a menținerii echilibrului între responsabilitățile profesionale și viața personală; invită Autoritatea să promoveze în </w:t>
      </w:r>
      <w:r w:rsidRPr="009A1B4C">
        <w:lastRenderedPageBreak/>
        <w:t>continuare un echilibru sănătos între viața profesională și cea privată în rândul personalului;</w:t>
      </w:r>
    </w:p>
    <w:p w:rsidR="00F22B1D" w:rsidRPr="009A1B4C" w:rsidRDefault="00F22B1D" w:rsidP="00F22B1D">
      <w:pPr>
        <w:spacing w:after="240"/>
        <w:ind w:left="567" w:hanging="567"/>
        <w:rPr>
          <w:rFonts w:eastAsia="Calibri"/>
          <w:szCs w:val="24"/>
        </w:rPr>
      </w:pPr>
      <w:r w:rsidRPr="009A1B4C">
        <w:t>17.</w:t>
      </w:r>
      <w:r w:rsidRPr="009A1B4C">
        <w:tab/>
        <w:t>ia act de faptul că Autoritatea s-a angajat să respecte valorile Rețelei agențiilor UE și „Carta privind diversitatea și incluziunea” și depune eforturi în vederea adoptării sale cât mai curând posibil; ia act, de asemenea, de participarea Autorității la Grupul de lucru al Rețelei agențiilor UE privind diversitatea și incluziunea, prin schimbul de sinergii, informații și resurse privind diversitatea și incluziunea; în plus, au fost puse în aplicare unele inițiative interne, cum ar fi un nou site internet privind cariera și un material video despre activitatea în cadrul Autorității, cu un subiect special axat pe diversitate și incluziune;</w:t>
      </w:r>
    </w:p>
    <w:p w:rsidR="00F22B1D" w:rsidRPr="009A1B4C" w:rsidRDefault="00F22B1D" w:rsidP="00F22B1D">
      <w:pPr>
        <w:spacing w:after="240"/>
        <w:ind w:left="567" w:hanging="567"/>
        <w:rPr>
          <w:rFonts w:eastAsia="Calibri"/>
          <w:szCs w:val="24"/>
        </w:rPr>
      </w:pPr>
      <w:r w:rsidRPr="009A1B4C">
        <w:t>18.</w:t>
      </w:r>
      <w:r w:rsidRPr="009A1B4C">
        <w:tab/>
        <w:t>observă că Autoritatea a adoptat „Orientările pentru punerea în aplicare a ajutorului pentru persoanele cu dizabilități”, promovând politica socială și egalitatea de tratament la locul de muncă; constată, de asemenea, că clădirea Autorității a fost proiectată în conformitate cu regulamentele italiene privind accesibilitatea pentru persoanele cu dizabilități;</w:t>
      </w:r>
    </w:p>
    <w:p w:rsidR="00F22B1D" w:rsidRPr="009A1B4C" w:rsidRDefault="00F22B1D" w:rsidP="00F22B1D">
      <w:pPr>
        <w:spacing w:after="240"/>
        <w:ind w:left="567" w:hanging="567"/>
        <w:rPr>
          <w:rFonts w:eastAsia="Calibri"/>
          <w:szCs w:val="24"/>
        </w:rPr>
      </w:pPr>
      <w:r w:rsidRPr="009A1B4C">
        <w:t>19.</w:t>
      </w:r>
      <w:r w:rsidRPr="009A1B4C">
        <w:tab/>
        <w:t>ia act de faptul că, începând cu 1 ianuarie 2022, a fost pusă în aplicare o nouă structură organizațională menită să sprijine punerea în aplicare a Regulamentului (UE) 2019/1381 și ambițiile Strategiei 2027 a Autorității;</w:t>
      </w:r>
    </w:p>
    <w:p w:rsidR="00F22B1D" w:rsidRPr="009A1B4C" w:rsidRDefault="00F22B1D" w:rsidP="00F22B1D">
      <w:pPr>
        <w:spacing w:after="240"/>
        <w:ind w:left="567" w:hanging="567"/>
        <w:rPr>
          <w:b/>
          <w:i/>
          <w:szCs w:val="24"/>
        </w:rPr>
      </w:pPr>
      <w:r w:rsidRPr="009A1B4C">
        <w:rPr>
          <w:b/>
          <w:i/>
        </w:rPr>
        <w:t>Prevenirea și gestionarea conflictelor de interese și transparența</w:t>
      </w:r>
    </w:p>
    <w:p w:rsidR="00F22B1D" w:rsidRPr="009A1B4C" w:rsidRDefault="00F22B1D" w:rsidP="00F22B1D">
      <w:pPr>
        <w:spacing w:after="240"/>
        <w:ind w:left="567" w:hanging="567"/>
        <w:rPr>
          <w:rFonts w:eastAsia="Calibri"/>
          <w:szCs w:val="24"/>
        </w:rPr>
      </w:pPr>
      <w:r w:rsidRPr="009A1B4C">
        <w:t>20.</w:t>
      </w:r>
      <w:r w:rsidRPr="009A1B4C">
        <w:tab/>
        <w:t>ia act de faptul că Consiliul de administrație și conducerea operațională a Autorității au semnat o declarație privind conflictele de interese, care este publicată și disponibilă pe site; constată, de asemenea, că CV-urile membrilor și ale membrilor supleanți ai consiliului de administrație vor fi publicate până la sfârșitul anului 2023;</w:t>
      </w:r>
    </w:p>
    <w:p w:rsidR="00F22B1D" w:rsidRPr="009A1B4C" w:rsidRDefault="00F22B1D" w:rsidP="00F22B1D">
      <w:pPr>
        <w:spacing w:after="240"/>
        <w:ind w:left="567" w:hanging="567"/>
        <w:rPr>
          <w:rFonts w:eastAsia="Calibri"/>
          <w:szCs w:val="24"/>
        </w:rPr>
      </w:pPr>
      <w:r w:rsidRPr="009A1B4C">
        <w:t>21.</w:t>
      </w:r>
      <w:r w:rsidRPr="009A1B4C">
        <w:tab/>
        <w:t>observă că în 2022, Autoritatea a identificat și a gestionat șapte conflicte de interese la nivelul declarațiilor anuale de interese ale experților externi; ia act de faptul că Autoritatea i-a împiedicat să participe la activitatea științifică;</w:t>
      </w:r>
    </w:p>
    <w:p w:rsidR="00F22B1D" w:rsidRPr="009A1B4C" w:rsidRDefault="00F22B1D" w:rsidP="00F22B1D">
      <w:pPr>
        <w:spacing w:after="240"/>
        <w:ind w:left="567" w:hanging="567"/>
        <w:rPr>
          <w:rFonts w:eastAsia="Calibri"/>
          <w:szCs w:val="24"/>
        </w:rPr>
      </w:pPr>
      <w:r w:rsidRPr="009A1B4C">
        <w:t>22.</w:t>
      </w:r>
      <w:r w:rsidRPr="009A1B4C">
        <w:tab/>
        <w:t>ia act de faptul că Autoritatea a instituit un cod de conduită voluntar în temeiul căruia membrii consiliului de administrație se obligă să comunice Autorității activitățile profesionale desfășurate pe o perioadă de doi ani după încheierea mandatului;</w:t>
      </w:r>
    </w:p>
    <w:p w:rsidR="00F22B1D" w:rsidRPr="009A1B4C" w:rsidRDefault="00F22B1D" w:rsidP="00F22B1D">
      <w:pPr>
        <w:spacing w:after="240"/>
        <w:ind w:left="567" w:hanging="567"/>
        <w:rPr>
          <w:rFonts w:eastAsia="Calibri"/>
          <w:szCs w:val="24"/>
        </w:rPr>
      </w:pPr>
      <w:r w:rsidRPr="009A1B4C">
        <w:t>23.</w:t>
      </w:r>
      <w:r w:rsidRPr="009A1B4C">
        <w:tab/>
        <w:t>ia act de faptul că Autoritatea intenționează să adopte o nouă procedură standard post-angajare până în primul trimestru al anului 2024, care ar include criteriile și procedura de întrerupere a accesului la informații confidențiale al personalului care își încetează activitatea, cerințele de monitorizare și de punere în aplicare și standardele de transparență;</w:t>
      </w:r>
    </w:p>
    <w:p w:rsidR="00F22B1D" w:rsidRPr="009A1B4C" w:rsidRDefault="00F22B1D" w:rsidP="00F22B1D">
      <w:pPr>
        <w:spacing w:after="240"/>
        <w:ind w:left="567" w:hanging="567"/>
        <w:rPr>
          <w:rFonts w:eastAsia="Calibri"/>
          <w:szCs w:val="24"/>
        </w:rPr>
      </w:pPr>
      <w:r w:rsidRPr="009A1B4C">
        <w:t>24.</w:t>
      </w:r>
      <w:r w:rsidRPr="009A1B4C">
        <w:tab/>
        <w:t>ia act de faptul că Autoritatea a instituit o strategie antifraudă, elaborată în strânsă cooperare cu Oficiul European de Luptă Antifraudă, însoțită de norme de punere în aplicare și de un plan de acțiune conexe pentru prevenirea fraudei și a corupției;</w:t>
      </w:r>
    </w:p>
    <w:p w:rsidR="00F22B1D" w:rsidRPr="009A1B4C" w:rsidRDefault="00F22B1D" w:rsidP="00F22B1D">
      <w:pPr>
        <w:spacing w:after="240"/>
        <w:ind w:left="567" w:hanging="567"/>
        <w:rPr>
          <w:b/>
          <w:i/>
          <w:szCs w:val="24"/>
        </w:rPr>
      </w:pPr>
      <w:r w:rsidRPr="009A1B4C">
        <w:rPr>
          <w:b/>
          <w:i/>
        </w:rPr>
        <w:t>Alte observații</w:t>
      </w:r>
    </w:p>
    <w:p w:rsidR="00F22B1D" w:rsidRPr="009A1B4C" w:rsidRDefault="00F22B1D" w:rsidP="00F22B1D">
      <w:pPr>
        <w:spacing w:after="240"/>
        <w:ind w:left="567" w:hanging="567"/>
        <w:rPr>
          <w:szCs w:val="24"/>
        </w:rPr>
      </w:pPr>
      <w:r w:rsidRPr="009A1B4C">
        <w:t>25.</w:t>
      </w:r>
      <w:r w:rsidRPr="009A1B4C">
        <w:tab/>
        <w:t xml:space="preserve">observă că, în iunie 2022, Serviciul de Audit Intern (IAS) a publicat raportul de audit privind securitatea informațiilor și recuperarea în caz de dezastru, cu obiectivul de a evalua caracterul adecvat al conceperii și punerii în aplicare a guvernanței, și a identificat două observații și trei observații importante privind guvernanța securității </w:t>
      </w:r>
      <w:r w:rsidRPr="009A1B4C">
        <w:lastRenderedPageBreak/>
        <w:t>informatice; ia act de faptul că Autoritatea a acceptat recomandările Serviciului de Audit Intern și pune în aplicare în prezent un plan de acțiune;</w:t>
      </w:r>
    </w:p>
    <w:p w:rsidR="00F22B1D" w:rsidRPr="009A1B4C" w:rsidRDefault="00F22B1D" w:rsidP="00F22B1D">
      <w:pPr>
        <w:pStyle w:val="NormalHanging12a"/>
      </w:pPr>
      <w:r w:rsidRPr="009A1B4C">
        <w:t>26.</w:t>
      </w:r>
      <w:r w:rsidRPr="009A1B4C">
        <w:tab/>
        <w:t>salută eforturile Autorității de a-și spori vizibilitatea publică și prezența online prin lansarea campaniei „#</w:t>
      </w:r>
      <w:proofErr w:type="spellStart"/>
      <w:r w:rsidRPr="009A1B4C">
        <w:t>EUChooseSafeFood</w:t>
      </w:r>
      <w:proofErr w:type="spellEnd"/>
      <w:r w:rsidRPr="009A1B4C">
        <w:t xml:space="preserve">” pentru al doilea an, desfășurată în parteneriat cu autoritățile competente din statele membre, cu scopul de a explica într-un mod accesibil datele științifice care stau la baza siguranței alimentare în Uniune și organizarea conferinței „ONE – Sănătate, mediu, societate” în parteneriat cu celelalte patru agenții ENVI, care a condus la lansarea unui canal </w:t>
      </w:r>
      <w:proofErr w:type="spellStart"/>
      <w:r w:rsidRPr="009A1B4C">
        <w:t>Instagram</w:t>
      </w:r>
      <w:proofErr w:type="spellEnd"/>
      <w:r w:rsidRPr="009A1B4C">
        <w:t xml:space="preserve"> comun numit „</w:t>
      </w:r>
      <w:proofErr w:type="spellStart"/>
      <w:r w:rsidRPr="009A1B4C">
        <w:t>One</w:t>
      </w:r>
      <w:proofErr w:type="spellEnd"/>
      <w:r w:rsidRPr="009A1B4C">
        <w:t xml:space="preserve"> </w:t>
      </w:r>
      <w:proofErr w:type="spellStart"/>
      <w:r w:rsidRPr="009A1B4C">
        <w:t>Health</w:t>
      </w:r>
      <w:proofErr w:type="spellEnd"/>
      <w:r w:rsidRPr="009A1B4C">
        <w:t xml:space="preserve"> </w:t>
      </w:r>
      <w:proofErr w:type="spellStart"/>
      <w:r w:rsidRPr="009A1B4C">
        <w:t>One</w:t>
      </w:r>
      <w:proofErr w:type="spellEnd"/>
      <w:r w:rsidRPr="009A1B4C">
        <w:t xml:space="preserve"> </w:t>
      </w:r>
      <w:proofErr w:type="spellStart"/>
      <w:r w:rsidRPr="009A1B4C">
        <w:t>Environment</w:t>
      </w:r>
      <w:proofErr w:type="spellEnd"/>
      <w:r w:rsidRPr="009A1B4C">
        <w:t xml:space="preserve">” („O singură sănătate, un singur mediu”); constată, de asemenea, că Autoritatea a investit în asigurarea multilingvismului site-ului său de internet, prin intermediul </w:t>
      </w:r>
      <w:proofErr w:type="spellStart"/>
      <w:r w:rsidRPr="009A1B4C">
        <w:t>widgetului</w:t>
      </w:r>
      <w:proofErr w:type="spellEnd"/>
      <w:r w:rsidRPr="009A1B4C">
        <w:t xml:space="preserve"> </w:t>
      </w:r>
      <w:proofErr w:type="spellStart"/>
      <w:r w:rsidRPr="009A1B4C">
        <w:t>eTranslation</w:t>
      </w:r>
      <w:proofErr w:type="spellEnd"/>
      <w:r w:rsidRPr="009A1B4C">
        <w:t xml:space="preserve"> al Comisiei; constată, de asemenea, că Autoritatea a continuat în 2022 să investească în dezvoltarea portalului său „</w:t>
      </w:r>
      <w:proofErr w:type="spellStart"/>
      <w:r w:rsidRPr="009A1B4C">
        <w:t>OpenEFSA</w:t>
      </w:r>
      <w:proofErr w:type="spellEnd"/>
      <w:r w:rsidRPr="009A1B4C">
        <w:t>”, în conformitate cu cerințele Regulamentului (UE) 2019/1381;</w:t>
      </w:r>
    </w:p>
    <w:p w:rsidR="00F22B1D" w:rsidRPr="009A1B4C" w:rsidRDefault="00F22B1D" w:rsidP="00F22B1D">
      <w:pPr>
        <w:spacing w:after="240"/>
        <w:ind w:left="567" w:hanging="567"/>
        <w:rPr>
          <w:rFonts w:eastAsia="Calibri"/>
          <w:szCs w:val="24"/>
        </w:rPr>
      </w:pPr>
      <w:r w:rsidRPr="009A1B4C">
        <w:t>27.</w:t>
      </w:r>
      <w:r w:rsidRPr="009A1B4C">
        <w:tab/>
        <w:t>salută faptul că, în ultimii ani, Autoritatea a fost una dintre agențiile certificate EMAS; ia act de faptul că, în funcție de tipul de achiziție, Autoritatea aplică standardele privind „achizițiile publice ecologice (APE)” ca cerințe minime în caietul de sarcini pentru criteriile de selecție și/sau de atribuire;</w:t>
      </w:r>
    </w:p>
    <w:p w:rsidR="00F22B1D" w:rsidRPr="009A1B4C" w:rsidRDefault="00F22B1D" w:rsidP="00F22B1D">
      <w:pPr>
        <w:spacing w:after="240"/>
        <w:jc w:val="center"/>
      </w:pPr>
      <w:r w:rsidRPr="009A1B4C">
        <w:t>°</w:t>
      </w:r>
    </w:p>
    <w:p w:rsidR="00F22B1D" w:rsidRPr="009A1B4C" w:rsidRDefault="00F22B1D" w:rsidP="00F22B1D">
      <w:pPr>
        <w:pStyle w:val="NormalCenter12a"/>
      </w:pPr>
      <w:r w:rsidRPr="009A1B4C">
        <w:t>°</w:t>
      </w:r>
      <w:r w:rsidRPr="009A1B4C">
        <w:tab/>
        <w:t>°</w:t>
      </w:r>
    </w:p>
    <w:p w:rsidR="00F22B1D" w:rsidRPr="009A1B4C" w:rsidRDefault="00F22B1D" w:rsidP="00F22B1D">
      <w:pPr>
        <w:widowControl/>
        <w:spacing w:after="240"/>
        <w:ind w:left="567" w:hanging="567"/>
      </w:pPr>
      <w:r w:rsidRPr="009A1B4C">
        <w:t>28.</w:t>
      </w:r>
      <w:r w:rsidRPr="009A1B4C">
        <w:tab/>
        <w:t xml:space="preserve">face trimitere, pentru alte observații cu caracter orizontal care însoțesc decizia privind descărcarea de gestiune, la Rezoluția sa din </w:t>
      </w:r>
      <w:r w:rsidR="0015003D" w:rsidRPr="009A1B4C">
        <w:t>11 aprilie 2024</w:t>
      </w:r>
      <w:r w:rsidRPr="009A1B4C">
        <w:rPr>
          <w:rStyle w:val="FootnoteReference"/>
        </w:rPr>
        <w:footnoteReference w:id="13"/>
      </w:r>
      <w:r w:rsidRPr="009A1B4C">
        <w:t xml:space="preserve"> referitoare la performanțele, gestiunea financiară și controlul agențiilor.</w:t>
      </w:r>
    </w:p>
    <w:p w:rsidR="0015003D" w:rsidRPr="009A1B4C" w:rsidRDefault="0015003D" w:rsidP="00F22B1D">
      <w:pPr>
        <w:widowControl/>
        <w:spacing w:after="240"/>
        <w:ind w:left="567" w:hanging="567"/>
        <w:rPr>
          <w:szCs w:val="24"/>
        </w:rPr>
      </w:pPr>
    </w:p>
    <w:sectPr w:rsidR="0015003D" w:rsidRPr="009A1B4C" w:rsidSect="001500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F32" w:rsidRPr="00C935D0" w:rsidRDefault="00F00F32">
      <w:r w:rsidRPr="00C935D0">
        <w:separator/>
      </w:r>
    </w:p>
  </w:endnote>
  <w:endnote w:type="continuationSeparator" w:id="0">
    <w:p w:rsidR="00F00F32" w:rsidRPr="00C935D0" w:rsidRDefault="00F00F32">
      <w:r w:rsidRPr="00C93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1D" w:rsidRPr="00C935D0" w:rsidRDefault="00F22B1D" w:rsidP="00533E44">
    <w:pPr>
      <w:pStyle w:val="EPFooter"/>
    </w:pPr>
    <w:r w:rsidRPr="00C935D0">
      <w:t>PE</w:t>
    </w:r>
    <w:r w:rsidRPr="00C935D0">
      <w:rPr>
        <w:rStyle w:val="HideTWBExt"/>
      </w:rPr>
      <w:t>&lt;</w:t>
    </w:r>
    <w:proofErr w:type="spellStart"/>
    <w:r w:rsidRPr="00C935D0">
      <w:rPr>
        <w:rStyle w:val="HideTWBExt"/>
      </w:rPr>
      <w:t>NoPE</w:t>
    </w:r>
    <w:proofErr w:type="spellEnd"/>
    <w:r w:rsidRPr="00C935D0">
      <w:rPr>
        <w:rStyle w:val="HideTWBExt"/>
      </w:rPr>
      <w:t>&gt;</w:t>
    </w:r>
    <w:r w:rsidRPr="00C935D0">
      <w:t>753.519</w:t>
    </w:r>
    <w:r w:rsidRPr="00C935D0">
      <w:rPr>
        <w:rStyle w:val="HideTWBExt"/>
      </w:rPr>
      <w:t>&lt;/</w:t>
    </w:r>
    <w:proofErr w:type="spellStart"/>
    <w:r w:rsidRPr="00C935D0">
      <w:rPr>
        <w:rStyle w:val="HideTWBExt"/>
      </w:rPr>
      <w:t>NoPE</w:t>
    </w:r>
    <w:proofErr w:type="spellEnd"/>
    <w:r w:rsidRPr="00C935D0">
      <w:rPr>
        <w:rStyle w:val="HideTWBExt"/>
      </w:rPr>
      <w:t>&gt;&lt;Version&gt;</w:t>
    </w:r>
    <w:r w:rsidRPr="00C935D0">
      <w:t>v03-00</w:t>
    </w:r>
    <w:r w:rsidRPr="00C935D0">
      <w:rPr>
        <w:rStyle w:val="HideTWBExt"/>
      </w:rPr>
      <w:t>&lt;/</w:t>
    </w:r>
    <w:proofErr w:type="spellStart"/>
    <w:r w:rsidRPr="00C935D0">
      <w:rPr>
        <w:rStyle w:val="HideTWBExt"/>
      </w:rPr>
      <w:t>Version</w:t>
    </w:r>
    <w:proofErr w:type="spellEnd"/>
    <w:r w:rsidRPr="00C935D0">
      <w:rPr>
        <w:rStyle w:val="HideTWBExt"/>
      </w:rPr>
      <w:t>&gt;</w:t>
    </w:r>
    <w:r w:rsidRPr="00C935D0">
      <w:tab/>
    </w:r>
    <w:r w:rsidRPr="00C935D0">
      <w:fldChar w:fldCharType="begin"/>
    </w:r>
    <w:r w:rsidRPr="00C935D0">
      <w:instrText xml:space="preserve"> PAGE  \* MERGEFORMAT </w:instrText>
    </w:r>
    <w:r w:rsidRPr="00C935D0">
      <w:fldChar w:fldCharType="separate"/>
    </w:r>
    <w:r w:rsidR="00C935D0" w:rsidRPr="00C935D0">
      <w:rPr>
        <w:noProof/>
      </w:rPr>
      <w:t>2</w:t>
    </w:r>
    <w:r w:rsidRPr="00C935D0">
      <w:fldChar w:fldCharType="end"/>
    </w:r>
    <w:r w:rsidRPr="00C935D0">
      <w:t>/</w:t>
    </w:r>
    <w:fldSimple w:instr=" NUMPAGES  \* MERGEFORMAT ">
      <w:r w:rsidR="00C935D0" w:rsidRPr="00C935D0">
        <w:rPr>
          <w:noProof/>
        </w:rPr>
        <w:t>5</w:t>
      </w:r>
    </w:fldSimple>
    <w:r w:rsidRPr="00C935D0">
      <w:tab/>
    </w:r>
    <w:r w:rsidRPr="00C935D0">
      <w:rPr>
        <w:rStyle w:val="HideTWBExt"/>
      </w:rPr>
      <w:t>&lt;PathFdR&gt;</w:t>
    </w:r>
    <w:r w:rsidRPr="00C935D0">
      <w:t>RR\1299220RO.docx</w:t>
    </w:r>
    <w:r w:rsidRPr="00C935D0">
      <w:rPr>
        <w:rStyle w:val="HideTWBExt"/>
      </w:rPr>
      <w:t>&lt;/</w:t>
    </w:r>
    <w:proofErr w:type="spellStart"/>
    <w:r w:rsidRPr="00C935D0">
      <w:rPr>
        <w:rStyle w:val="HideTWBExt"/>
      </w:rPr>
      <w:t>PathFdR</w:t>
    </w:r>
    <w:proofErr w:type="spellEnd"/>
    <w:r w:rsidRPr="00C935D0">
      <w:rPr>
        <w:rStyle w:val="HideTWBExt"/>
      </w:rPr>
      <w:t>&gt;</w:t>
    </w:r>
  </w:p>
  <w:p w:rsidR="00F22B1D" w:rsidRPr="00C935D0" w:rsidRDefault="00F22B1D" w:rsidP="00533E44">
    <w:pPr>
      <w:pStyle w:val="EPFooter2"/>
    </w:pPr>
    <w:r w:rsidRPr="00C935D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1D" w:rsidRPr="00C935D0" w:rsidRDefault="00F22B1D" w:rsidP="00533E44">
    <w:pPr>
      <w:pStyle w:val="EPFooter"/>
    </w:pPr>
    <w:r w:rsidRPr="00C935D0">
      <w:rPr>
        <w:rStyle w:val="HideTWBExt"/>
      </w:rPr>
      <w:t>&lt;PathFdR&gt;</w:t>
    </w:r>
    <w:r w:rsidRPr="00C935D0">
      <w:t>RR\1299220RO.docx</w:t>
    </w:r>
    <w:r w:rsidRPr="00C935D0">
      <w:rPr>
        <w:rStyle w:val="HideTWBExt"/>
      </w:rPr>
      <w:t>&lt;/</w:t>
    </w:r>
    <w:proofErr w:type="spellStart"/>
    <w:r w:rsidRPr="00C935D0">
      <w:rPr>
        <w:rStyle w:val="HideTWBExt"/>
      </w:rPr>
      <w:t>PathFdR</w:t>
    </w:r>
    <w:proofErr w:type="spellEnd"/>
    <w:r w:rsidRPr="00C935D0">
      <w:rPr>
        <w:rStyle w:val="HideTWBExt"/>
      </w:rPr>
      <w:t>&gt;</w:t>
    </w:r>
    <w:r w:rsidRPr="00C935D0">
      <w:tab/>
    </w:r>
    <w:r w:rsidRPr="00C935D0">
      <w:tab/>
      <w:t>PE</w:t>
    </w:r>
    <w:r w:rsidRPr="00C935D0">
      <w:rPr>
        <w:rStyle w:val="HideTWBExt"/>
      </w:rPr>
      <w:t>&lt;</w:t>
    </w:r>
    <w:proofErr w:type="spellStart"/>
    <w:r w:rsidRPr="00C935D0">
      <w:rPr>
        <w:rStyle w:val="HideTWBExt"/>
      </w:rPr>
      <w:t>NoPE</w:t>
    </w:r>
    <w:proofErr w:type="spellEnd"/>
    <w:r w:rsidRPr="00C935D0">
      <w:rPr>
        <w:rStyle w:val="HideTWBExt"/>
      </w:rPr>
      <w:t>&gt;</w:t>
    </w:r>
    <w:r w:rsidRPr="00C935D0">
      <w:t>753.519</w:t>
    </w:r>
    <w:r w:rsidRPr="00C935D0">
      <w:rPr>
        <w:rStyle w:val="HideTWBExt"/>
      </w:rPr>
      <w:t>&lt;/</w:t>
    </w:r>
    <w:proofErr w:type="spellStart"/>
    <w:r w:rsidRPr="00C935D0">
      <w:rPr>
        <w:rStyle w:val="HideTWBExt"/>
      </w:rPr>
      <w:t>NoPE</w:t>
    </w:r>
    <w:proofErr w:type="spellEnd"/>
    <w:r w:rsidRPr="00C935D0">
      <w:rPr>
        <w:rStyle w:val="HideTWBExt"/>
      </w:rPr>
      <w:t>&gt;&lt;Version&gt;</w:t>
    </w:r>
    <w:r w:rsidRPr="00C935D0">
      <w:t>v03-00</w:t>
    </w:r>
    <w:r w:rsidRPr="00C935D0">
      <w:rPr>
        <w:rStyle w:val="HideTWBExt"/>
      </w:rPr>
      <w:t>&lt;/</w:t>
    </w:r>
    <w:proofErr w:type="spellStart"/>
    <w:r w:rsidRPr="00C935D0">
      <w:rPr>
        <w:rStyle w:val="HideTWBExt"/>
      </w:rPr>
      <w:t>Version</w:t>
    </w:r>
    <w:proofErr w:type="spellEnd"/>
    <w:r w:rsidRPr="00C935D0">
      <w:rPr>
        <w:rStyle w:val="HideTWBExt"/>
      </w:rPr>
      <w:t>&gt;</w:t>
    </w:r>
  </w:p>
  <w:p w:rsidR="00F22B1D" w:rsidRPr="00C935D0" w:rsidRDefault="00F22B1D" w:rsidP="00533E44">
    <w:pPr>
      <w:pStyle w:val="EPFooter2"/>
    </w:pPr>
    <w:r w:rsidRPr="00C935D0">
      <w:t>RO</w:t>
    </w:r>
    <w:r w:rsidRPr="00C935D0">
      <w:tab/>
    </w:r>
    <w:r w:rsidRPr="00C935D0">
      <w:rPr>
        <w:b w:val="0"/>
        <w:i/>
        <w:color w:val="C0C0C0"/>
        <w:sz w:val="22"/>
      </w:rPr>
      <w:t>Unită în diversitate</w:t>
    </w:r>
    <w:r w:rsidRPr="00C935D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F32" w:rsidRPr="00C935D0" w:rsidRDefault="00F00F32">
      <w:r w:rsidRPr="00C935D0">
        <w:separator/>
      </w:r>
    </w:p>
  </w:footnote>
  <w:footnote w:type="continuationSeparator" w:id="0">
    <w:p w:rsidR="00F00F32" w:rsidRPr="00C935D0" w:rsidRDefault="00F00F32">
      <w:r w:rsidRPr="00C935D0">
        <w:continuationSeparator/>
      </w:r>
    </w:p>
  </w:footnote>
  <w:footnote w:id="1">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C, C/2023/594, 27.10.2023.</w:t>
      </w:r>
    </w:p>
  </w:footnote>
  <w:footnote w:id="2">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C, C/2023/112, 12.10.2023.</w:t>
      </w:r>
    </w:p>
  </w:footnote>
  <w:footnote w:id="3">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193, 30.7.2018, p. 1.</w:t>
      </w:r>
    </w:p>
  </w:footnote>
  <w:footnote w:id="4">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31, 1.2.2002, p. 1.</w:t>
      </w:r>
    </w:p>
  </w:footnote>
  <w:footnote w:id="5">
    <w:p w:rsidR="00F22B1D" w:rsidRPr="009A1B4C" w:rsidRDefault="00F22B1D" w:rsidP="00C935D0">
      <w:pPr>
        <w:pStyle w:val="FootnoteText"/>
        <w:ind w:left="567" w:hanging="567"/>
        <w:rPr>
          <w:sz w:val="24"/>
          <w:szCs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122, 10.5.2019, p. 1.</w:t>
      </w:r>
    </w:p>
  </w:footnote>
  <w:footnote w:id="6">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C, C/2023/594, 27.10.2023.</w:t>
      </w:r>
    </w:p>
  </w:footnote>
  <w:footnote w:id="7">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C, C/2023/112, 12.10.2023.</w:t>
      </w:r>
    </w:p>
  </w:footnote>
  <w:footnote w:id="8">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193, 30.7.2018, p. 1.</w:t>
      </w:r>
    </w:p>
  </w:footnote>
  <w:footnote w:id="9">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31, 1.2.2002, p. 1.</w:t>
      </w:r>
    </w:p>
  </w:footnote>
  <w:footnote w:id="10">
    <w:p w:rsidR="00F22B1D" w:rsidRPr="009A1B4C" w:rsidRDefault="00F22B1D" w:rsidP="00C935D0">
      <w:pPr>
        <w:pStyle w:val="FootnoteText"/>
        <w:ind w:left="567" w:hanging="567"/>
        <w:rPr>
          <w:sz w:val="24"/>
          <w:szCs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L 122, 10.5.2019, p. 1.</w:t>
      </w:r>
    </w:p>
  </w:footnote>
  <w:footnote w:id="11">
    <w:p w:rsidR="00F22B1D" w:rsidRPr="009A1B4C" w:rsidRDefault="00F22B1D" w:rsidP="00C935D0">
      <w:pPr>
        <w:pStyle w:val="FootnoteText"/>
        <w:ind w:left="567" w:hanging="567"/>
        <w:rPr>
          <w:rFonts w:eastAsia="Calibri"/>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JO C 178, 29.4.2022, p.</w:t>
      </w:r>
      <w:r w:rsidR="00BE0C09">
        <w:rPr>
          <w:sz w:val="24"/>
          <w:lang w:val="ro-RO"/>
        </w:rPr>
        <w:t xml:space="preserve"> </w:t>
      </w:r>
      <w:bookmarkStart w:id="8" w:name="_GoBack"/>
      <w:bookmarkEnd w:id="8"/>
      <w:r w:rsidRPr="009A1B4C">
        <w:rPr>
          <w:sz w:val="24"/>
          <w:lang w:val="ro-RO"/>
        </w:rPr>
        <w:t>1.</w:t>
      </w:r>
    </w:p>
  </w:footnote>
  <w:footnote w:id="12">
    <w:p w:rsidR="00F22B1D" w:rsidRPr="009A1B4C" w:rsidRDefault="00F22B1D" w:rsidP="00C935D0">
      <w:pPr>
        <w:pStyle w:val="FootnoteText"/>
        <w:ind w:left="567" w:hanging="567"/>
        <w:rPr>
          <w:sz w:val="24"/>
          <w:lang w:val="ro-RO"/>
        </w:rPr>
      </w:pPr>
      <w:r w:rsidRPr="009A1B4C">
        <w:rPr>
          <w:rStyle w:val="FootnoteReference"/>
          <w:sz w:val="24"/>
          <w:lang w:val="ro-RO"/>
        </w:rPr>
        <w:footnoteRef/>
      </w:r>
      <w:r w:rsidR="00C935D0" w:rsidRPr="009A1B4C">
        <w:rPr>
          <w:sz w:val="24"/>
          <w:lang w:val="ro-RO"/>
        </w:rPr>
        <w:t xml:space="preserve"> </w:t>
      </w:r>
      <w:r w:rsidR="00C935D0" w:rsidRPr="009A1B4C">
        <w:rPr>
          <w:sz w:val="24"/>
          <w:lang w:val="ro-RO"/>
        </w:rPr>
        <w:tab/>
      </w:r>
      <w:r w:rsidRPr="009A1B4C">
        <w:rPr>
          <w:sz w:val="24"/>
          <w:lang w:val="ro-RO"/>
        </w:rPr>
        <w:t>Regulamentul (UE) 2019/1381 al Parlamentului European și al Consiliului din 20 iunie 2019 privind transparența și durabilitatea modelului UE de evaluare a riscurilor în cadrul lanțului alimentar și de modificare a Regulamentelor (CE) nr. 178/2002, (CE) nr. 1829/2003, (CE) nr. 1831/2003, (CE) nr. 2065/2003, (CE) nr. 1935/2004, (CE) nr. 1331/2008, (CE) nr. 1107/2009, (UE) 2015/2283 și a Directivei 2001/18/CE (JO L 231, 6.9.2019, p. 1).</w:t>
      </w:r>
    </w:p>
  </w:footnote>
  <w:footnote w:id="13">
    <w:p w:rsidR="00F22B1D" w:rsidRPr="00C935D0" w:rsidRDefault="00F22B1D" w:rsidP="00C935D0">
      <w:pPr>
        <w:pStyle w:val="FootnoteText"/>
        <w:ind w:left="567" w:hanging="567"/>
        <w:rPr>
          <w:sz w:val="24"/>
          <w:szCs w:val="24"/>
          <w:lang w:val="ro-RO"/>
        </w:rPr>
      </w:pPr>
      <w:r w:rsidRPr="009A1B4C">
        <w:rPr>
          <w:rStyle w:val="FootnoteReference"/>
          <w:sz w:val="24"/>
          <w:szCs w:val="24"/>
          <w:lang w:val="ro-RO"/>
        </w:rPr>
        <w:footnoteRef/>
      </w:r>
      <w:r w:rsidR="00C935D0" w:rsidRPr="009A1B4C">
        <w:rPr>
          <w:sz w:val="24"/>
          <w:lang w:val="ro-RO"/>
        </w:rPr>
        <w:t xml:space="preserve"> </w:t>
      </w:r>
      <w:r w:rsidR="00C935D0" w:rsidRPr="009A1B4C">
        <w:rPr>
          <w:sz w:val="24"/>
          <w:lang w:val="ro-RO"/>
        </w:rPr>
        <w:tab/>
      </w:r>
      <w:r w:rsidRPr="009A1B4C">
        <w:rPr>
          <w:sz w:val="24"/>
          <w:lang w:val="ro-RO"/>
        </w:rPr>
        <w:t>Texte adoptate, P9_TA(2024)</w:t>
      </w:r>
      <w:r w:rsidR="009A1B4C" w:rsidRPr="009A1B4C">
        <w:rPr>
          <w:sz w:val="24"/>
          <w:lang w:val="ro-RO"/>
        </w:rPr>
        <w:t>0280</w:t>
      </w:r>
      <w:r w:rsidRPr="009A1B4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07EADBD0">
      <w:start w:val="1"/>
      <w:numFmt w:val="upperLetter"/>
      <w:lvlText w:val="%1."/>
      <w:lvlJc w:val="left"/>
      <w:pPr>
        <w:tabs>
          <w:tab w:val="num" w:pos="360"/>
        </w:tabs>
        <w:ind w:left="360" w:hanging="360"/>
      </w:pPr>
      <w:rPr>
        <w:rFonts w:hint="default"/>
      </w:rPr>
    </w:lvl>
    <w:lvl w:ilvl="1" w:tplc="712E6414" w:tentative="1">
      <w:start w:val="1"/>
      <w:numFmt w:val="lowerLetter"/>
      <w:lvlText w:val="%2."/>
      <w:lvlJc w:val="left"/>
      <w:pPr>
        <w:tabs>
          <w:tab w:val="num" w:pos="1080"/>
        </w:tabs>
        <w:ind w:left="1080" w:hanging="360"/>
      </w:pPr>
    </w:lvl>
    <w:lvl w:ilvl="2" w:tplc="D6C83CCE" w:tentative="1">
      <w:start w:val="1"/>
      <w:numFmt w:val="lowerRoman"/>
      <w:lvlText w:val="%3."/>
      <w:lvlJc w:val="right"/>
      <w:pPr>
        <w:tabs>
          <w:tab w:val="num" w:pos="1800"/>
        </w:tabs>
        <w:ind w:left="1800" w:hanging="180"/>
      </w:pPr>
    </w:lvl>
    <w:lvl w:ilvl="3" w:tplc="31748BE4" w:tentative="1">
      <w:start w:val="1"/>
      <w:numFmt w:val="decimal"/>
      <w:lvlText w:val="%4."/>
      <w:lvlJc w:val="left"/>
      <w:pPr>
        <w:tabs>
          <w:tab w:val="num" w:pos="2520"/>
        </w:tabs>
        <w:ind w:left="2520" w:hanging="360"/>
      </w:pPr>
    </w:lvl>
    <w:lvl w:ilvl="4" w:tplc="4A3A1D64" w:tentative="1">
      <w:start w:val="1"/>
      <w:numFmt w:val="lowerLetter"/>
      <w:lvlText w:val="%5."/>
      <w:lvlJc w:val="left"/>
      <w:pPr>
        <w:tabs>
          <w:tab w:val="num" w:pos="3240"/>
        </w:tabs>
        <w:ind w:left="3240" w:hanging="360"/>
      </w:pPr>
    </w:lvl>
    <w:lvl w:ilvl="5" w:tplc="D4704B58" w:tentative="1">
      <w:start w:val="1"/>
      <w:numFmt w:val="lowerRoman"/>
      <w:lvlText w:val="%6."/>
      <w:lvlJc w:val="right"/>
      <w:pPr>
        <w:tabs>
          <w:tab w:val="num" w:pos="3960"/>
        </w:tabs>
        <w:ind w:left="3960" w:hanging="180"/>
      </w:pPr>
    </w:lvl>
    <w:lvl w:ilvl="6" w:tplc="BD96D5B2" w:tentative="1">
      <w:start w:val="1"/>
      <w:numFmt w:val="decimal"/>
      <w:lvlText w:val="%7."/>
      <w:lvlJc w:val="left"/>
      <w:pPr>
        <w:tabs>
          <w:tab w:val="num" w:pos="4680"/>
        </w:tabs>
        <w:ind w:left="4680" w:hanging="360"/>
      </w:pPr>
    </w:lvl>
    <w:lvl w:ilvl="7" w:tplc="C22C91A0" w:tentative="1">
      <w:start w:val="1"/>
      <w:numFmt w:val="lowerLetter"/>
      <w:lvlText w:val="%8."/>
      <w:lvlJc w:val="left"/>
      <w:pPr>
        <w:tabs>
          <w:tab w:val="num" w:pos="5400"/>
        </w:tabs>
        <w:ind w:left="5400" w:hanging="360"/>
      </w:pPr>
    </w:lvl>
    <w:lvl w:ilvl="8" w:tplc="31F639AC"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E7E5EFC">
      <w:start w:val="1"/>
      <w:numFmt w:val="decimal"/>
      <w:lvlText w:val="%1."/>
      <w:lvlJc w:val="left"/>
      <w:pPr>
        <w:tabs>
          <w:tab w:val="num" w:pos="720"/>
        </w:tabs>
        <w:ind w:left="720" w:hanging="360"/>
      </w:pPr>
    </w:lvl>
    <w:lvl w:ilvl="1" w:tplc="6E649264" w:tentative="1">
      <w:start w:val="1"/>
      <w:numFmt w:val="lowerLetter"/>
      <w:lvlText w:val="%2."/>
      <w:lvlJc w:val="left"/>
      <w:pPr>
        <w:tabs>
          <w:tab w:val="num" w:pos="1440"/>
        </w:tabs>
        <w:ind w:left="1440" w:hanging="360"/>
      </w:pPr>
    </w:lvl>
    <w:lvl w:ilvl="2" w:tplc="8CC627F8" w:tentative="1">
      <w:start w:val="1"/>
      <w:numFmt w:val="lowerRoman"/>
      <w:lvlText w:val="%3."/>
      <w:lvlJc w:val="right"/>
      <w:pPr>
        <w:tabs>
          <w:tab w:val="num" w:pos="2160"/>
        </w:tabs>
        <w:ind w:left="2160" w:hanging="180"/>
      </w:pPr>
    </w:lvl>
    <w:lvl w:ilvl="3" w:tplc="D584CDDC" w:tentative="1">
      <w:start w:val="1"/>
      <w:numFmt w:val="decimal"/>
      <w:lvlText w:val="%4."/>
      <w:lvlJc w:val="left"/>
      <w:pPr>
        <w:tabs>
          <w:tab w:val="num" w:pos="2880"/>
        </w:tabs>
        <w:ind w:left="2880" w:hanging="360"/>
      </w:pPr>
    </w:lvl>
    <w:lvl w:ilvl="4" w:tplc="0EBA3DF6" w:tentative="1">
      <w:start w:val="1"/>
      <w:numFmt w:val="lowerLetter"/>
      <w:lvlText w:val="%5."/>
      <w:lvlJc w:val="left"/>
      <w:pPr>
        <w:tabs>
          <w:tab w:val="num" w:pos="3600"/>
        </w:tabs>
        <w:ind w:left="3600" w:hanging="360"/>
      </w:pPr>
    </w:lvl>
    <w:lvl w:ilvl="5" w:tplc="73482CE2" w:tentative="1">
      <w:start w:val="1"/>
      <w:numFmt w:val="lowerRoman"/>
      <w:lvlText w:val="%6."/>
      <w:lvlJc w:val="right"/>
      <w:pPr>
        <w:tabs>
          <w:tab w:val="num" w:pos="4320"/>
        </w:tabs>
        <w:ind w:left="4320" w:hanging="180"/>
      </w:pPr>
    </w:lvl>
    <w:lvl w:ilvl="6" w:tplc="52D6412A" w:tentative="1">
      <w:start w:val="1"/>
      <w:numFmt w:val="decimal"/>
      <w:lvlText w:val="%7."/>
      <w:lvlJc w:val="left"/>
      <w:pPr>
        <w:tabs>
          <w:tab w:val="num" w:pos="5040"/>
        </w:tabs>
        <w:ind w:left="5040" w:hanging="360"/>
      </w:pPr>
    </w:lvl>
    <w:lvl w:ilvl="7" w:tplc="3DC29BFC" w:tentative="1">
      <w:start w:val="1"/>
      <w:numFmt w:val="lowerLetter"/>
      <w:lvlText w:val="%8."/>
      <w:lvlJc w:val="left"/>
      <w:pPr>
        <w:tabs>
          <w:tab w:val="num" w:pos="5760"/>
        </w:tabs>
        <w:ind w:left="5760" w:hanging="360"/>
      </w:pPr>
    </w:lvl>
    <w:lvl w:ilvl="8" w:tplc="BC6282C4"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RO"/>
    <w:docVar w:name="dvnumam" w:val="0"/>
    <w:docVar w:name="dvpe" w:val="753.519"/>
    <w:docVar w:name="dvrapporteur" w:val="Raportor: "/>
    <w:docVar w:name="dvtitre" w:val="1. Decizia Parlamentului European din 11 aprilie 2024 privind descărcarea de gestiune pentru execuția bugetului Autorității Europene pentru Siguranța Alimentară aferent exercițiului financiar 2022(2023/2151(DEC))"/>
  </w:docVars>
  <w:rsids>
    <w:rsidRoot w:val="00F00F32"/>
    <w:rsid w:val="00002272"/>
    <w:rsid w:val="00064002"/>
    <w:rsid w:val="000677B9"/>
    <w:rsid w:val="000831BA"/>
    <w:rsid w:val="000A42CC"/>
    <w:rsid w:val="000E7DD9"/>
    <w:rsid w:val="000F03BB"/>
    <w:rsid w:val="0010095E"/>
    <w:rsid w:val="00125B37"/>
    <w:rsid w:val="0015003D"/>
    <w:rsid w:val="00187494"/>
    <w:rsid w:val="001D616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B4C"/>
    <w:rsid w:val="00A1687D"/>
    <w:rsid w:val="00A43E52"/>
    <w:rsid w:val="00A4678D"/>
    <w:rsid w:val="00A778C7"/>
    <w:rsid w:val="00AB441E"/>
    <w:rsid w:val="00AB6293"/>
    <w:rsid w:val="00AE0928"/>
    <w:rsid w:val="00AF3B82"/>
    <w:rsid w:val="00B12E95"/>
    <w:rsid w:val="00B22876"/>
    <w:rsid w:val="00B558F0"/>
    <w:rsid w:val="00BD48FE"/>
    <w:rsid w:val="00BD7BD8"/>
    <w:rsid w:val="00BE0C09"/>
    <w:rsid w:val="00BE6ADC"/>
    <w:rsid w:val="00C05BFE"/>
    <w:rsid w:val="00C23CD4"/>
    <w:rsid w:val="00C61C0C"/>
    <w:rsid w:val="00C935D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F32"/>
    <w:rsid w:val="00F04346"/>
    <w:rsid w:val="00F075DC"/>
    <w:rsid w:val="00F149E9"/>
    <w:rsid w:val="00F22B1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F5747"/>
  <w15:chartTrackingRefBased/>
  <w15:docId w15:val="{0140810C-BAA3-40F8-A42F-B7974D68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22B1D"/>
    <w:rPr>
      <w:b/>
      <w:kern w:val="28"/>
      <w:sz w:val="28"/>
      <w:lang w:val="fr-FR" w:eastAsia="fr-FR"/>
    </w:rPr>
  </w:style>
  <w:style w:type="character" w:customStyle="1" w:styleId="Heading2Char">
    <w:name w:val="Heading 2 Char"/>
    <w:basedOn w:val="DefaultParagraphFont"/>
    <w:link w:val="Heading2"/>
    <w:semiHidden/>
    <w:rsid w:val="00F22B1D"/>
    <w:rPr>
      <w:sz w:val="24"/>
      <w:lang w:val="fr-FR" w:eastAsia="fr-FR"/>
    </w:rPr>
  </w:style>
  <w:style w:type="character" w:customStyle="1" w:styleId="Heading3Char">
    <w:name w:val="Heading 3 Char"/>
    <w:basedOn w:val="DefaultParagraphFont"/>
    <w:link w:val="Heading3"/>
    <w:semiHidden/>
    <w:rsid w:val="00F22B1D"/>
    <w:rPr>
      <w:rFonts w:ascii="Arial" w:hAnsi="Arial"/>
      <w:sz w:val="24"/>
      <w:lang w:val="fr-FR" w:eastAsia="fr-FR"/>
    </w:rPr>
  </w:style>
  <w:style w:type="character" w:customStyle="1" w:styleId="Heading4Char">
    <w:name w:val="Heading 4 Char"/>
    <w:basedOn w:val="DefaultParagraphFont"/>
    <w:link w:val="Heading4"/>
    <w:semiHidden/>
    <w:rsid w:val="00F22B1D"/>
    <w:rPr>
      <w:sz w:val="24"/>
      <w:lang w:val="en-US" w:eastAsia="fr-FR"/>
    </w:rPr>
  </w:style>
  <w:style w:type="character" w:customStyle="1" w:styleId="Heading5Char">
    <w:name w:val="Heading 5 Char"/>
    <w:basedOn w:val="DefaultParagraphFont"/>
    <w:link w:val="Heading5"/>
    <w:semiHidden/>
    <w:rsid w:val="00F22B1D"/>
    <w:rPr>
      <w:sz w:val="24"/>
      <w:lang w:val="en-US" w:eastAsia="fr-FR"/>
    </w:rPr>
  </w:style>
  <w:style w:type="character" w:customStyle="1" w:styleId="Heading6Char">
    <w:name w:val="Heading 6 Char"/>
    <w:basedOn w:val="DefaultParagraphFont"/>
    <w:link w:val="Heading6"/>
    <w:semiHidden/>
    <w:rsid w:val="00F22B1D"/>
    <w:rPr>
      <w:i/>
      <w:sz w:val="22"/>
      <w:lang w:val="ro-RO"/>
    </w:rPr>
  </w:style>
  <w:style w:type="character" w:customStyle="1" w:styleId="Heading7Char">
    <w:name w:val="Heading 7 Char"/>
    <w:basedOn w:val="DefaultParagraphFont"/>
    <w:link w:val="Heading7"/>
    <w:semiHidden/>
    <w:rsid w:val="00F22B1D"/>
    <w:rPr>
      <w:rFonts w:ascii="Arial" w:hAnsi="Arial"/>
      <w:sz w:val="24"/>
      <w:lang w:val="ro-RO"/>
    </w:rPr>
  </w:style>
  <w:style w:type="character" w:customStyle="1" w:styleId="Heading8Char">
    <w:name w:val="Heading 8 Char"/>
    <w:basedOn w:val="DefaultParagraphFont"/>
    <w:link w:val="Heading8"/>
    <w:semiHidden/>
    <w:rsid w:val="00F22B1D"/>
    <w:rPr>
      <w:rFonts w:ascii="Arial" w:hAnsi="Arial"/>
      <w:i/>
      <w:sz w:val="24"/>
      <w:lang w:val="ro-RO"/>
    </w:rPr>
  </w:style>
  <w:style w:type="character" w:customStyle="1" w:styleId="Heading9Char">
    <w:name w:val="Heading 9 Char"/>
    <w:basedOn w:val="DefaultParagraphFont"/>
    <w:link w:val="Heading9"/>
    <w:semiHidden/>
    <w:rsid w:val="00F22B1D"/>
    <w:rPr>
      <w:rFonts w:ascii="Arial" w:hAnsi="Arial"/>
      <w:b/>
      <w:i/>
      <w:sz w:val="18"/>
      <w:lang w:val="ro-RO"/>
    </w:rPr>
  </w:style>
  <w:style w:type="paragraph" w:styleId="TOCHeading">
    <w:name w:val="TOC Heading"/>
    <w:basedOn w:val="Normal"/>
    <w:next w:val="Normal"/>
    <w:unhideWhenUsed/>
    <w:qFormat/>
    <w:rsid w:val="00F22B1D"/>
    <w:pPr>
      <w:widowControl/>
      <w:spacing w:after="240"/>
    </w:pPr>
    <w:rPr>
      <w:lang w:val="en-GB"/>
    </w:rPr>
  </w:style>
  <w:style w:type="paragraph" w:customStyle="1" w:styleId="EPFooter2">
    <w:name w:val="EPFooter2"/>
    <w:basedOn w:val="Normal"/>
    <w:next w:val="Normal"/>
    <w:rsid w:val="00F22B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22B1D"/>
    <w:pPr>
      <w:spacing w:before="480" w:after="240"/>
    </w:pPr>
  </w:style>
  <w:style w:type="paragraph" w:customStyle="1" w:styleId="TOCPage">
    <w:name w:val="TOC Page"/>
    <w:basedOn w:val="Normal"/>
    <w:next w:val="TOC1"/>
    <w:rsid w:val="00F22B1D"/>
    <w:pPr>
      <w:keepNext/>
      <w:spacing w:after="240"/>
      <w:jc w:val="right"/>
    </w:pPr>
    <w:rPr>
      <w:rFonts w:ascii="Arial" w:hAnsi="Arial"/>
      <w:b/>
    </w:rPr>
  </w:style>
  <w:style w:type="paragraph" w:customStyle="1" w:styleId="PageHeading">
    <w:name w:val="PageHeading"/>
    <w:basedOn w:val="Normal"/>
    <w:rsid w:val="00F22B1D"/>
    <w:pPr>
      <w:keepNext/>
      <w:spacing w:after="480"/>
      <w:jc w:val="center"/>
    </w:pPr>
    <w:rPr>
      <w:rFonts w:ascii="Arial" w:hAnsi="Arial" w:cs="Arial"/>
      <w:b/>
    </w:rPr>
  </w:style>
  <w:style w:type="paragraph" w:customStyle="1" w:styleId="NormalBold">
    <w:name w:val="NormalBold"/>
    <w:basedOn w:val="Normal"/>
    <w:rsid w:val="00F22B1D"/>
    <w:rPr>
      <w:b/>
    </w:rPr>
  </w:style>
  <w:style w:type="paragraph" w:customStyle="1" w:styleId="NormalHanging12a">
    <w:name w:val="NormalHanging12a"/>
    <w:basedOn w:val="Normal"/>
    <w:link w:val="NormalHanging12aChar"/>
    <w:rsid w:val="00F22B1D"/>
    <w:pPr>
      <w:spacing w:after="240"/>
      <w:ind w:left="567" w:hanging="567"/>
    </w:pPr>
  </w:style>
  <w:style w:type="paragraph" w:customStyle="1" w:styleId="CoverNormal24a">
    <w:name w:val="CoverNormal24a"/>
    <w:basedOn w:val="Normal"/>
    <w:rsid w:val="00F22B1D"/>
    <w:pPr>
      <w:spacing w:after="480"/>
      <w:ind w:left="1417"/>
    </w:pPr>
  </w:style>
  <w:style w:type="paragraph" w:customStyle="1" w:styleId="CoverNormal">
    <w:name w:val="CoverNormal"/>
    <w:basedOn w:val="Normal"/>
    <w:rsid w:val="00F22B1D"/>
    <w:pPr>
      <w:ind w:left="1418"/>
    </w:pPr>
  </w:style>
  <w:style w:type="paragraph" w:customStyle="1" w:styleId="NormalCenter12a">
    <w:name w:val="NormalCenter12a"/>
    <w:basedOn w:val="Normal"/>
    <w:rsid w:val="00F22B1D"/>
    <w:pPr>
      <w:spacing w:after="240"/>
      <w:jc w:val="center"/>
    </w:pPr>
  </w:style>
  <w:style w:type="paragraph" w:customStyle="1" w:styleId="CoverReference">
    <w:name w:val="CoverReference"/>
    <w:basedOn w:val="Normal"/>
    <w:rsid w:val="00F22B1D"/>
    <w:pPr>
      <w:spacing w:before="1080"/>
      <w:jc w:val="right"/>
    </w:pPr>
    <w:rPr>
      <w:rFonts w:ascii="Arial" w:hAnsi="Arial" w:cs="Arial"/>
      <w:b/>
    </w:rPr>
  </w:style>
  <w:style w:type="paragraph" w:customStyle="1" w:styleId="CoverDocType24a">
    <w:name w:val="CoverDocType24a"/>
    <w:basedOn w:val="Normal"/>
    <w:rsid w:val="00F22B1D"/>
    <w:pPr>
      <w:spacing w:after="480"/>
      <w:ind w:left="1418"/>
    </w:pPr>
    <w:rPr>
      <w:rFonts w:ascii="Arial" w:hAnsi="Arial"/>
      <w:b/>
      <w:sz w:val="48"/>
    </w:rPr>
  </w:style>
  <w:style w:type="paragraph" w:customStyle="1" w:styleId="CoverDate">
    <w:name w:val="CoverDate"/>
    <w:basedOn w:val="Normal"/>
    <w:rsid w:val="00F22B1D"/>
    <w:pPr>
      <w:spacing w:before="240" w:after="1200"/>
    </w:pPr>
  </w:style>
  <w:style w:type="paragraph" w:styleId="Header">
    <w:name w:val="header"/>
    <w:basedOn w:val="Normal"/>
    <w:link w:val="HeaderChar"/>
    <w:rsid w:val="00F22B1D"/>
    <w:pPr>
      <w:tabs>
        <w:tab w:val="center" w:pos="4513"/>
        <w:tab w:val="right" w:pos="9026"/>
      </w:tabs>
    </w:pPr>
  </w:style>
  <w:style w:type="character" w:customStyle="1" w:styleId="HeaderChar">
    <w:name w:val="Header Char"/>
    <w:basedOn w:val="DefaultParagraphFont"/>
    <w:link w:val="Header"/>
    <w:rsid w:val="00F22B1D"/>
    <w:rPr>
      <w:sz w:val="24"/>
      <w:lang w:val="ro-RO"/>
    </w:rPr>
  </w:style>
  <w:style w:type="paragraph" w:customStyle="1" w:styleId="EPBody">
    <w:name w:val="EPBody"/>
    <w:basedOn w:val="Normal"/>
    <w:rsid w:val="00F22B1D"/>
    <w:pPr>
      <w:jc w:val="center"/>
    </w:pPr>
    <w:rPr>
      <w:rFonts w:ascii="Arial" w:hAnsi="Arial" w:cs="Arial"/>
      <w:i/>
      <w:sz w:val="22"/>
      <w:szCs w:val="22"/>
    </w:rPr>
  </w:style>
  <w:style w:type="paragraph" w:customStyle="1" w:styleId="EPFooter">
    <w:name w:val="EPFooter"/>
    <w:basedOn w:val="Normal"/>
    <w:rsid w:val="00F22B1D"/>
    <w:pPr>
      <w:tabs>
        <w:tab w:val="center" w:pos="4535"/>
        <w:tab w:val="right" w:pos="9071"/>
      </w:tabs>
      <w:spacing w:before="240" w:after="240"/>
    </w:pPr>
    <w:rPr>
      <w:color w:val="010000"/>
      <w:sz w:val="22"/>
    </w:rPr>
  </w:style>
  <w:style w:type="character" w:styleId="Hyperlink">
    <w:name w:val="Hyperlink"/>
    <w:basedOn w:val="DefaultParagraphFont"/>
    <w:unhideWhenUsed/>
    <w:rsid w:val="00F22B1D"/>
    <w:rPr>
      <w:color w:val="0563C1" w:themeColor="hyperlink"/>
      <w:u w:val="single"/>
    </w:rPr>
  </w:style>
  <w:style w:type="character" w:customStyle="1" w:styleId="NormalHanging12aChar">
    <w:name w:val="NormalHanging12a Char"/>
    <w:basedOn w:val="DefaultParagraphFont"/>
    <w:link w:val="NormalHanging12a"/>
    <w:locked/>
    <w:rsid w:val="00F22B1D"/>
    <w:rPr>
      <w:sz w:val="24"/>
      <w:lang w:val="ro-RO"/>
    </w:rPr>
  </w:style>
  <w:style w:type="paragraph" w:customStyle="1" w:styleId="Normal24a">
    <w:name w:val="Normal24a"/>
    <w:basedOn w:val="Normal"/>
    <w:rsid w:val="00F22B1D"/>
    <w:pPr>
      <w:spacing w:after="480"/>
    </w:pPr>
  </w:style>
  <w:style w:type="paragraph" w:customStyle="1" w:styleId="NormalBoldCenter">
    <w:name w:val="NormalBoldCenter"/>
    <w:basedOn w:val="Normal"/>
    <w:rsid w:val="00F22B1D"/>
    <w:pPr>
      <w:jc w:val="center"/>
    </w:pPr>
    <w:rPr>
      <w:b/>
    </w:rPr>
  </w:style>
  <w:style w:type="paragraph" w:customStyle="1" w:styleId="Normal12a">
    <w:name w:val="Normal12a"/>
    <w:basedOn w:val="Normal"/>
    <w:rsid w:val="00F22B1D"/>
    <w:pPr>
      <w:spacing w:after="240"/>
    </w:pPr>
  </w:style>
  <w:style w:type="paragraph" w:customStyle="1" w:styleId="PageHeadingNotTOC">
    <w:name w:val="PageHeadingNotTOC"/>
    <w:basedOn w:val="Normal"/>
    <w:rsid w:val="00F22B1D"/>
    <w:pPr>
      <w:keepNext/>
      <w:spacing w:after="480"/>
      <w:jc w:val="center"/>
    </w:pPr>
    <w:rPr>
      <w:rFonts w:ascii="Arial" w:hAnsi="Arial" w:cs="Arial"/>
      <w:b/>
    </w:rPr>
  </w:style>
  <w:style w:type="paragraph" w:customStyle="1" w:styleId="RollCallSymbols14pt">
    <w:name w:val="RollCallSymbols14pt"/>
    <w:basedOn w:val="Normal"/>
    <w:rsid w:val="00F22B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2B1D"/>
    <w:pPr>
      <w:tabs>
        <w:tab w:val="center" w:pos="284"/>
        <w:tab w:val="left" w:pos="426"/>
      </w:tabs>
    </w:pPr>
    <w:rPr>
      <w:snapToGrid w:val="0"/>
      <w:lang w:eastAsia="en-US"/>
    </w:rPr>
  </w:style>
  <w:style w:type="paragraph" w:customStyle="1" w:styleId="RollCallVotes">
    <w:name w:val="RollCallVotes"/>
    <w:basedOn w:val="Normal"/>
    <w:rsid w:val="00F22B1D"/>
    <w:pPr>
      <w:spacing w:before="120" w:after="120"/>
      <w:jc w:val="center"/>
    </w:pPr>
    <w:rPr>
      <w:b/>
      <w:bCs/>
      <w:snapToGrid w:val="0"/>
      <w:sz w:val="16"/>
      <w:lang w:eastAsia="en-US"/>
    </w:rPr>
  </w:style>
  <w:style w:type="paragraph" w:customStyle="1" w:styleId="RollCallTable">
    <w:name w:val="RollCallTable"/>
    <w:basedOn w:val="Normal"/>
    <w:rsid w:val="00F22B1D"/>
    <w:pPr>
      <w:spacing w:before="120" w:after="120"/>
    </w:pPr>
    <w:rPr>
      <w:snapToGrid w:val="0"/>
      <w:sz w:val="16"/>
      <w:lang w:eastAsia="en-US"/>
    </w:rPr>
  </w:style>
  <w:style w:type="paragraph" w:styleId="BalloonText">
    <w:name w:val="Balloon Text"/>
    <w:basedOn w:val="Normal"/>
    <w:link w:val="BalloonTextChar"/>
    <w:unhideWhenUsed/>
    <w:rsid w:val="00F22B1D"/>
    <w:rPr>
      <w:rFonts w:ascii="Segoe UI" w:hAnsi="Segoe UI" w:cs="Segoe UI"/>
      <w:sz w:val="18"/>
      <w:szCs w:val="18"/>
    </w:rPr>
  </w:style>
  <w:style w:type="character" w:customStyle="1" w:styleId="BalloonTextChar">
    <w:name w:val="Balloon Text Char"/>
    <w:basedOn w:val="DefaultParagraphFont"/>
    <w:link w:val="BalloonText"/>
    <w:rsid w:val="00F22B1D"/>
    <w:rPr>
      <w:rFonts w:ascii="Segoe UI" w:hAnsi="Segoe UI" w:cs="Segoe UI"/>
      <w:sz w:val="18"/>
      <w:szCs w:val="18"/>
      <w:lang w:val="ro-RO"/>
    </w:rPr>
  </w:style>
  <w:style w:type="paragraph" w:styleId="Footer">
    <w:name w:val="footer"/>
    <w:basedOn w:val="Normal"/>
    <w:link w:val="FooterChar"/>
    <w:rsid w:val="00F22B1D"/>
    <w:pPr>
      <w:tabs>
        <w:tab w:val="center" w:pos="4513"/>
        <w:tab w:val="right" w:pos="9026"/>
      </w:tabs>
    </w:pPr>
  </w:style>
  <w:style w:type="character" w:customStyle="1" w:styleId="FooterChar">
    <w:name w:val="Footer Char"/>
    <w:basedOn w:val="DefaultParagraphFont"/>
    <w:link w:val="Footer"/>
    <w:rsid w:val="00F22B1D"/>
    <w:rPr>
      <w:sz w:val="24"/>
      <w:lang w:val="ro-RO"/>
    </w:rPr>
  </w:style>
  <w:style w:type="character" w:styleId="CommentReference">
    <w:name w:val="annotation reference"/>
    <w:basedOn w:val="DefaultParagraphFont"/>
    <w:rsid w:val="00F22B1D"/>
    <w:rPr>
      <w:sz w:val="16"/>
      <w:szCs w:val="16"/>
    </w:rPr>
  </w:style>
  <w:style w:type="paragraph" w:styleId="CommentText">
    <w:name w:val="annotation text"/>
    <w:basedOn w:val="Normal"/>
    <w:link w:val="CommentTextChar"/>
    <w:rsid w:val="00F22B1D"/>
    <w:rPr>
      <w:sz w:val="20"/>
    </w:rPr>
  </w:style>
  <w:style w:type="character" w:customStyle="1" w:styleId="CommentTextChar">
    <w:name w:val="Comment Text Char"/>
    <w:basedOn w:val="DefaultParagraphFont"/>
    <w:link w:val="CommentText"/>
    <w:rsid w:val="00F22B1D"/>
    <w:rPr>
      <w:lang w:val="ro-RO"/>
    </w:rPr>
  </w:style>
  <w:style w:type="paragraph" w:styleId="CommentSubject">
    <w:name w:val="annotation subject"/>
    <w:basedOn w:val="CommentText"/>
    <w:next w:val="CommentText"/>
    <w:link w:val="CommentSubjectChar"/>
    <w:unhideWhenUsed/>
    <w:rsid w:val="00F22B1D"/>
    <w:rPr>
      <w:b/>
      <w:bCs/>
    </w:rPr>
  </w:style>
  <w:style w:type="character" w:customStyle="1" w:styleId="CommentSubjectChar">
    <w:name w:val="Comment Subject Char"/>
    <w:basedOn w:val="CommentTextChar"/>
    <w:link w:val="CommentSubject"/>
    <w:rsid w:val="00F22B1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30D94-DC60-452A-9DA7-727B40D52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2925</Words>
  <Characters>17575</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2024-05-22T07:09:00Z</dcterms:created>
  <dcterms:modified xsi:type="dcterms:W3CDTF">2024-05-22T07:09:00Z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P9_TA(2024)0250_</vt:lpwstr>
  </property>
  <property fmtid="{D5CDD505-2E9C-101B-9397-08002B2CF9AE}" pid="4" name="&lt;Type&gt;">
    <vt:lpwstr>RR</vt:lpwstr>
  </property>
</Properties>
</file>