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C0513" w:rsidRPr="00516DC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C0513" w:rsidRPr="00516DC1" w:rsidRDefault="00516DC1">
            <w:pPr>
              <w:pStyle w:val="EPName"/>
            </w:pPr>
            <w:r w:rsidRPr="00516DC1">
              <w:t>Európsky parlament</w:t>
            </w:r>
          </w:p>
          <w:p w:rsidR="00EC0513" w:rsidRPr="00516DC1" w:rsidRDefault="00516DC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6DC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EC0513" w:rsidRPr="00516DC1" w:rsidRDefault="00516DC1">
            <w:pPr>
              <w:pStyle w:val="EPLogo"/>
            </w:pPr>
            <w:r w:rsidRPr="00516D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0513" w:rsidRPr="00516DC1" w:rsidRDefault="00EC0513">
      <w:pPr>
        <w:pStyle w:val="LineTop"/>
      </w:pPr>
    </w:p>
    <w:p w:rsidR="00EC0513" w:rsidRPr="00516DC1" w:rsidRDefault="00516DC1">
      <w:pPr>
        <w:pStyle w:val="EPBodyTA1"/>
      </w:pPr>
      <w:r w:rsidRPr="00516DC1">
        <w:t>PRIJATÉ TEXTY</w:t>
      </w:r>
    </w:p>
    <w:p w:rsidR="00EC0513" w:rsidRPr="00516DC1" w:rsidRDefault="00EC0513">
      <w:pPr>
        <w:pStyle w:val="LineBottom"/>
      </w:pPr>
    </w:p>
    <w:p w:rsidR="00EC0513" w:rsidRPr="00516DC1" w:rsidRDefault="00516DC1">
      <w:pPr>
        <w:pStyle w:val="ATHeading1"/>
      </w:pPr>
      <w:bookmarkStart w:id="0" w:name="TANumber"/>
      <w:r w:rsidRPr="00516DC1">
        <w:t>P9_TA(2024)0</w:t>
      </w:r>
      <w:r w:rsidR="003E2340" w:rsidRPr="00516DC1">
        <w:t>250</w:t>
      </w:r>
      <w:bookmarkEnd w:id="0"/>
    </w:p>
    <w:p w:rsidR="00EC0513" w:rsidRPr="00516DC1" w:rsidRDefault="00516DC1">
      <w:pPr>
        <w:pStyle w:val="ATHeading2"/>
      </w:pPr>
      <w:bookmarkStart w:id="1" w:name="title"/>
      <w:r w:rsidRPr="00516DC1">
        <w:t>Absolutórium za rok 2022: Európsky úrad pre bezpečnosť potravín</w:t>
      </w:r>
      <w:bookmarkEnd w:id="1"/>
    </w:p>
    <w:p w:rsidR="00EC0513" w:rsidRPr="00516DC1" w:rsidRDefault="00516DC1">
      <w:pPr>
        <w:rPr>
          <w:i/>
          <w:vanish/>
        </w:rPr>
      </w:pPr>
      <w:r w:rsidRPr="00516DC1">
        <w:rPr>
          <w:i/>
        </w:rPr>
        <w:fldChar w:fldCharType="begin"/>
      </w:r>
      <w:r w:rsidRPr="00516DC1">
        <w:rPr>
          <w:i/>
        </w:rPr>
        <w:instrText xml:space="preserve"> TC"(</w:instrText>
      </w:r>
      <w:bookmarkStart w:id="2" w:name="DocNumber"/>
      <w:r w:rsidRPr="00516DC1">
        <w:rPr>
          <w:i/>
        </w:rPr>
        <w:instrText>A9-0129/2024</w:instrText>
      </w:r>
      <w:bookmarkEnd w:id="2"/>
      <w:r w:rsidRPr="00516DC1">
        <w:rPr>
          <w:i/>
        </w:rPr>
        <w:instrText xml:space="preserve"> - Spravodajca: Petri Sarvamaa)"\l3 \n&gt; \* MERGEFORMAT </w:instrText>
      </w:r>
      <w:r w:rsidRPr="00516DC1">
        <w:rPr>
          <w:i/>
        </w:rPr>
        <w:fldChar w:fldCharType="end"/>
      </w:r>
    </w:p>
    <w:p w:rsidR="00EC0513" w:rsidRPr="00516DC1" w:rsidRDefault="00516DC1">
      <w:pPr>
        <w:rPr>
          <w:vanish/>
        </w:rPr>
      </w:pPr>
      <w:bookmarkStart w:id="3" w:name="Commission"/>
      <w:r w:rsidRPr="00516DC1">
        <w:rPr>
          <w:vanish/>
        </w:rPr>
        <w:t>Výbor pre kontrolu rozpočtu</w:t>
      </w:r>
      <w:bookmarkEnd w:id="3"/>
    </w:p>
    <w:p w:rsidR="00EC0513" w:rsidRPr="00516DC1" w:rsidRDefault="00516DC1">
      <w:pPr>
        <w:rPr>
          <w:vanish/>
        </w:rPr>
      </w:pPr>
      <w:bookmarkStart w:id="4" w:name="PE"/>
      <w:r w:rsidRPr="00516DC1">
        <w:rPr>
          <w:vanish/>
        </w:rPr>
        <w:t>PE753.519</w:t>
      </w:r>
      <w:bookmarkEnd w:id="4"/>
    </w:p>
    <w:p w:rsidR="00EC0513" w:rsidRPr="00516DC1" w:rsidRDefault="00516DC1">
      <w:pPr>
        <w:pStyle w:val="ATHeading3"/>
      </w:pPr>
      <w:bookmarkStart w:id="5" w:name="Sujet"/>
      <w:r w:rsidRPr="00516DC1">
        <w:t>1. Rozhodnutie Európskeho parlamentu z 11. apríla 2024 o absolutóriu za plnenie rozpočtu Európskeho úradu pre bezpečnosť potravín za rozpočtový rok 2022</w:t>
      </w:r>
      <w:bookmarkEnd w:id="5"/>
      <w:r w:rsidRPr="00516DC1">
        <w:t xml:space="preserve"> </w:t>
      </w:r>
      <w:bookmarkStart w:id="6" w:name="References"/>
      <w:r w:rsidRPr="00516DC1">
        <w:t>(2023/2151(DEC))</w:t>
      </w:r>
      <w:bookmarkEnd w:id="6"/>
    </w:p>
    <w:p w:rsidR="00EC0513" w:rsidRPr="00516DC1" w:rsidRDefault="00516DC1">
      <w:pPr>
        <w:pStyle w:val="EPComma"/>
      </w:pPr>
      <w:bookmarkStart w:id="7" w:name="TextBodyBegin"/>
      <w:bookmarkEnd w:id="7"/>
      <w:r w:rsidRPr="00516DC1">
        <w:rPr>
          <w:i/>
          <w:iCs/>
        </w:rPr>
        <w:t>Európsky parlament</w:t>
      </w:r>
      <w:r w:rsidRPr="00516DC1">
        <w:t>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konečnú ročnú účtovnú závierku Európskeho úradu pre bezpečnosť potravín za rozpočtový rok 2022,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výročnú správu Dvora audítorov o agentúrach EÚ za rozpočtový rok 2022 spolu s odpoveďami agentúr</w:t>
      </w:r>
      <w:r w:rsidRPr="00516DC1">
        <w:rPr>
          <w:rStyle w:val="FootnoteReference"/>
        </w:rPr>
        <w:footnoteReference w:id="1"/>
      </w:r>
      <w:r w:rsidRPr="00516DC1">
        <w:t>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vyhlásenie o vierohodnosti</w:t>
      </w:r>
      <w:r w:rsidRPr="00516DC1">
        <w:rPr>
          <w:rStyle w:val="FootnoteReference"/>
        </w:rPr>
        <w:footnoteReference w:id="2"/>
      </w:r>
      <w:r w:rsidRPr="00516DC1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odporúčanie Rady z 22. februára 2024 o udelení absolutória úradu za plnenie rozpočtu za rozpočtový rok 2022 (06180/2024 – C9</w:t>
      </w:r>
      <w:r w:rsidRPr="00516DC1">
        <w:noBreakHyphen/>
        <w:t>0089/2024),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článok 319 Zmluvy o fungovaní Európskej únie,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 xml:space="preserve">so zreteľom na nariadenie Európskeho parlamentu a Rady (EÚ, </w:t>
      </w:r>
      <w:proofErr w:type="spellStart"/>
      <w:r w:rsidRPr="00516DC1">
        <w:t>Euratom</w:t>
      </w:r>
      <w:proofErr w:type="spellEnd"/>
      <w:r w:rsidRPr="00516DC1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516DC1">
        <w:t>Euratom</w:t>
      </w:r>
      <w:proofErr w:type="spellEnd"/>
      <w:r w:rsidRPr="00516DC1">
        <w:t>) č. 966/2012</w:t>
      </w:r>
      <w:r w:rsidRPr="00516DC1">
        <w:rPr>
          <w:rStyle w:val="FootnoteReference"/>
        </w:rPr>
        <w:footnoteReference w:id="3"/>
      </w:r>
      <w:r w:rsidRPr="00516DC1">
        <w:t>, a najmä na jeho článok 70,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 xml:space="preserve">so zreteľom na nariadenie Európskeho parlamentu a Rady (ES) č. 178/2002 z 28. januára 2002, ktorým sa ustanovujú všeobecné zásady a požiadavky potravinového práva, zriaďuje Európsky úrad pre bezpečnosť potravín a stanovujú postupy v </w:t>
      </w:r>
      <w:r w:rsidRPr="00516DC1">
        <w:lastRenderedPageBreak/>
        <w:t>záležitostiach bezpečnosti potravín</w:t>
      </w:r>
      <w:r w:rsidRPr="00516DC1">
        <w:rPr>
          <w:rStyle w:val="FootnoteReference"/>
        </w:rPr>
        <w:footnoteReference w:id="4"/>
      </w:r>
      <w:r w:rsidRPr="00516DC1">
        <w:t>, a najmä na jeho článok 44,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delegované nariadenie Komisie (EÚ) 2019/715 z 18. decembra 2018 o rámcovom nariadení o rozpočtových pravidlách pre subjekty zriadené podľa ZFEÚ a Zmluvy o </w:t>
      </w:r>
      <w:proofErr w:type="spellStart"/>
      <w:r w:rsidRPr="00516DC1">
        <w:t>Euratome</w:t>
      </w:r>
      <w:proofErr w:type="spellEnd"/>
      <w:r w:rsidRPr="00516DC1">
        <w:t xml:space="preserve"> a uvedené v článku 70 nariadenia Európskeho parlamentu a Rady (EÚ, </w:t>
      </w:r>
      <w:proofErr w:type="spellStart"/>
      <w:r w:rsidRPr="00516DC1">
        <w:t>Euratom</w:t>
      </w:r>
      <w:proofErr w:type="spellEnd"/>
      <w:r w:rsidRPr="00516DC1">
        <w:t>) 2018/1046</w:t>
      </w:r>
      <w:r w:rsidRPr="00516DC1">
        <w:rPr>
          <w:rStyle w:val="FootnoteReference"/>
        </w:rPr>
        <w:footnoteReference w:id="5"/>
      </w:r>
      <w:r w:rsidRPr="00516DC1">
        <w:t>, a najmä na jeho článok 105,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článok 100 a prílohu V k rokovaciemu poriadku,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stanovisko Výboru pre životné prostredie, verejné zdravie a bezpečnosť potravín,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správu Výboru pre kontrolu rozpočtu (A9-0129/2024),</w:t>
      </w:r>
    </w:p>
    <w:p w:rsidR="00EC0513" w:rsidRPr="00516DC1" w:rsidRDefault="00516DC1">
      <w:pPr>
        <w:pStyle w:val="NormalHanging12a"/>
      </w:pPr>
      <w:r w:rsidRPr="00516DC1">
        <w:t>1.</w:t>
      </w:r>
      <w:r w:rsidRPr="00516DC1">
        <w:tab/>
        <w:t>udeľuje absolutórium výkonnému riaditeľovi Európskeho úradu pre bezpečnosť potravín za plnenie rozpočtu úradu za rozpočtový rok 2022;</w:t>
      </w:r>
    </w:p>
    <w:p w:rsidR="00EC0513" w:rsidRPr="00516DC1" w:rsidRDefault="00516DC1">
      <w:pPr>
        <w:pStyle w:val="NormalHanging12a"/>
      </w:pPr>
      <w:r w:rsidRPr="00516DC1">
        <w:t>2.</w:t>
      </w:r>
      <w:r w:rsidRPr="00516DC1">
        <w:tab/>
        <w:t>uvádza svoje poznámky v priloženom uznesení;</w:t>
      </w:r>
    </w:p>
    <w:p w:rsidR="00EC0513" w:rsidRPr="00516DC1" w:rsidRDefault="00516DC1">
      <w:pPr>
        <w:pStyle w:val="NormalHanging12a"/>
      </w:pPr>
      <w:r w:rsidRPr="00516DC1">
        <w:t>3.</w:t>
      </w:r>
      <w:r w:rsidRPr="00516DC1">
        <w:tab/>
        <w:t xml:space="preserve">poveruje svoju predsedníčku, aby postúpila toto rozhodnutie a uznesenie, ktoré je jeho neoddeliteľnou súčasťou, výkonnému riaditeľovi Európskeho úradu pre bezpečnosť potravín, Rade, Komisii a Dvoru audítorov a aby zabezpečila ich uverejnenie v </w:t>
      </w:r>
      <w:r w:rsidRPr="00516DC1">
        <w:rPr>
          <w:i/>
          <w:iCs/>
        </w:rPr>
        <w:t>Úradnom vestníku Európskej únie</w:t>
      </w:r>
      <w:r w:rsidRPr="00516DC1">
        <w:t xml:space="preserve"> (v sérii L).</w:t>
      </w:r>
    </w:p>
    <w:p w:rsidR="00EC0513" w:rsidRPr="00516DC1" w:rsidRDefault="00EC0513"/>
    <w:p w:rsidR="00EC0513" w:rsidRPr="00516DC1" w:rsidRDefault="00EC0513">
      <w:pPr>
        <w:widowControl/>
        <w:rPr>
          <w:rFonts w:ascii="Arial" w:hAnsi="Arial" w:cs="Arial"/>
          <w:b/>
        </w:rPr>
        <w:sectPr w:rsidR="00EC0513" w:rsidRPr="00516DC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EC0513" w:rsidRPr="00516DC1" w:rsidRDefault="00516DC1">
      <w:pPr>
        <w:pStyle w:val="NormalBold"/>
      </w:pPr>
      <w:r w:rsidRPr="00516DC1">
        <w:lastRenderedPageBreak/>
        <w:t>2. Rozhodnutie Európskeho parlamentu z 11. apríla 2024 o účtovnej závierke Európskeho úradu pre bezpečnosť potravín za rozpočtový rok 2022 (2023/2151(DEC))</w:t>
      </w:r>
    </w:p>
    <w:p w:rsidR="00EC0513" w:rsidRPr="00516DC1" w:rsidRDefault="00516DC1">
      <w:pPr>
        <w:pStyle w:val="EPComma"/>
      </w:pPr>
      <w:r w:rsidRPr="00516DC1">
        <w:rPr>
          <w:i/>
          <w:iCs/>
        </w:rPr>
        <w:t>Európsky parlament</w:t>
      </w:r>
      <w:r w:rsidRPr="00516DC1">
        <w:t>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konečnú ročnú účtovnú závierku Európskeho úradu pre bezpečnosť potravín za rozpočtový rok 2022,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výročnú správu Dvora audítorov o agentúrach EÚ za rozpočtový rok 2022 spolu s odpoveďami agentúr</w:t>
      </w:r>
      <w:r w:rsidRPr="00516DC1">
        <w:rPr>
          <w:rStyle w:val="FootnoteReference"/>
        </w:rPr>
        <w:footnoteReference w:id="6"/>
      </w:r>
      <w:r w:rsidRPr="00516DC1">
        <w:t>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vyhlásenie o vierohodnosti</w:t>
      </w:r>
      <w:r w:rsidRPr="00516DC1">
        <w:rPr>
          <w:rStyle w:val="FootnoteReference"/>
        </w:rPr>
        <w:footnoteReference w:id="7"/>
      </w:r>
      <w:r w:rsidRPr="00516DC1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odporúčanie Rady z 22. februára 2024 o udelení absolutória úradu za plnenie rozpočtu za rozpočtový rok 2022 (06180/2024 – C9</w:t>
      </w:r>
      <w:r w:rsidRPr="00516DC1">
        <w:noBreakHyphen/>
        <w:t>0089/2024),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článok 319 Zmluvy o fungovaní Európskej únie,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 xml:space="preserve">so zreteľom na nariadenie Európskeho parlamentu a Rady (EÚ, </w:t>
      </w:r>
      <w:proofErr w:type="spellStart"/>
      <w:r w:rsidRPr="00516DC1">
        <w:t>Euratom</w:t>
      </w:r>
      <w:proofErr w:type="spellEnd"/>
      <w:r w:rsidRPr="00516DC1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516DC1">
        <w:t>Euratom</w:t>
      </w:r>
      <w:proofErr w:type="spellEnd"/>
      <w:r w:rsidRPr="00516DC1">
        <w:t>) č. 966/2012</w:t>
      </w:r>
      <w:r w:rsidRPr="00516DC1">
        <w:rPr>
          <w:rStyle w:val="FootnoteReference"/>
        </w:rPr>
        <w:footnoteReference w:id="8"/>
      </w:r>
      <w:r w:rsidRPr="00516DC1">
        <w:t>, a najmä na jeho článok 70,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nariadenie Európskeho parlamentu a Rady (ES) č. 178/2002 z 28. januára 2002, ktorým sa ustanovujú všeobecné zásady a požiadavky potravinového práva, zriaďuje Európsky úrad pre bezpečnosť potravín a stanovujú postupy v záležitostiach bezpečnosti potravín</w:t>
      </w:r>
      <w:r w:rsidRPr="00516DC1">
        <w:rPr>
          <w:rStyle w:val="FootnoteReference"/>
        </w:rPr>
        <w:footnoteReference w:id="9"/>
      </w:r>
      <w:r w:rsidRPr="00516DC1">
        <w:t>, a najmä na jeho článok 44,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delegované nariadenie Komisie (EÚ) 2019/715 z 18. decembra 2018 o rámcovom nariadení o rozpočtových pravidlách pre subjekty zriadené podľa ZFEÚ a Zmluvy o </w:t>
      </w:r>
      <w:proofErr w:type="spellStart"/>
      <w:r w:rsidRPr="00516DC1">
        <w:t>Euratome</w:t>
      </w:r>
      <w:proofErr w:type="spellEnd"/>
      <w:r w:rsidRPr="00516DC1">
        <w:t xml:space="preserve"> a uvedené v článku 70 nariadenia Európskeho parlamentu a Rady (EÚ, </w:t>
      </w:r>
      <w:proofErr w:type="spellStart"/>
      <w:r w:rsidRPr="00516DC1">
        <w:t>Euratom</w:t>
      </w:r>
      <w:proofErr w:type="spellEnd"/>
      <w:r w:rsidRPr="00516DC1">
        <w:t>) 2018/1046</w:t>
      </w:r>
      <w:r w:rsidRPr="00516DC1">
        <w:rPr>
          <w:rStyle w:val="FootnoteReference"/>
        </w:rPr>
        <w:footnoteReference w:id="10"/>
      </w:r>
      <w:r w:rsidRPr="00516DC1">
        <w:t>, a najmä na jeho článok 105,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článok 100 a prílohu V k rokovaciemu poriadku,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stanovisko Výboru pre životné prostredie, verejné zdravie a bezpečnosť potravín,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správu Výboru pre kontrolu rozpočtu (A9-0129/2024),</w:t>
      </w:r>
    </w:p>
    <w:p w:rsidR="00EC0513" w:rsidRPr="00516DC1" w:rsidRDefault="00516DC1">
      <w:pPr>
        <w:pStyle w:val="NormalHanging12a"/>
      </w:pPr>
      <w:r w:rsidRPr="00516DC1">
        <w:t>1.</w:t>
      </w:r>
      <w:r w:rsidRPr="00516DC1">
        <w:tab/>
        <w:t>schvaľuje účtovnú závierku Európskeho úradu pre bezpečnosť potravín za rozpočtový rok 2022;</w:t>
      </w:r>
    </w:p>
    <w:p w:rsidR="00EC0513" w:rsidRPr="00516DC1" w:rsidRDefault="00516DC1">
      <w:pPr>
        <w:pStyle w:val="NormalHanging12a"/>
      </w:pPr>
      <w:r w:rsidRPr="00516DC1">
        <w:lastRenderedPageBreak/>
        <w:t>2.</w:t>
      </w:r>
      <w:r w:rsidRPr="00516DC1">
        <w:tab/>
        <w:t xml:space="preserve">poveruje svoju predsedníčku, aby postúpila toto rozhodnutie výkonnému riaditeľovi Európskeho úradu pre bezpečnosť potravín, Rade, Komisii a Dvoru audítorov a aby zabezpečila jeho uverejnenie v </w:t>
      </w:r>
      <w:r w:rsidRPr="00516DC1">
        <w:rPr>
          <w:i/>
          <w:iCs/>
        </w:rPr>
        <w:t>Úradnom vestníku Európskej únie</w:t>
      </w:r>
      <w:r w:rsidRPr="00516DC1">
        <w:t xml:space="preserve"> (v sérii L).</w:t>
      </w:r>
    </w:p>
    <w:p w:rsidR="00EC0513" w:rsidRPr="00516DC1" w:rsidRDefault="00EC0513"/>
    <w:p w:rsidR="00EC0513" w:rsidRPr="00516DC1" w:rsidRDefault="00EC0513">
      <w:pPr>
        <w:widowControl/>
        <w:rPr>
          <w:rFonts w:ascii="Arial" w:hAnsi="Arial" w:cs="Arial"/>
          <w:b/>
        </w:rPr>
        <w:sectPr w:rsidR="00EC0513" w:rsidRPr="00516DC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EC0513" w:rsidRPr="00516DC1" w:rsidRDefault="00516DC1">
      <w:pPr>
        <w:pStyle w:val="NormalBold"/>
      </w:pPr>
      <w:r w:rsidRPr="00516DC1">
        <w:lastRenderedPageBreak/>
        <w:t>3. Uznesenie Európskeho parlamentu z 11. apríla 2024 s poznámkami, ktoré je neoddeliteľnou súčasťou rozhodnutia o absolutóriu za plnenie rozpočtu Európskeho úradu pre bezpečnosť potravín za rozpočtový rok 2022 (2023/2151(DEC))</w:t>
      </w:r>
    </w:p>
    <w:p w:rsidR="00EC0513" w:rsidRPr="00516DC1" w:rsidRDefault="00516DC1">
      <w:pPr>
        <w:pStyle w:val="EPComma"/>
      </w:pPr>
      <w:r w:rsidRPr="00516DC1">
        <w:rPr>
          <w:i/>
          <w:iCs/>
        </w:rPr>
        <w:t>Európsky parlament</w:t>
      </w:r>
      <w:r w:rsidRPr="00516DC1">
        <w:t>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svoje rozhodnutie o absolutóriu za plnenie rozpočtu Európskeho úradu pre bezpečnosť potravín za rozpočtový rok 2022,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článok 100 a prílohu V k rokovaciemu poriadku,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stanovisko Výboru pre životné prostredie, verejné zdravie a bezpečnosť potravín,</w:t>
      </w:r>
    </w:p>
    <w:p w:rsidR="00EC0513" w:rsidRPr="00516DC1" w:rsidRDefault="00516DC1">
      <w:pPr>
        <w:pStyle w:val="NormalHanging12a"/>
      </w:pPr>
      <w:r w:rsidRPr="00516DC1">
        <w:t>–</w:t>
      </w:r>
      <w:r w:rsidRPr="00516DC1">
        <w:tab/>
        <w:t>so zreteľom na správu Výboru pre kontrolu rozpočtu (A9-0129/2024),</w:t>
      </w:r>
    </w:p>
    <w:p w:rsidR="00EC0513" w:rsidRPr="00516DC1" w:rsidRDefault="00516DC1">
      <w:pPr>
        <w:autoSpaceDE w:val="0"/>
        <w:autoSpaceDN w:val="0"/>
        <w:adjustRightInd w:val="0"/>
        <w:spacing w:after="240"/>
        <w:ind w:left="567" w:hanging="567"/>
        <w:rPr>
          <w:rFonts w:eastAsia="Calibri"/>
          <w:szCs w:val="24"/>
        </w:rPr>
      </w:pPr>
      <w:r w:rsidRPr="00516DC1">
        <w:t>A.</w:t>
      </w:r>
      <w:r w:rsidRPr="00516DC1">
        <w:tab/>
        <w:t>keďže podľa výkazu príjmov a výdavkov</w:t>
      </w:r>
      <w:r w:rsidRPr="00516DC1">
        <w:rPr>
          <w:rFonts w:eastAsia="Calibri"/>
          <w:szCs w:val="24"/>
          <w:vertAlign w:val="superscript"/>
        </w:rPr>
        <w:footnoteReference w:id="11"/>
      </w:r>
      <w:r w:rsidRPr="00516DC1">
        <w:t xml:space="preserve"> predstavoval konečný rozpočet Európskeho úradu pre bezpečnosť potravín (ďalej len „úrad“) na rozpočtový rok 2022 sumu 149 841 816,93 EUR, čo v porovnaní s rokom 2021 predstavuje nárast o 15,99 %; keďže rozpočet úradu pochádza najmä z rozpočtu Únie;</w:t>
      </w:r>
    </w:p>
    <w:p w:rsidR="00EC0513" w:rsidRPr="00516DC1" w:rsidRDefault="00516DC1">
      <w:pPr>
        <w:spacing w:after="240"/>
        <w:ind w:left="567" w:hanging="567"/>
        <w:rPr>
          <w:szCs w:val="24"/>
        </w:rPr>
      </w:pPr>
      <w:r w:rsidRPr="00516DC1">
        <w:t>B.</w:t>
      </w:r>
      <w:r w:rsidRPr="00516DC1">
        <w:tab/>
        <w:t>keďže Dvor audítorov v svojej správe o overení ročnej účtovnej závierky úradu za rozpočtový rok 2022 (ďalej len „správa Dvora audítorov“) uvádza, že získal primeranú istotu o tom, že ročná účtovná závierka úradu je spoľahlivá a že príslušné operácie sú zákonné a správne;</w:t>
      </w:r>
    </w:p>
    <w:p w:rsidR="00EC0513" w:rsidRPr="00516DC1" w:rsidRDefault="00516DC1">
      <w:pPr>
        <w:widowControl/>
        <w:spacing w:after="240"/>
        <w:ind w:left="567" w:hanging="567"/>
        <w:rPr>
          <w:szCs w:val="24"/>
        </w:rPr>
      </w:pPr>
      <w:r w:rsidRPr="00516DC1">
        <w:t>C.</w:t>
      </w:r>
      <w:r w:rsidRPr="00516DC1">
        <w:tab/>
        <w:t>keďže pokiaľ ide o oblasť verejného obstarávania úradu, v roku 2022 neboli hlásené žiadne problémy, ktoré by si vyžadovali nápravné opatrenia, neprebiehajú žiadne nápravné opatrenia z auditov a posúdení z predchádzajúcich rokov a nie sú žiadne nápravné opatrenia, ktoré by boli nevyriešené;</w:t>
      </w:r>
    </w:p>
    <w:p w:rsidR="00EC0513" w:rsidRPr="00516DC1" w:rsidRDefault="00516DC1">
      <w:pPr>
        <w:widowControl/>
        <w:spacing w:after="240"/>
        <w:ind w:left="567" w:hanging="567"/>
        <w:rPr>
          <w:szCs w:val="24"/>
        </w:rPr>
      </w:pPr>
      <w:r w:rsidRPr="00516DC1">
        <w:t>D.</w:t>
      </w:r>
      <w:r w:rsidRPr="00516DC1">
        <w:tab/>
        <w:t>keďže pokiaľ ide o systémy vnútornej kontroly úradu, v roku 2022 neboli hlásené žiadne problémy, ktoré by si vyžadovali nápravné opatrenia, ani neprebiehajú žiadne nápravné opatrenia z auditov a posúdení z predchádzajúcich rokov a nie sú žiadne nápravné opatrenia, ktoré by boli nevyriešené;</w:t>
      </w:r>
    </w:p>
    <w:p w:rsidR="00EC0513" w:rsidRPr="00516DC1" w:rsidRDefault="00516DC1">
      <w:pPr>
        <w:spacing w:after="240"/>
        <w:ind w:left="567" w:hanging="567"/>
        <w:rPr>
          <w:b/>
          <w:i/>
          <w:szCs w:val="24"/>
        </w:rPr>
      </w:pPr>
      <w:r w:rsidRPr="00516DC1">
        <w:rPr>
          <w:b/>
          <w:i/>
        </w:rPr>
        <w:t>Rozpočtové a finančné riadenie</w:t>
      </w:r>
    </w:p>
    <w:p w:rsidR="00EC0513" w:rsidRPr="00516DC1" w:rsidRDefault="00516DC1">
      <w:pPr>
        <w:spacing w:after="240"/>
        <w:ind w:left="567" w:hanging="567"/>
        <w:rPr>
          <w:szCs w:val="24"/>
        </w:rPr>
      </w:pPr>
      <w:r w:rsidRPr="00516DC1">
        <w:t>1.</w:t>
      </w:r>
      <w:r w:rsidRPr="00516DC1">
        <w:tab/>
        <w:t>s uznaním konštatuje, že úsilie o monitorovanie rozpočtu v priebehu rozpočtového roka 2022 prinieslo mieru plnenia viazaných rozpočtových prostriedkov v bežnom roku na úrovni 99,95 %, čo v porovnaní s rokom 2021 predstavuje mierne zníženie o 0,04 %; okrem toho konštatuje, že miera plnenia platobných rozpočtových prostriedkov v bežnom roku bola 89,77 %, čo v porovnaní s rokom 2021 predstavuje zvýšenie o 0,92 %;</w:t>
      </w:r>
    </w:p>
    <w:p w:rsidR="00EC0513" w:rsidRPr="00516DC1" w:rsidRDefault="00516DC1">
      <w:pPr>
        <w:pStyle w:val="NormalHanging12a"/>
      </w:pPr>
      <w:r w:rsidRPr="00516DC1">
        <w:t>2.</w:t>
      </w:r>
      <w:r w:rsidRPr="00516DC1">
        <w:tab/>
        <w:t xml:space="preserve">konštatuje, že nedostatok zdrojov a pracovných miest regulačných orgánov pre prípravky na ochranu rastlín vedie k oneskoreniam pri schvaľovaní nízkorizikových účinných látok a pri aktualizácii metodík posudzovania podľa vedeckého vývoja, čo z dlhodobého hľadiska zníži vplyv prípravkov na ochranu rastlín na životné prostredie; </w:t>
      </w:r>
      <w:r w:rsidRPr="00516DC1">
        <w:lastRenderedPageBreak/>
        <w:t>žiada Komisiu, aby prijala vhodné opatrenia na zabezpečenie toho, aby mal úrad dostatok zdrojov a pracovných miest na pomoc členským štátom pri dodržiavaní ich lehôt stanovených v nariadení (ES) č. 1107/2009, na zvýšenie počtu hodnotení účinných látok prípravkov na ochranu rastlín za rok na dvojnásobok a rýchlosti vývoja metodík na sledovanie hodnotenia rizík podľa najnovšieho vývoja vedy a v súlade s očakávaniami spoločnosti na trojnásobok;</w:t>
      </w:r>
    </w:p>
    <w:p w:rsidR="00EC0513" w:rsidRPr="00516DC1" w:rsidRDefault="00516DC1">
      <w:pPr>
        <w:spacing w:after="240"/>
        <w:ind w:left="567" w:hanging="567"/>
        <w:rPr>
          <w:b/>
          <w:i/>
          <w:szCs w:val="24"/>
        </w:rPr>
      </w:pPr>
      <w:r w:rsidRPr="00516DC1">
        <w:rPr>
          <w:b/>
          <w:i/>
        </w:rPr>
        <w:t>Výkonnosť</w:t>
      </w:r>
    </w:p>
    <w:p w:rsidR="00EC0513" w:rsidRPr="00516DC1" w:rsidRDefault="00516DC1">
      <w:pPr>
        <w:pStyle w:val="NormalHanging12a"/>
      </w:pPr>
      <w:r w:rsidRPr="00516DC1">
        <w:t>3.</w:t>
      </w:r>
      <w:r w:rsidRPr="00516DC1">
        <w:tab/>
        <w:t>víta prínos úradu k bezpečnosti potravinového a krmivového reťazca Únie a jeho značné úsilie o to, aby manažérom rizika poskytoval komplexné, nezávislé a aktuálne vedecké poradenstvo o otázkach spojených s potravinovým reťazcom, aby verejnosť jasne informoval o svojich výstupoch a údajoch, na ktorých sú založené, a spolupracoval so zainteresovanými stranami a s inštitucionálnymi partnermi na presadzovaní súdržnosti systému bezpečnosti potravín a dôvery v tento systém;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4.</w:t>
      </w:r>
      <w:r w:rsidRPr="00516DC1">
        <w:tab/>
        <w:t>s uspokojením konštatuje, že úrad zaviedol integrovaný výkonnostný rámec, v ktorom sú zdroje a činnosti prepojené s výstupmi a očakávanými výsledkami a ktorý je doplnený súborom kľúčových ukazovateľov výkonnosti (KPI) na monitorovanie a riadenie výkonnosti; ďalej konštatuje, že výkonnosť v porovnaní s cieľmi stanovenými vo výkonnostnom rámci dosiahla celkovú mieru 96 %; konštatuje, že oblasti strategických cieľov 2 (zabezpečovať pripravenosť na budúce potreby analýzy rizík) a strategického cieľa 3 (Posilniť postavenie ľudí a zabezpečiť organizačnú agilnosť) vykazovali celkovo dobrú výkonnosť, zatiaľ čo v oblasti strategického cieľa 1 (Poskytovať dôveryhodné vedecké poradenstvo a oznamovať riziká z farmy na stôl), ktorú výrazne ovplyvnilo vykonávanie nových pravidiel a postupov podľa nariadenia (EÚ) 2019/1381</w:t>
      </w:r>
      <w:r w:rsidRPr="00516DC1">
        <w:rPr>
          <w:rStyle w:val="FootnoteReference"/>
          <w:szCs w:val="24"/>
        </w:rPr>
        <w:footnoteReference w:id="12"/>
      </w:r>
      <w:r w:rsidRPr="00516DC1">
        <w:t>, bolo zaznamenané odchýlenie od cieľa;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5.</w:t>
      </w:r>
      <w:r w:rsidRPr="00516DC1">
        <w:tab/>
        <w:t>zdôrazňuje, že úrad dokončil 586 z plánovaných 701 vedeckých otázok týkajúcich sa cieľa 1: Poskytovať dôveryhodné vedecké poradenstvo a oznamovať riziká z farmy na stôl; konštatuje, že hoci bol počet uzavretých vedeckých otázok nižší, ako sa predpokladalo, vo všeobecnosti zodpovedal počtu nových otázok doručených počas roka, čím sa zabezpečilo, že počet nedoriešených otázok sa nezvýši;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6.</w:t>
      </w:r>
      <w:r w:rsidRPr="00516DC1">
        <w:tab/>
        <w:t>víta skutočnosť, že v oblasti oznamovania zistení boli zaznamenané veľmi pozitívne výsledky, pričom v prípade včasného uverejňovania vo vestníku úradu pretrváva pozitívna výkonnosť dosiahnutá za posledné 2 roky;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7.</w:t>
      </w:r>
      <w:r w:rsidRPr="00516DC1">
        <w:tab/>
        <w:t>berie na vedomie, že rok 2022 bol prvým rokom vykonávania stratégie úradu do roku 2027; stratégia úradu do roku 2027, ktorá má nadväzovať na stratégiu 2020, je zameraná na vykonávanie nariadenia (EÚ) 2019/1381 (v krátkodobom horizonte) a pre úrad predstavuje prípravu na riešenie nových vyvíjajúcich sa politík Únie (z dlhodobého hľadiska);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8.</w:t>
      </w:r>
      <w:r w:rsidRPr="00516DC1">
        <w:tab/>
        <w:t xml:space="preserve">víta skutočnosť, že úrad v júni 2022 zorganizoval konferenciu ONE – zdravie, životné </w:t>
      </w:r>
      <w:r w:rsidRPr="00516DC1">
        <w:lastRenderedPageBreak/>
        <w:t>prostredie, spoločnosť, na ktorej sa zdôraznilo prepojenie medzi zdravím ľudí, zvierat a životného prostredia a ktorá viedla k prístupu „jedno zdravie – jedno životné prostredie“;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9.</w:t>
      </w:r>
      <w:r w:rsidRPr="00516DC1">
        <w:tab/>
        <w:t>konštatuje, že úrad spustil v partnerstve s 18 členskými štátmi kampaň zameranú na africký mor ošípaných; ďalej konštatuje, že úrad prispel ku koncepcii a vykonávaniu stratégie EÚ pre chemikálie;</w:t>
      </w:r>
    </w:p>
    <w:p w:rsidR="00EC0513" w:rsidRPr="00516DC1" w:rsidRDefault="00516DC1">
      <w:pPr>
        <w:pStyle w:val="NormalHanging12a"/>
      </w:pPr>
      <w:r w:rsidRPr="00516DC1">
        <w:t>10.</w:t>
      </w:r>
      <w:r w:rsidRPr="00516DC1">
        <w:tab/>
        <w:t>konštatuje, že podľa ročného prieskumu stratégie, ktorý začal úrad so žiadosťou o spätnú väzbu od svojich zákazníkov, partnerov a zainteresovaných strán, ktoré sú priamo alebo nepriamo zapojené do poskytovania vedeckých stanovísk úradu, zostáva schopnosť úradu včas poskytovať svoje poradenstvo naďalej predmetom pozornosti;</w:t>
      </w:r>
    </w:p>
    <w:p w:rsidR="00EC0513" w:rsidRPr="00516DC1" w:rsidRDefault="00516DC1">
      <w:pPr>
        <w:pStyle w:val="NormalHanging12a"/>
        <w:rPr>
          <w:b/>
          <w:i/>
          <w:szCs w:val="24"/>
        </w:rPr>
      </w:pPr>
      <w:r w:rsidRPr="00516DC1">
        <w:rPr>
          <w:b/>
          <w:i/>
        </w:rPr>
        <w:t>Účinnosť a prínos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11.</w:t>
      </w:r>
      <w:r w:rsidRPr="00516DC1">
        <w:tab/>
        <w:t xml:space="preserve">konštatuje, že úrad spolupracuje s Európskou chemickou agentúrou v súvislosti s novou stratégiou Únie pre chemikálie a s Európskym centrom pre prevenciu a kontrolu chorôb s cieľom vyvinúť systémy na zber a analýzu </w:t>
      </w:r>
      <w:proofErr w:type="spellStart"/>
      <w:r w:rsidRPr="00516DC1">
        <w:t>sekvenovania</w:t>
      </w:r>
      <w:proofErr w:type="spellEnd"/>
      <w:r w:rsidRPr="00516DC1">
        <w:t xml:space="preserve"> genómu; okrem toho konštatuje, že úrad využíval ľudské zdroje a výskumné zdroje spoločne so sesterskými agentúrami a Spoločným výskumným centrom; ďalej zdôrazňuje horizontálne prínosy spolupráce a prispôsobovania najlepších postupov;</w:t>
      </w:r>
    </w:p>
    <w:p w:rsidR="00EC0513" w:rsidRPr="00516DC1" w:rsidRDefault="00516DC1">
      <w:pPr>
        <w:pStyle w:val="NormalHanging12a"/>
        <w:rPr>
          <w:szCs w:val="24"/>
        </w:rPr>
      </w:pPr>
      <w:r w:rsidRPr="00516DC1">
        <w:t>12.</w:t>
      </w:r>
      <w:r w:rsidRPr="00516DC1">
        <w:tab/>
        <w:t>konštatuje, že úrad v roku 2022 zvýšil úsilie o konsolidáciu zavádzania nových procesov a IT nástrojov a snažil sa dosiahnuť vysokú úroveň efektívnosti a maximalizovať synergie s inými agentúrami; ďalej konštatuje, že niektoré výsledky týkajúce sa efektívnosti a prínosov IT nástrojov, ktoré úrad dosiahol v rokoch 2020 – 2022, boli stanovené až ku koncu roka 2023;</w:t>
      </w:r>
    </w:p>
    <w:p w:rsidR="00EC0513" w:rsidRPr="00516DC1" w:rsidRDefault="00516DC1">
      <w:pPr>
        <w:pStyle w:val="NormalHanging12a"/>
      </w:pPr>
      <w:r w:rsidRPr="00516DC1">
        <w:t>13.</w:t>
      </w:r>
      <w:r w:rsidRPr="00516DC1">
        <w:tab/>
        <w:t xml:space="preserve">víta skutočnosť, že úrad má v úmysle posilniť spoločnú správu údajov spolu s členskými štátmi a ďalšími agentúrami, ktorá by mala zlepšiť kvalitu údajov a </w:t>
      </w:r>
      <w:proofErr w:type="spellStart"/>
      <w:r w:rsidRPr="00516DC1">
        <w:t>interoperabilitu</w:t>
      </w:r>
      <w:proofErr w:type="spellEnd"/>
      <w:r w:rsidRPr="00516DC1">
        <w:t xml:space="preserve"> údajov (v súlade s prístupom „jedno zdravie“);</w:t>
      </w:r>
    </w:p>
    <w:p w:rsidR="00EC0513" w:rsidRPr="00516DC1" w:rsidRDefault="00516DC1">
      <w:pPr>
        <w:spacing w:after="240"/>
        <w:ind w:left="567" w:hanging="567"/>
        <w:rPr>
          <w:b/>
          <w:i/>
          <w:szCs w:val="24"/>
        </w:rPr>
      </w:pPr>
      <w:r w:rsidRPr="00516DC1">
        <w:rPr>
          <w:b/>
          <w:i/>
        </w:rPr>
        <w:t>Personálna politika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14.</w:t>
      </w:r>
      <w:r w:rsidRPr="00516DC1">
        <w:tab/>
        <w:t>konštatuje, že k 31. decembru 2022 bol plán pracovných miest naplnený na 95,55 %, pričom zo 405 pracovných miest povolených v rámci rozpočtu Únie (v porovnaní s 380 schválenými pracovnými miestami v roku 2021) boli vymenovaní 5 úradníci a 382 dočasných zamestnancov; konštatuje, že v roku 2022 v úrade okrem toho pôsobilo 170 zmluvných zamestnancov a 14 vyslaných národných expertov; ďalej konštatuje, že na vykonávanie nariadenia (EÚ) 2019/1381 bolo úradu v roku 2022 pridelených 31 nových pracovných miest a 15 dodatočných zmluvných zamestnancov na obdobie 2022 – 2024;</w:t>
      </w:r>
    </w:p>
    <w:p w:rsidR="00EC0513" w:rsidRPr="00516DC1" w:rsidRDefault="00516DC1">
      <w:pPr>
        <w:widowControl/>
        <w:spacing w:after="240"/>
        <w:ind w:left="567" w:hanging="567"/>
        <w:rPr>
          <w:szCs w:val="24"/>
        </w:rPr>
      </w:pPr>
      <w:r w:rsidRPr="00516DC1">
        <w:t>15.</w:t>
      </w:r>
      <w:r w:rsidRPr="00516DC1">
        <w:tab/>
        <w:t>berie na vedomie, že v roku 2022 sa v rámci celkového počtu zamestnancov úradu dosiahla rodová rovnováha, pričom 335 z 557 (60,1 %) boli ženy, a v správnej rade úradu, kde zo 70 (52,9 %) bolo 37 žien; konštatuje, že na vyšších a riadiacich pozíciách je podiel mužov (63 %) vyšší ako podiel žien (37 %); vyzýva úrad, aby zintenzívnil úsilie o preklenutie rodových rozdielov na vyšších a riadiacich pozíciách;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16.</w:t>
      </w:r>
      <w:r w:rsidRPr="00516DC1">
        <w:tab/>
        <w:t>berie na vedomie, že lekárska služba nahlásila v roku 2022 tri prípady vyhorenia;</w:t>
      </w:r>
      <w:r w:rsidRPr="00516DC1">
        <w:rPr>
          <w:rFonts w:ascii="Segoe UI" w:hAnsi="Segoe UI"/>
          <w:color w:val="374151"/>
        </w:rPr>
        <w:t xml:space="preserve"> </w:t>
      </w:r>
      <w:r w:rsidRPr="00516DC1">
        <w:t>zdôrazňuje zásadný význam zachovania rovnováhy medzi profesijnými povinnosťami a osobným životom; vyzýva úrad, aby naďalej podporoval zdravú rovnováhu medzi pracovným a súkromným životom zamestnancov;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lastRenderedPageBreak/>
        <w:t>17.</w:t>
      </w:r>
      <w:r w:rsidRPr="00516DC1">
        <w:tab/>
        <w:t>konštatuje, že úrad je odhodlaný dodržiavať hodnoty siete agentúr EÚ a Chartu rozmanitosti a začlenenia a pracuje na jej čo najskoršom prijatí; ďalej berie na vedomie účasť úradu v pracovnej skupine siete agentúr EÚ pre rozmanitosť a začlenenie prostredníctvom výmeny synergií, informácií a zdrojov týkajúcich sa rozmanitosti a začlenenia; okrem toho sa zrealizovali niektoré interné iniciatívy, napríklad nová internetová stránka venovaná kariére a video o práci v úrade s osobitným dôrazom na oblasť rozmanitosti a začlenenia;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18.</w:t>
      </w:r>
      <w:r w:rsidRPr="00516DC1">
        <w:tab/>
        <w:t>konštatuje, že úrad prijal Usmernenia k vykonávaniu pomoci pre osoby so zdravotným postihnutím, ktorými sa podporuje sociálna politika a rovnaké zaobchádzanie na pracovisku; okrem toho konštatuje, že budova úradu bola navrhnutá v súlade s talianskymi predpismi o bezbariérovom prístupe pre osoby so zdravotným postihnutím;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19.</w:t>
      </w:r>
      <w:r w:rsidRPr="00516DC1">
        <w:tab/>
        <w:t>konštatuje, že k 1. januáru 2022 bola zavedená nová organizačná štruktúra, ktorá má podporiť vykonávanie nariadenia (EÚ) 2019/1381 a ambícií stanovených v stratégii úradu do roku 2027;</w:t>
      </w:r>
    </w:p>
    <w:p w:rsidR="00EC0513" w:rsidRPr="00516DC1" w:rsidRDefault="00516DC1">
      <w:pPr>
        <w:spacing w:after="240"/>
        <w:ind w:left="567" w:hanging="567"/>
        <w:rPr>
          <w:b/>
          <w:i/>
          <w:szCs w:val="24"/>
        </w:rPr>
      </w:pPr>
      <w:r w:rsidRPr="00516DC1">
        <w:rPr>
          <w:b/>
          <w:i/>
        </w:rPr>
        <w:t>Prevencia, riešenie konfliktov záujmov a transparentnosť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20.</w:t>
      </w:r>
      <w:r w:rsidRPr="00516DC1">
        <w:tab/>
        <w:t>konštatuje, že správna rada a prevádzkové riadenie úradu podpísali vyhlásenie o konflikte záujmov, ktoré je uverejnené a dostupné na webovom sídle; ďalej konštatuje, že životopisy členov a náhradníkov správnej rady mali byť uverejnené do konca roka 2023;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21.</w:t>
      </w:r>
      <w:r w:rsidRPr="00516DC1">
        <w:tab/>
        <w:t>konštatuje, že úrad v roku 2022 identifikoval a riešil sedem prípadov konfliktu záujmov na úrovni ročných vyhlásení o záujmoch externých odborníkov; konštatuje, že úrad zabezpečil, aby sa nepodieľali na vedeckej činnosti;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22.</w:t>
      </w:r>
      <w:r w:rsidRPr="00516DC1">
        <w:tab/>
        <w:t>berie na vedomie, že úrad zaviedol dobrovoľný kódex správania, podľa ktorého sa členovia správnej rady zaväzujú informovať úrad o pracovných činnostiach vykonávaných v priebehu 2 rokov po skončení svojho mandátu;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23.</w:t>
      </w:r>
      <w:r w:rsidRPr="00516DC1">
        <w:tab/>
        <w:t>berie na vedomie, že úrad plánuje prijať v priebehu prvého štvrťroka 2024 nový štandardný postup po skončení služobného pomeru, ktorý bude zahŕňať kritériá a postup na ukončenie prístupu zamestnancov odchádzajúcich zo služby k dôverným informáciám, požiadavky na monitorovanie a vykonávanie a normy transparentnosti;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24.</w:t>
      </w:r>
      <w:r w:rsidRPr="00516DC1">
        <w:tab/>
        <w:t>konštatuje, že úrad zaviedol stratégiu boja proti podvodom, ktorá bola vypracovaná v úzkej spolupráci s Európskym úradom pre boj proti podvodom, spolu so súvisiacimi vykonávacími predpismi a akčným plánom na predchádzanie podvodom a korupcii;</w:t>
      </w:r>
    </w:p>
    <w:p w:rsidR="00EC0513" w:rsidRPr="00516DC1" w:rsidRDefault="00516DC1">
      <w:pPr>
        <w:spacing w:after="240"/>
        <w:ind w:left="567" w:hanging="567"/>
        <w:rPr>
          <w:b/>
          <w:i/>
          <w:szCs w:val="24"/>
        </w:rPr>
      </w:pPr>
      <w:r w:rsidRPr="00516DC1">
        <w:rPr>
          <w:b/>
          <w:i/>
        </w:rPr>
        <w:t>Ďalšie pripomienky</w:t>
      </w:r>
    </w:p>
    <w:p w:rsidR="00EC0513" w:rsidRPr="00516DC1" w:rsidRDefault="00516DC1">
      <w:pPr>
        <w:spacing w:after="240"/>
        <w:ind w:left="567" w:hanging="567"/>
        <w:rPr>
          <w:szCs w:val="24"/>
        </w:rPr>
      </w:pPr>
      <w:r w:rsidRPr="00516DC1">
        <w:t>25.</w:t>
      </w:r>
      <w:r w:rsidRPr="00516DC1">
        <w:tab/>
        <w:t>konštatuje, že Útvar pre vnútorný audit (IAS) vydal v júni 2022 audítorskú správu o informačnej bezpečnosti a obnove po havárii s cieľom posúdiť primeranosť návrhu a vykonávania riadenia a identifikoval dve pripomienky a tri dôležité pripomienky k riadeniu bezpečnosti IT; konštatuje, že úrad prijal odporúčania IAS a v súčasnosti vykonáva akčný plán;</w:t>
      </w:r>
    </w:p>
    <w:p w:rsidR="00EC0513" w:rsidRPr="00516DC1" w:rsidRDefault="00516DC1">
      <w:pPr>
        <w:pStyle w:val="NormalHanging12a"/>
      </w:pPr>
      <w:r w:rsidRPr="00516DC1">
        <w:t>26.</w:t>
      </w:r>
      <w:r w:rsidRPr="00516DC1">
        <w:tab/>
        <w:t>víta úsilie úradu o zvýšenie svojej viditeľnosti a online prítomnosti prostredníctvom druhého ročníka kampane „#</w:t>
      </w:r>
      <w:proofErr w:type="spellStart"/>
      <w:r w:rsidRPr="00516DC1">
        <w:t>EUChooseSafeFood</w:t>
      </w:r>
      <w:proofErr w:type="spellEnd"/>
      <w:r w:rsidRPr="00516DC1">
        <w:t xml:space="preserve">“, ktorá prebieha v partnerstve s príslušnými orgánmi členských štátov a ktorej cieľom je vysvetliť zrozumiteľným </w:t>
      </w:r>
      <w:r w:rsidRPr="00516DC1">
        <w:lastRenderedPageBreak/>
        <w:t xml:space="preserve">spôsobom vedecké poznatky o bezpečnosti potravín v Únii, a zorganizovanie konferencie ONE – zdravie, životné prostredie, spoločnosť v spolupráci s ďalšími štyrmi agentúrami ENVI, čo viedlo k zriadeniu spoločného </w:t>
      </w:r>
      <w:proofErr w:type="spellStart"/>
      <w:r w:rsidRPr="00516DC1">
        <w:t>instagramového</w:t>
      </w:r>
      <w:proofErr w:type="spellEnd"/>
      <w:r w:rsidRPr="00516DC1">
        <w:t xml:space="preserve"> účtu s názvom „</w:t>
      </w:r>
      <w:proofErr w:type="spellStart"/>
      <w:r w:rsidRPr="00516DC1">
        <w:t>One</w:t>
      </w:r>
      <w:proofErr w:type="spellEnd"/>
      <w:r w:rsidRPr="00516DC1">
        <w:t xml:space="preserve"> </w:t>
      </w:r>
      <w:proofErr w:type="spellStart"/>
      <w:r w:rsidRPr="00516DC1">
        <w:t>Health</w:t>
      </w:r>
      <w:proofErr w:type="spellEnd"/>
      <w:r w:rsidRPr="00516DC1">
        <w:t xml:space="preserve"> </w:t>
      </w:r>
      <w:proofErr w:type="spellStart"/>
      <w:r w:rsidRPr="00516DC1">
        <w:t>One</w:t>
      </w:r>
      <w:proofErr w:type="spellEnd"/>
      <w:r w:rsidRPr="00516DC1">
        <w:t xml:space="preserve"> </w:t>
      </w:r>
      <w:proofErr w:type="spellStart"/>
      <w:r w:rsidRPr="00516DC1">
        <w:t>Environment</w:t>
      </w:r>
      <w:proofErr w:type="spellEnd"/>
      <w:r w:rsidRPr="00516DC1">
        <w:t xml:space="preserve">“; ďalej konštatuje, že úrad investoval do viacjazyčnosti svojho webového sídla s umelou inteligenciou prostredníctvom komponentu Komisie </w:t>
      </w:r>
      <w:proofErr w:type="spellStart"/>
      <w:r w:rsidRPr="00516DC1">
        <w:t>eTranslation</w:t>
      </w:r>
      <w:proofErr w:type="spellEnd"/>
      <w:r w:rsidRPr="00516DC1">
        <w:t xml:space="preserve">; okrem toho konštatuje, že úrad v roku 2022 naďalej investoval do vývoja svojho portálu </w:t>
      </w:r>
      <w:proofErr w:type="spellStart"/>
      <w:r w:rsidRPr="00516DC1">
        <w:t>OpenEFSA</w:t>
      </w:r>
      <w:proofErr w:type="spellEnd"/>
      <w:r w:rsidRPr="00516DC1">
        <w:t xml:space="preserve"> v súlade s požiadavkami nariadenia (EÚ) 2019/1381;</w:t>
      </w:r>
    </w:p>
    <w:p w:rsidR="00EC0513" w:rsidRPr="00516DC1" w:rsidRDefault="00516DC1">
      <w:pPr>
        <w:spacing w:after="240"/>
        <w:ind w:left="567" w:hanging="567"/>
        <w:rPr>
          <w:rFonts w:eastAsia="Calibri"/>
          <w:szCs w:val="24"/>
        </w:rPr>
      </w:pPr>
      <w:r w:rsidRPr="00516DC1">
        <w:t>27.</w:t>
      </w:r>
      <w:r w:rsidRPr="00516DC1">
        <w:tab/>
        <w:t>víta skutočnosť, že úrad je v posledných rokoch jednou z agentúr s certifikáciou EMAS; berie na vedomie, že v závislosti od druhu zákazky úrad uplatňuje normy zeleného verejného obstarávania (GPP) ako minimálne požiadavky na špecifikácie vo výberových kritériách a/alebo kritériách na vyhodnotenie ponúk;</w:t>
      </w:r>
    </w:p>
    <w:p w:rsidR="00EC0513" w:rsidRPr="00516DC1" w:rsidRDefault="00516DC1">
      <w:pPr>
        <w:spacing w:after="240"/>
        <w:jc w:val="center"/>
      </w:pPr>
      <w:r w:rsidRPr="00516DC1">
        <w:t>°</w:t>
      </w:r>
    </w:p>
    <w:p w:rsidR="00EC0513" w:rsidRPr="00516DC1" w:rsidRDefault="00516DC1">
      <w:pPr>
        <w:pStyle w:val="NormalCenter12a"/>
      </w:pPr>
      <w:r w:rsidRPr="00516DC1">
        <w:t>°</w:t>
      </w:r>
      <w:r w:rsidRPr="00516DC1">
        <w:tab/>
        <w:t>°</w:t>
      </w:r>
    </w:p>
    <w:p w:rsidR="00EC0513" w:rsidRPr="00516DC1" w:rsidRDefault="00516DC1">
      <w:pPr>
        <w:widowControl/>
        <w:spacing w:after="240"/>
        <w:ind w:left="567" w:hanging="567"/>
        <w:rPr>
          <w:szCs w:val="24"/>
        </w:rPr>
      </w:pPr>
      <w:r w:rsidRPr="00516DC1">
        <w:t>28.</w:t>
      </w:r>
      <w:r w:rsidRPr="00516DC1">
        <w:tab/>
        <w:t>pokiaľ ide o ďalšie poznámky prierezovej povahy, ktoré sú súčasťou rozhodnutia o absolutóriu, odvoláva sa na svoje uznesenie z 11. apríla 2024</w:t>
      </w:r>
      <w:r w:rsidRPr="00516DC1">
        <w:rPr>
          <w:rStyle w:val="FootnoteReference"/>
        </w:rPr>
        <w:footnoteReference w:id="13"/>
      </w:r>
      <w:r w:rsidRPr="00516DC1">
        <w:t xml:space="preserve"> o výkonnosti, finančnom riadení a kontrole agentúr.</w:t>
      </w:r>
    </w:p>
    <w:sectPr w:rsidR="00EC0513" w:rsidRPr="00516D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513" w:rsidRDefault="00516DC1">
      <w:r>
        <w:separator/>
      </w:r>
    </w:p>
  </w:endnote>
  <w:endnote w:type="continuationSeparator" w:id="0">
    <w:p w:rsidR="00EC0513" w:rsidRDefault="0051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516DC1">
    <w:pPr>
      <w:pStyle w:val="EPFooter"/>
    </w:pPr>
    <w:r>
      <w:t>PE</w:t>
    </w:r>
    <w:r>
      <w:rPr>
        <w:rStyle w:val="HideTWBExt"/>
      </w:rPr>
      <w:t>&lt;NoPE&gt;</w:t>
    </w:r>
    <w:r>
      <w:t>753.519</w:t>
    </w:r>
    <w:r>
      <w:rPr>
        <w:rStyle w:val="HideTWBExt"/>
      </w:rPr>
      <w:t>&lt;/NoPE&gt;&lt;Version&gt;</w:t>
    </w:r>
    <w:r>
      <w:t>v03-00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 w:rsidR="002D0FE2">
      <w:fldChar w:fldCharType="begin"/>
    </w:r>
    <w:r w:rsidR="002D0FE2">
      <w:instrText xml:space="preserve"> NUMPAGES  \* MERGEFORMAT </w:instrText>
    </w:r>
    <w:r w:rsidR="002D0FE2">
      <w:fldChar w:fldCharType="separate"/>
    </w:r>
    <w:r>
      <w:rPr>
        <w:noProof/>
      </w:rPr>
      <w:t>4</w:t>
    </w:r>
    <w:r w:rsidR="002D0FE2">
      <w:rPr>
        <w:noProof/>
      </w:rPr>
      <w:fldChar w:fldCharType="end"/>
    </w:r>
    <w:r>
      <w:tab/>
    </w:r>
    <w:r>
      <w:rPr>
        <w:rStyle w:val="HideTWBExt"/>
      </w:rPr>
      <w:t>&lt;PathFdR&gt;</w:t>
    </w:r>
    <w:r>
      <w:t>RR\1299220SK.docx</w:t>
    </w:r>
    <w:r>
      <w:rPr>
        <w:rStyle w:val="HideTWBExt"/>
      </w:rPr>
      <w:t>&lt;/PathFdR&gt;</w:t>
    </w:r>
  </w:p>
  <w:p w:rsidR="00EC0513" w:rsidRDefault="00516DC1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516DC1">
    <w:pPr>
      <w:pStyle w:val="EPFooter"/>
    </w:pPr>
    <w:r>
      <w:rPr>
        <w:rStyle w:val="HideTWBExt"/>
      </w:rPr>
      <w:t>&lt;PathFdR&gt;</w:t>
    </w:r>
    <w:r>
      <w:t>RR\1299220SK.docx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753.519</w:t>
    </w:r>
    <w:r>
      <w:rPr>
        <w:rStyle w:val="HideTWBExt"/>
      </w:rPr>
      <w:t>&lt;/NoPE&gt;&lt;Version&gt;</w:t>
    </w:r>
    <w:r>
      <w:t>v03-00</w:t>
    </w:r>
    <w:r>
      <w:rPr>
        <w:rStyle w:val="HideTWBExt"/>
      </w:rPr>
      <w:t>&lt;/Version&gt;</w:t>
    </w:r>
  </w:p>
  <w:p w:rsidR="00EC0513" w:rsidRDefault="00516DC1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EC051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EC051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EC05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513" w:rsidRDefault="00516DC1">
      <w:r>
        <w:separator/>
      </w:r>
    </w:p>
  </w:footnote>
  <w:footnote w:type="continuationSeparator" w:id="0">
    <w:p w:rsidR="00EC0513" w:rsidRDefault="00516DC1">
      <w:r>
        <w:continuationSeparator/>
      </w:r>
    </w:p>
  </w:footnote>
  <w:footnote w:id="1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</w:t>
      </w:r>
      <w:r w:rsidR="00D134B2">
        <w:rPr>
          <w:sz w:val="24"/>
          <w:lang w:val="sk-SK"/>
        </w:rPr>
        <w:t xml:space="preserve">C, </w:t>
      </w:r>
      <w:r>
        <w:rPr>
          <w:sz w:val="24"/>
          <w:lang w:val="sk-SK"/>
        </w:rPr>
        <w:t>C/2023/594, 27.10.2023.</w:t>
      </w:r>
    </w:p>
  </w:footnote>
  <w:footnote w:id="2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3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 1.</w:t>
      </w:r>
    </w:p>
  </w:footnote>
  <w:footnote w:id="4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31, 1.2.2002, s. 1.</w:t>
      </w:r>
    </w:p>
  </w:footnote>
  <w:footnote w:id="5">
    <w:p w:rsidR="00EC0513" w:rsidRDefault="00516DC1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</w:t>
      </w:r>
      <w:r w:rsidR="00D134B2">
        <w:rPr>
          <w:sz w:val="24"/>
          <w:lang w:val="sk-SK"/>
        </w:rPr>
        <w:t xml:space="preserve">C, </w:t>
      </w:r>
      <w:r>
        <w:rPr>
          <w:sz w:val="24"/>
          <w:lang w:val="sk-SK"/>
        </w:rPr>
        <w:t>C/2023/594, 27.10.2023.</w:t>
      </w:r>
    </w:p>
  </w:footnote>
  <w:footnote w:id="7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8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 1.</w:t>
      </w:r>
    </w:p>
  </w:footnote>
  <w:footnote w:id="9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31, 1.2.2002, s. 1.</w:t>
      </w:r>
    </w:p>
  </w:footnote>
  <w:footnote w:id="10">
    <w:p w:rsidR="00EC0513" w:rsidRDefault="00516DC1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EC0513" w:rsidRDefault="00516DC1">
      <w:pPr>
        <w:pStyle w:val="FootnoteText"/>
        <w:ind w:left="567" w:hanging="567"/>
        <w:rPr>
          <w:rFonts w:eastAsia="Calibri"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</w:t>
      </w:r>
      <w:r>
        <w:rPr>
          <w:sz w:val="24"/>
          <w:lang w:val="sk-SK"/>
        </w:rPr>
        <w:t>EÚ C 178, 29.4.2022, s.</w:t>
      </w:r>
      <w:r w:rsidR="002D0FE2">
        <w:rPr>
          <w:sz w:val="24"/>
          <w:lang w:val="sk-SK"/>
        </w:rPr>
        <w:t xml:space="preserve"> </w:t>
      </w:r>
      <w:bookmarkStart w:id="8" w:name="_GoBack"/>
      <w:bookmarkEnd w:id="8"/>
      <w:r>
        <w:rPr>
          <w:sz w:val="24"/>
          <w:lang w:val="sk-SK"/>
        </w:rPr>
        <w:t>1.</w:t>
      </w:r>
    </w:p>
  </w:footnote>
  <w:footnote w:id="12">
    <w:p w:rsidR="00EC0513" w:rsidRDefault="00516DC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 Rady (EÚ) 2019/1381 z 20. júna 2019 o transparentnosti a udržateľnosti hodnotenia rizika na úrovni EÚ v potravinovom reťazci, a ktorým sa menia nariadenia (ES) č. 178/2002, (ES) č. 1829/2003, (ES) č. 1831/2003, (ES) č. 2065/2003, (ES) č. 1935/2004, (ES) č. 1331/2008, (ES) č. 1107/2009, (EÚ) 2015/2283 a smernica 2001/18/ES (Ú. v. EÚ L 231, 6.9.2019, s. 1).</w:t>
      </w:r>
    </w:p>
  </w:footnote>
  <w:footnote w:id="13">
    <w:p w:rsidR="00EC0513" w:rsidRDefault="00516DC1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</w:t>
      </w:r>
      <w:r w:rsidR="003E2340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EC05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EC05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13" w:rsidRDefault="00EC05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9/2024"/>
    <w:docVar w:name="dvlangue" w:val="SK"/>
    <w:docVar w:name="dvnumam" w:val="0"/>
    <w:docVar w:name="dvpe" w:val="753.519"/>
    <w:docVar w:name="dvrapporteur" w:val="Spravodajca: "/>
    <w:docVar w:name="dvtitre" w:val="1. Rozhodnutie Európskeho parlamentu z 11. apríla 2024 o absolutóriu za plnenie rozpočtu Európskeho úradu pre bezpečnosť potravín za rozpočtový rok 2022(2023/2151(DEC))"/>
  </w:docVars>
  <w:rsids>
    <w:rsidRoot w:val="00EC0513"/>
    <w:rsid w:val="002D0FE2"/>
    <w:rsid w:val="003B4744"/>
    <w:rsid w:val="003E2340"/>
    <w:rsid w:val="00516DC1"/>
    <w:rsid w:val="00D134B2"/>
    <w:rsid w:val="00E10AC1"/>
    <w:rsid w:val="00EC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14C84"/>
  <w15:chartTrackingRefBased/>
  <w15:docId w15:val="{3F84ECA4-FB95-4E8D-A7E2-ECAAF5EC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6D567-B4EB-48BA-8056-F9A774CDE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2661</Words>
  <Characters>15173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2024-05-15T11:45:00Z</dcterms:created>
  <dcterms:modified xsi:type="dcterms:W3CDTF">2024-05-15T11:45:00Z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P9_TA(2024)0250_</vt:lpwstr>
  </property>
  <property fmtid="{D5CDD505-2E9C-101B-9397-08002B2CF9AE}" pid="4" name="&lt;Type&gt;">
    <vt:lpwstr>RR</vt:lpwstr>
  </property>
</Properties>
</file>