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36F7" w:rsidTr="0010095E">
        <w:trPr>
          <w:trHeight w:hRule="exact" w:val="1418"/>
        </w:trPr>
        <w:tc>
          <w:tcPr>
            <w:tcW w:w="6804" w:type="dxa"/>
            <w:shd w:val="clear" w:color="auto" w:fill="auto"/>
            <w:vAlign w:val="center"/>
          </w:tcPr>
          <w:p w:rsidR="00751A4A" w:rsidRPr="009136F7" w:rsidRDefault="00EE7726" w:rsidP="0010095E">
            <w:pPr>
              <w:pStyle w:val="EPName"/>
            </w:pPr>
            <w:r w:rsidRPr="009136F7">
              <w:t>Evropski parlament</w:t>
            </w:r>
          </w:p>
          <w:p w:rsidR="00751A4A" w:rsidRPr="009136F7" w:rsidRDefault="00817416" w:rsidP="00756632">
            <w:pPr>
              <w:pStyle w:val="EPTerm"/>
              <w:rPr>
                <w:rStyle w:val="HideTWBExt"/>
                <w:noProof w:val="0"/>
                <w:vanish w:val="0"/>
                <w:color w:val="auto"/>
              </w:rPr>
            </w:pPr>
            <w:r w:rsidRPr="009136F7">
              <w:t>2019-2024</w:t>
            </w:r>
          </w:p>
        </w:tc>
        <w:tc>
          <w:tcPr>
            <w:tcW w:w="2268" w:type="dxa"/>
            <w:shd w:val="clear" w:color="auto" w:fill="auto"/>
          </w:tcPr>
          <w:p w:rsidR="00751A4A" w:rsidRPr="009136F7" w:rsidRDefault="00187494" w:rsidP="0010095E">
            <w:pPr>
              <w:pStyle w:val="EPLogo"/>
            </w:pPr>
            <w:r w:rsidRPr="009136F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36F7" w:rsidRDefault="00D058B8" w:rsidP="004C5D52">
      <w:pPr>
        <w:pStyle w:val="LineTop"/>
      </w:pPr>
    </w:p>
    <w:p w:rsidR="00680577" w:rsidRPr="009136F7" w:rsidRDefault="00EE7726" w:rsidP="00680577">
      <w:pPr>
        <w:pStyle w:val="EPBodyTA1"/>
      </w:pPr>
      <w:r w:rsidRPr="009136F7">
        <w:t>SPREJETA BESEDILA</w:t>
      </w:r>
    </w:p>
    <w:p w:rsidR="00D058B8" w:rsidRPr="009136F7" w:rsidRDefault="00D058B8" w:rsidP="00D058B8">
      <w:pPr>
        <w:pStyle w:val="LineBottom"/>
      </w:pPr>
    </w:p>
    <w:p w:rsidR="00EE7726" w:rsidRPr="009136F7" w:rsidRDefault="00EE7726" w:rsidP="00EE7726">
      <w:pPr>
        <w:pStyle w:val="ATHeading1"/>
      </w:pPr>
      <w:bookmarkStart w:id="0" w:name="TANumber"/>
      <w:r w:rsidRPr="009136F7">
        <w:t>P9_TA(2024)</w:t>
      </w:r>
      <w:bookmarkEnd w:id="0"/>
      <w:r w:rsidR="00E40307">
        <w:t>0250</w:t>
      </w:r>
    </w:p>
    <w:p w:rsidR="00EE7726" w:rsidRPr="009136F7" w:rsidRDefault="00EE7726" w:rsidP="00EE7726">
      <w:pPr>
        <w:pStyle w:val="ATHeading2"/>
      </w:pPr>
      <w:bookmarkStart w:id="1" w:name="title"/>
      <w:r w:rsidRPr="009136F7">
        <w:t>Razrešnica za leto 2022: Evropska agencija za varnost hrane</w:t>
      </w:r>
      <w:bookmarkEnd w:id="1"/>
    </w:p>
    <w:p w:rsidR="00EE7726" w:rsidRPr="009136F7" w:rsidRDefault="00EE7726" w:rsidP="00EE7726">
      <w:pPr>
        <w:rPr>
          <w:i/>
          <w:vanish/>
        </w:rPr>
      </w:pPr>
      <w:r w:rsidRPr="009136F7">
        <w:rPr>
          <w:i/>
        </w:rPr>
        <w:fldChar w:fldCharType="begin"/>
      </w:r>
      <w:r w:rsidRPr="009136F7">
        <w:rPr>
          <w:i/>
        </w:rPr>
        <w:instrText xml:space="preserve"> TC"(</w:instrText>
      </w:r>
      <w:bookmarkStart w:id="2" w:name="DocNumber"/>
      <w:r w:rsidRPr="009136F7">
        <w:rPr>
          <w:i/>
        </w:rPr>
        <w:instrText>A9-0129/2024</w:instrText>
      </w:r>
      <w:bookmarkEnd w:id="2"/>
      <w:r w:rsidRPr="009136F7">
        <w:rPr>
          <w:i/>
        </w:rPr>
        <w:instrText xml:space="preserve"> - Poročevalec: Petri </w:instrText>
      </w:r>
      <w:proofErr w:type="spellStart"/>
      <w:r w:rsidRPr="009136F7">
        <w:rPr>
          <w:i/>
        </w:rPr>
        <w:instrText>Sarvamaa</w:instrText>
      </w:r>
      <w:proofErr w:type="spellEnd"/>
      <w:r w:rsidRPr="009136F7">
        <w:rPr>
          <w:i/>
        </w:rPr>
        <w:instrText xml:space="preserve">)"\l3 \n&gt; \* MERGEFORMAT </w:instrText>
      </w:r>
      <w:r w:rsidRPr="009136F7">
        <w:rPr>
          <w:i/>
        </w:rPr>
        <w:fldChar w:fldCharType="end"/>
      </w:r>
    </w:p>
    <w:p w:rsidR="00EE7726" w:rsidRPr="009136F7" w:rsidRDefault="00EE7726" w:rsidP="00EE7726">
      <w:pPr>
        <w:rPr>
          <w:vanish/>
        </w:rPr>
      </w:pPr>
      <w:bookmarkStart w:id="3" w:name="Commission"/>
      <w:r w:rsidRPr="009136F7">
        <w:rPr>
          <w:vanish/>
        </w:rPr>
        <w:t>Odbor za proračunski nadzor</w:t>
      </w:r>
      <w:bookmarkEnd w:id="3"/>
    </w:p>
    <w:p w:rsidR="00EE7726" w:rsidRPr="009136F7" w:rsidRDefault="00EE7726" w:rsidP="00EE7726">
      <w:pPr>
        <w:rPr>
          <w:vanish/>
        </w:rPr>
      </w:pPr>
      <w:bookmarkStart w:id="4" w:name="PE"/>
      <w:r w:rsidRPr="009136F7">
        <w:rPr>
          <w:vanish/>
        </w:rPr>
        <w:t>PE753.519</w:t>
      </w:r>
      <w:bookmarkEnd w:id="4"/>
    </w:p>
    <w:p w:rsidR="00EE7726" w:rsidRPr="009136F7" w:rsidRDefault="00D21644" w:rsidP="00EE7726">
      <w:pPr>
        <w:pStyle w:val="ATHeading3"/>
      </w:pPr>
      <w:bookmarkStart w:id="5" w:name="Sujet"/>
      <w:r w:rsidRPr="009136F7">
        <w:t xml:space="preserve">1. </w:t>
      </w:r>
      <w:r w:rsidR="00EE7726" w:rsidRPr="009136F7">
        <w:t xml:space="preserve">Sklep Evropskega parlamenta z dne </w:t>
      </w:r>
      <w:r w:rsidRPr="009136F7">
        <w:t>11. aprila</w:t>
      </w:r>
      <w:r w:rsidR="00984754">
        <w:t xml:space="preserve"> </w:t>
      </w:r>
      <w:bookmarkStart w:id="6" w:name="_GoBack"/>
      <w:bookmarkEnd w:id="6"/>
      <w:r w:rsidR="00EE7726" w:rsidRPr="009136F7">
        <w:t>2024 o razrešnici glede izvrševanja proračuna Evropske agencije za varnost hrane za proračunsko leto 2022</w:t>
      </w:r>
      <w:bookmarkEnd w:id="5"/>
      <w:r w:rsidR="00EE7726" w:rsidRPr="009136F7">
        <w:t xml:space="preserve"> </w:t>
      </w:r>
      <w:bookmarkStart w:id="7" w:name="References"/>
      <w:r w:rsidR="00EE7726" w:rsidRPr="009136F7">
        <w:t>(2023/2151(DEC))</w:t>
      </w:r>
      <w:bookmarkEnd w:id="7"/>
    </w:p>
    <w:p w:rsidR="00C216CE" w:rsidRPr="009136F7" w:rsidRDefault="00C216CE" w:rsidP="00C216CE">
      <w:pPr>
        <w:pStyle w:val="EPComma"/>
      </w:pPr>
      <w:bookmarkStart w:id="8" w:name="TextBodyBegin"/>
      <w:bookmarkEnd w:id="8"/>
      <w:r w:rsidRPr="009136F7">
        <w:rPr>
          <w:i/>
        </w:rPr>
        <w:t>Evropski parlament</w:t>
      </w:r>
      <w:r w:rsidRPr="009136F7">
        <w:t>,</w:t>
      </w:r>
    </w:p>
    <w:p w:rsidR="00C216CE" w:rsidRPr="009136F7" w:rsidRDefault="00C216CE" w:rsidP="00C216CE">
      <w:pPr>
        <w:pStyle w:val="NormalHanging12a"/>
      </w:pPr>
      <w:r w:rsidRPr="009136F7">
        <w:t>–</w:t>
      </w:r>
      <w:r w:rsidRPr="009136F7">
        <w:tab/>
        <w:t>ob upoštevanju končnega zaključnega računa Evropske agencije za varnost hrane za proračunsko leto 2022,</w:t>
      </w:r>
    </w:p>
    <w:p w:rsidR="00C216CE" w:rsidRPr="009136F7" w:rsidRDefault="00C216CE" w:rsidP="00C216CE">
      <w:pPr>
        <w:pStyle w:val="NormalHanging12a"/>
      </w:pPr>
      <w:r w:rsidRPr="009136F7">
        <w:t>–</w:t>
      </w:r>
      <w:r w:rsidRPr="009136F7">
        <w:tab/>
        <w:t>ob upoštevanju letnega poročila Računskega sodišča o agencijah EU za proračunsko leto 2022 skupaj z odgovori agencij</w:t>
      </w:r>
      <w:r w:rsidRPr="009136F7">
        <w:rPr>
          <w:rStyle w:val="FootnoteReference"/>
        </w:rPr>
        <w:footnoteReference w:id="1"/>
      </w:r>
      <w:r w:rsidRPr="009136F7">
        <w:t>,</w:t>
      </w:r>
    </w:p>
    <w:p w:rsidR="00C216CE" w:rsidRPr="009136F7" w:rsidRDefault="00C216CE" w:rsidP="00C216CE">
      <w:pPr>
        <w:pStyle w:val="NormalHanging12a"/>
      </w:pPr>
      <w:r w:rsidRPr="009136F7">
        <w:t>–</w:t>
      </w:r>
      <w:r w:rsidRPr="009136F7">
        <w:tab/>
        <w:t>ob upoštevanju izjave o zanesljivosti</w:t>
      </w:r>
      <w:r w:rsidRPr="009136F7">
        <w:rPr>
          <w:rStyle w:val="FootnoteReference"/>
        </w:rPr>
        <w:footnoteReference w:id="2"/>
      </w:r>
      <w:r w:rsidRPr="009136F7">
        <w:t xml:space="preserve"> računovodskih izkazov ter zakonitosti in pravilnosti z njimi povezanih transakcij, ki jo je za proračunsko leto 2022 v skladu s členom 287 Pogodbe o delovanju Evropske unije pripravilo Računsko sodišče,</w:t>
      </w:r>
    </w:p>
    <w:p w:rsidR="00C216CE" w:rsidRPr="009136F7" w:rsidRDefault="00C216CE" w:rsidP="00C216CE">
      <w:pPr>
        <w:pStyle w:val="NormalHanging12a"/>
      </w:pPr>
      <w:r w:rsidRPr="009136F7">
        <w:t>–</w:t>
      </w:r>
      <w:r w:rsidRPr="009136F7">
        <w:tab/>
        <w:t>ob upoštevanju priporočila Sveta z dne 22. februarja 2024 o podelitvi razrešnice agenciji glede izvrševanja proračuna za proračunsko leto 2022 (</w:t>
      </w:r>
      <w:r w:rsidR="009136F7" w:rsidRPr="009136F7">
        <w:t>06180</w:t>
      </w:r>
      <w:r w:rsidRPr="009136F7">
        <w:t>/2024 – C9</w:t>
      </w:r>
      <w:r w:rsidRPr="009136F7">
        <w:noBreakHyphen/>
      </w:r>
      <w:r w:rsidR="009136F7" w:rsidRPr="009136F7">
        <w:t>0089</w:t>
      </w:r>
      <w:r w:rsidRPr="009136F7">
        <w:t>/2024),</w:t>
      </w:r>
    </w:p>
    <w:p w:rsidR="00C216CE" w:rsidRPr="009136F7" w:rsidRDefault="00C216CE" w:rsidP="00C216CE">
      <w:pPr>
        <w:pStyle w:val="NormalHanging12a"/>
      </w:pPr>
      <w:r w:rsidRPr="009136F7">
        <w:t>–</w:t>
      </w:r>
      <w:r w:rsidRPr="009136F7">
        <w:tab/>
        <w:t>ob upoštevanju člena 319 Pogodbe o delovanju Evropske unije,</w:t>
      </w:r>
    </w:p>
    <w:p w:rsidR="00C216CE" w:rsidRPr="009136F7" w:rsidRDefault="00C216CE" w:rsidP="00C216CE">
      <w:pPr>
        <w:pStyle w:val="NormalHanging12a"/>
      </w:pPr>
      <w:r w:rsidRPr="009136F7">
        <w:t>–</w:t>
      </w:r>
      <w:r w:rsidRPr="009136F7">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136F7">
        <w:rPr>
          <w:rStyle w:val="FootnoteReference"/>
        </w:rPr>
        <w:footnoteReference w:id="3"/>
      </w:r>
      <w:r w:rsidRPr="009136F7">
        <w:t xml:space="preserve"> in zlasti člena 70,</w:t>
      </w:r>
    </w:p>
    <w:p w:rsidR="00C216CE" w:rsidRPr="009136F7" w:rsidRDefault="00C216CE" w:rsidP="00C216CE">
      <w:pPr>
        <w:pStyle w:val="NormalHanging12a"/>
      </w:pPr>
      <w:r w:rsidRPr="009136F7">
        <w:t>–</w:t>
      </w:r>
      <w:r w:rsidRPr="009136F7">
        <w:tab/>
        <w:t xml:space="preserve">ob upoštevanju Uredbe (ES) št. 178/2002 Evropskega parlamenta in Sveta z dne 28. januarja 2002 o določitvi splošnih načel in zahtevah živilske zakonodaje, ustanovitvi </w:t>
      </w:r>
      <w:r w:rsidRPr="009136F7">
        <w:lastRenderedPageBreak/>
        <w:t>Evropske agencije za varnost hrane in postopkih, ki zadevajo varnost hrane</w:t>
      </w:r>
      <w:r w:rsidRPr="009136F7">
        <w:rPr>
          <w:rStyle w:val="FootnoteReference"/>
        </w:rPr>
        <w:footnoteReference w:id="4"/>
      </w:r>
      <w:r w:rsidRPr="009136F7">
        <w:t xml:space="preserve"> in zlasti člena 44,</w:t>
      </w:r>
    </w:p>
    <w:p w:rsidR="00C216CE" w:rsidRPr="009136F7" w:rsidRDefault="00C216CE" w:rsidP="00C216CE">
      <w:pPr>
        <w:pStyle w:val="NormalHanging12a"/>
      </w:pPr>
      <w:r w:rsidRPr="009136F7">
        <w:t>–</w:t>
      </w:r>
      <w:r w:rsidRPr="009136F7">
        <w:tab/>
        <w:t>ob upoštevanju Delegirane uredbe Komisije (EU) 2019/715 z dne 18. decembra 2018 o okvirni finančni uredbi za organe, ustanovljene na podlagi PDEU in Pogodbe Euratom, iz člena 70 Uredbe (EU, Euratom) 2018/1046 Evropskega parlamenta in Sveta</w:t>
      </w:r>
      <w:r w:rsidRPr="009136F7">
        <w:rPr>
          <w:rStyle w:val="FootnoteReference"/>
        </w:rPr>
        <w:footnoteReference w:id="5"/>
      </w:r>
      <w:r w:rsidRPr="009136F7">
        <w:t xml:space="preserve"> in zlasti člena 105,</w:t>
      </w:r>
    </w:p>
    <w:p w:rsidR="00C216CE" w:rsidRPr="009136F7" w:rsidRDefault="00C216CE" w:rsidP="00C216CE">
      <w:pPr>
        <w:pStyle w:val="NormalHanging12a"/>
      </w:pPr>
      <w:r w:rsidRPr="009136F7">
        <w:t>–</w:t>
      </w:r>
      <w:r w:rsidRPr="009136F7">
        <w:tab/>
        <w:t>ob upoštevanju člena 100 in Priloge V Poslovnika,</w:t>
      </w:r>
    </w:p>
    <w:p w:rsidR="00C216CE" w:rsidRPr="009136F7" w:rsidRDefault="00C216CE" w:rsidP="00C216CE">
      <w:pPr>
        <w:pStyle w:val="NormalHanging12a"/>
      </w:pPr>
      <w:r w:rsidRPr="009136F7">
        <w:t>–</w:t>
      </w:r>
      <w:r w:rsidRPr="009136F7">
        <w:tab/>
        <w:t>ob upoštevanju mnenja Odbora za okolje, javno zdravje in varnost hrane,</w:t>
      </w:r>
    </w:p>
    <w:p w:rsidR="00C216CE" w:rsidRPr="009136F7" w:rsidRDefault="00C216CE" w:rsidP="00C216CE">
      <w:pPr>
        <w:pStyle w:val="NormalHanging12a"/>
      </w:pPr>
      <w:r w:rsidRPr="009136F7">
        <w:t>–</w:t>
      </w:r>
      <w:r w:rsidRPr="009136F7">
        <w:tab/>
        <w:t>ob upoštevanju poročila Odbora za proračunski nadzor (A9</w:t>
      </w:r>
      <w:r w:rsidRPr="009136F7">
        <w:noBreakHyphen/>
        <w:t>0129/2024),</w:t>
      </w:r>
    </w:p>
    <w:p w:rsidR="00C216CE" w:rsidRPr="009136F7" w:rsidRDefault="00C216CE" w:rsidP="00C216CE">
      <w:pPr>
        <w:pStyle w:val="NormalHanging12a"/>
      </w:pPr>
      <w:r w:rsidRPr="009136F7">
        <w:t>1.</w:t>
      </w:r>
      <w:r w:rsidRPr="009136F7">
        <w:tab/>
        <w:t>podeli razrešnico izvršnemu direktorju Evropske agencije za varnost hrane glede izvrševanja proračuna agencije za proračunsko leto 2022;</w:t>
      </w:r>
    </w:p>
    <w:p w:rsidR="00C216CE" w:rsidRPr="009136F7" w:rsidRDefault="00C216CE" w:rsidP="00C216CE">
      <w:pPr>
        <w:pStyle w:val="NormalHanging12a"/>
      </w:pPr>
      <w:r w:rsidRPr="009136F7">
        <w:t>2.</w:t>
      </w:r>
      <w:r w:rsidRPr="009136F7">
        <w:tab/>
        <w:t>navaja svoje pripombe v spodnji resoluciji;</w:t>
      </w:r>
    </w:p>
    <w:p w:rsidR="00C216CE" w:rsidRPr="009136F7" w:rsidRDefault="00C216CE" w:rsidP="00C216CE">
      <w:pPr>
        <w:pStyle w:val="NormalHanging12a"/>
      </w:pPr>
      <w:r w:rsidRPr="009136F7">
        <w:t>3.</w:t>
      </w:r>
      <w:r w:rsidRPr="009136F7">
        <w:tab/>
        <w:t xml:space="preserve">naroči svoji predsednici, naj ta sklep in resolucijo, ki je del sklepa, posreduje izvršnemu direktorju Evropske agencije za varnost hrane, Svetu, Komisiji in Računskemu sodišču in poskrbi za objavo v </w:t>
      </w:r>
      <w:r w:rsidRPr="009136F7">
        <w:rPr>
          <w:i/>
        </w:rPr>
        <w:t>Uradnem listu Evropske unije</w:t>
      </w:r>
      <w:r w:rsidRPr="009136F7">
        <w:t xml:space="preserve"> (serija L).</w:t>
      </w:r>
    </w:p>
    <w:p w:rsidR="00C216CE" w:rsidRPr="009136F7" w:rsidRDefault="00C216CE" w:rsidP="00C216CE"/>
    <w:p w:rsidR="00C216CE" w:rsidRPr="009136F7" w:rsidRDefault="00C216CE" w:rsidP="00C216CE">
      <w:pPr>
        <w:pStyle w:val="PageHeading"/>
        <w:sectPr w:rsidR="00C216CE" w:rsidRPr="009136F7" w:rsidSect="001537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216CE" w:rsidRPr="009136F7" w:rsidRDefault="00C216CE" w:rsidP="00D21644">
      <w:pPr>
        <w:pStyle w:val="ATHeading3"/>
      </w:pPr>
      <w:bookmarkStart w:id="9" w:name="_Toc161989483"/>
      <w:r w:rsidRPr="009136F7">
        <w:t xml:space="preserve">2. </w:t>
      </w:r>
      <w:bookmarkEnd w:id="9"/>
      <w:r w:rsidR="00D21644" w:rsidRPr="009136F7">
        <w:t xml:space="preserve">Sklep Evropskega parlamenta z dne 11. aprila 2024 </w:t>
      </w:r>
      <w:r w:rsidRPr="009136F7">
        <w:t>o zaključnem računu Evropske agencije za varnost hrane za proračunsko leto 2022</w:t>
      </w:r>
      <w:r w:rsidR="00D21644" w:rsidRPr="009136F7">
        <w:t xml:space="preserve"> (2023</w:t>
      </w:r>
      <w:r w:rsidRPr="009136F7">
        <w:t>/2151(DEC))</w:t>
      </w:r>
    </w:p>
    <w:p w:rsidR="00C216CE" w:rsidRPr="009136F7" w:rsidRDefault="00C216CE" w:rsidP="00C216CE">
      <w:pPr>
        <w:pStyle w:val="EPComma"/>
      </w:pPr>
      <w:r w:rsidRPr="009136F7">
        <w:rPr>
          <w:i/>
        </w:rPr>
        <w:t>Evropski parlament</w:t>
      </w:r>
      <w:r w:rsidRPr="009136F7">
        <w:t>,</w:t>
      </w:r>
    </w:p>
    <w:p w:rsidR="00C216CE" w:rsidRPr="009136F7" w:rsidRDefault="00C216CE" w:rsidP="00C216CE">
      <w:pPr>
        <w:pStyle w:val="NormalHanging12a"/>
      </w:pPr>
      <w:r w:rsidRPr="009136F7">
        <w:t>–</w:t>
      </w:r>
      <w:r w:rsidRPr="009136F7">
        <w:tab/>
        <w:t>ob upoštevanju končnega zaključnega računa Evropske agencije za varnost hrane za proračunsko leto 2022,</w:t>
      </w:r>
    </w:p>
    <w:p w:rsidR="00C216CE" w:rsidRPr="009136F7" w:rsidRDefault="00C216CE" w:rsidP="00C216CE">
      <w:pPr>
        <w:pStyle w:val="NormalHanging12a"/>
      </w:pPr>
      <w:r w:rsidRPr="009136F7">
        <w:t>–</w:t>
      </w:r>
      <w:r w:rsidRPr="009136F7">
        <w:tab/>
        <w:t>ob upoštevanju letnega poročila Računskega sodišča o agencijah EU za proračunsko leto 2022 skupaj z odgovori agencij</w:t>
      </w:r>
      <w:r w:rsidRPr="009136F7">
        <w:rPr>
          <w:rStyle w:val="FootnoteReference"/>
        </w:rPr>
        <w:footnoteReference w:id="6"/>
      </w:r>
      <w:r w:rsidRPr="009136F7">
        <w:t>,</w:t>
      </w:r>
    </w:p>
    <w:p w:rsidR="00C216CE" w:rsidRPr="009136F7" w:rsidRDefault="00C216CE" w:rsidP="00C216CE">
      <w:pPr>
        <w:pStyle w:val="NormalHanging12a"/>
      </w:pPr>
      <w:r w:rsidRPr="009136F7">
        <w:t>–</w:t>
      </w:r>
      <w:r w:rsidRPr="009136F7">
        <w:tab/>
        <w:t>ob upoštevanju izjave o zanesljivosti</w:t>
      </w:r>
      <w:r w:rsidRPr="009136F7">
        <w:rPr>
          <w:rStyle w:val="FootnoteReference"/>
        </w:rPr>
        <w:footnoteReference w:id="7"/>
      </w:r>
      <w:r w:rsidRPr="009136F7">
        <w:t xml:space="preserve"> računovodskih izkazov ter zakonitosti in pravilnosti z njimi povezanih transakcij, ki jo je za proračunsko leto 2022 v skladu s členom 287 Pogodbe o delovanju Evropske unije pripravilo Računsko sodišče,</w:t>
      </w:r>
    </w:p>
    <w:p w:rsidR="00C216CE" w:rsidRPr="009136F7" w:rsidRDefault="00C216CE" w:rsidP="00C216CE">
      <w:pPr>
        <w:pStyle w:val="NormalHanging12a"/>
      </w:pPr>
      <w:r w:rsidRPr="009136F7">
        <w:t>–</w:t>
      </w:r>
      <w:r w:rsidRPr="009136F7">
        <w:tab/>
        <w:t>ob upoštevanju priporočila Sveta z dne 22. februarja 2024 o podelitvi razrešnice agenciji glede izvrševanja proračuna za proračunsko leto 2022 (</w:t>
      </w:r>
      <w:r w:rsidR="009136F7" w:rsidRPr="009136F7">
        <w:t>06180</w:t>
      </w:r>
      <w:r w:rsidRPr="009136F7">
        <w:t>/2024 – C9</w:t>
      </w:r>
      <w:r w:rsidRPr="009136F7">
        <w:noBreakHyphen/>
      </w:r>
      <w:r w:rsidR="009136F7" w:rsidRPr="009136F7">
        <w:t>0089</w:t>
      </w:r>
      <w:r w:rsidRPr="009136F7">
        <w:t>/2024),</w:t>
      </w:r>
    </w:p>
    <w:p w:rsidR="00C216CE" w:rsidRPr="009136F7" w:rsidRDefault="00C216CE" w:rsidP="00C216CE">
      <w:pPr>
        <w:pStyle w:val="NormalHanging12a"/>
      </w:pPr>
      <w:r w:rsidRPr="009136F7">
        <w:t>–</w:t>
      </w:r>
      <w:r w:rsidRPr="009136F7">
        <w:tab/>
        <w:t>ob upoštevanju člena 319 Pogodbe o delovanju Evropske unije,</w:t>
      </w:r>
    </w:p>
    <w:p w:rsidR="00C216CE" w:rsidRPr="009136F7" w:rsidRDefault="00C216CE" w:rsidP="00C216CE">
      <w:pPr>
        <w:pStyle w:val="NormalHanging12a"/>
      </w:pPr>
      <w:r w:rsidRPr="009136F7">
        <w:t>–</w:t>
      </w:r>
      <w:r w:rsidRPr="009136F7">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136F7">
        <w:rPr>
          <w:rStyle w:val="FootnoteReference"/>
        </w:rPr>
        <w:footnoteReference w:id="8"/>
      </w:r>
      <w:r w:rsidRPr="009136F7">
        <w:t xml:space="preserve"> in zlasti člena 70,</w:t>
      </w:r>
    </w:p>
    <w:p w:rsidR="00C216CE" w:rsidRPr="009136F7" w:rsidRDefault="00C216CE" w:rsidP="00C216CE">
      <w:pPr>
        <w:pStyle w:val="NormalHanging12a"/>
      </w:pPr>
      <w:r w:rsidRPr="009136F7">
        <w:t>–</w:t>
      </w:r>
      <w:r w:rsidRPr="009136F7">
        <w:tab/>
        <w:t>ob upoštevanju Uredbe (ES) št. 178/2002 Evropskega parlamenta in Sveta z dne 28. januarja 2002 o določitvi splošnih načel in zahtevah živilske zakonodaje, ustanovitvi Evropske agencije za varnost hrane in postopkih, ki zadevajo varnost hrane</w:t>
      </w:r>
      <w:r w:rsidRPr="009136F7">
        <w:rPr>
          <w:rStyle w:val="FootnoteReference"/>
        </w:rPr>
        <w:footnoteReference w:id="9"/>
      </w:r>
      <w:r w:rsidRPr="009136F7">
        <w:t xml:space="preserve"> in zlasti člena 44,</w:t>
      </w:r>
    </w:p>
    <w:p w:rsidR="00C216CE" w:rsidRPr="009136F7" w:rsidRDefault="00C216CE" w:rsidP="00C216CE">
      <w:pPr>
        <w:pStyle w:val="NormalHanging12a"/>
      </w:pPr>
      <w:r w:rsidRPr="009136F7">
        <w:t>–</w:t>
      </w:r>
      <w:r w:rsidRPr="009136F7">
        <w:tab/>
        <w:t>ob upoštevanju Delegirane uredbe Komisije (EU) 2019/715 z dne 18. decembra 2018 o okvirni finančni uredbi za organe, ustanovljene na podlagi PDEU in Pogodbe Euratom, iz člena 70 Uredbe (EU, Euratom) 2018/1046 Evropskega parlamenta in Sveta</w:t>
      </w:r>
      <w:r w:rsidRPr="009136F7">
        <w:rPr>
          <w:rStyle w:val="FootnoteReference"/>
        </w:rPr>
        <w:footnoteReference w:id="10"/>
      </w:r>
      <w:r w:rsidRPr="009136F7">
        <w:t xml:space="preserve"> in zlasti člena 105,</w:t>
      </w:r>
    </w:p>
    <w:p w:rsidR="00C216CE" w:rsidRPr="009136F7" w:rsidRDefault="00C216CE" w:rsidP="00C216CE">
      <w:pPr>
        <w:pStyle w:val="NormalHanging12a"/>
      </w:pPr>
      <w:r w:rsidRPr="009136F7">
        <w:t>–</w:t>
      </w:r>
      <w:r w:rsidRPr="009136F7">
        <w:tab/>
        <w:t>ob upoštevanju člena 100 in Priloge V Poslovnika,</w:t>
      </w:r>
    </w:p>
    <w:p w:rsidR="00C216CE" w:rsidRPr="009136F7" w:rsidRDefault="00C216CE" w:rsidP="00C216CE">
      <w:pPr>
        <w:pStyle w:val="NormalHanging12a"/>
      </w:pPr>
      <w:r w:rsidRPr="009136F7">
        <w:t>–</w:t>
      </w:r>
      <w:r w:rsidRPr="009136F7">
        <w:tab/>
        <w:t>ob upoštevanju mnenja Odbora za okolje, javno zdravje in varnost hrane,</w:t>
      </w:r>
    </w:p>
    <w:p w:rsidR="00C216CE" w:rsidRPr="009136F7" w:rsidRDefault="00C216CE" w:rsidP="00C216CE">
      <w:pPr>
        <w:pStyle w:val="NormalHanging12a"/>
      </w:pPr>
      <w:r w:rsidRPr="009136F7">
        <w:t>–</w:t>
      </w:r>
      <w:r w:rsidRPr="009136F7">
        <w:tab/>
        <w:t>ob upoštevanju poročila Odbora za proračunski nadzor (A9</w:t>
      </w:r>
      <w:r w:rsidRPr="009136F7">
        <w:noBreakHyphen/>
        <w:t>0129/2024),</w:t>
      </w:r>
    </w:p>
    <w:p w:rsidR="00C216CE" w:rsidRPr="009136F7" w:rsidRDefault="00C216CE" w:rsidP="00C216CE">
      <w:pPr>
        <w:pStyle w:val="NormalHanging12a"/>
      </w:pPr>
      <w:r w:rsidRPr="009136F7">
        <w:t>1.</w:t>
      </w:r>
      <w:r w:rsidRPr="009136F7">
        <w:tab/>
        <w:t>odobri zaključni račun zaključnega računa Evropske agencije za varnost hrane za proračunsko leto 2022;</w:t>
      </w:r>
    </w:p>
    <w:p w:rsidR="00C216CE" w:rsidRPr="009136F7" w:rsidRDefault="00C216CE" w:rsidP="00C216CE">
      <w:pPr>
        <w:pStyle w:val="NormalHanging12a"/>
      </w:pPr>
      <w:r w:rsidRPr="009136F7">
        <w:t>2.</w:t>
      </w:r>
      <w:r w:rsidRPr="009136F7">
        <w:tab/>
        <w:t xml:space="preserve">naroči svoji predsednici, naj ta sklep posreduje izvršnemu direktorju Evropske agencije za varnost hrane, Svetu, Komisiji in Računskemu sodišču in poskrbi za objavo v </w:t>
      </w:r>
      <w:r w:rsidRPr="009136F7">
        <w:rPr>
          <w:i/>
        </w:rPr>
        <w:t>Uradnem listu Evropske unije</w:t>
      </w:r>
      <w:r w:rsidRPr="009136F7">
        <w:t xml:space="preserve"> (serija L).</w:t>
      </w:r>
    </w:p>
    <w:p w:rsidR="00C216CE" w:rsidRPr="009136F7" w:rsidRDefault="00C216CE" w:rsidP="00C216CE"/>
    <w:p w:rsidR="00C216CE" w:rsidRPr="009136F7" w:rsidRDefault="00C216CE" w:rsidP="00C216CE">
      <w:pPr>
        <w:pStyle w:val="PageHeading"/>
        <w:sectPr w:rsidR="00C216CE" w:rsidRPr="009136F7" w:rsidSect="001537F5">
          <w:footnotePr>
            <w:numRestart w:val="eachPage"/>
          </w:footnotePr>
          <w:endnotePr>
            <w:numFmt w:val="decimal"/>
          </w:endnotePr>
          <w:pgSz w:w="11906" w:h="16838" w:code="9"/>
          <w:pgMar w:top="1134" w:right="1418" w:bottom="1418" w:left="1418" w:header="567" w:footer="567" w:gutter="0"/>
          <w:cols w:space="720"/>
          <w:noEndnote/>
          <w:docGrid w:linePitch="326"/>
        </w:sectPr>
      </w:pPr>
    </w:p>
    <w:p w:rsidR="00C216CE" w:rsidRPr="009136F7" w:rsidRDefault="00C216CE" w:rsidP="00D21644">
      <w:pPr>
        <w:pStyle w:val="ATHeading3"/>
      </w:pPr>
      <w:bookmarkStart w:id="10" w:name="_Toc161989484"/>
      <w:r w:rsidRPr="009136F7">
        <w:t xml:space="preserve">3. </w:t>
      </w:r>
      <w:bookmarkEnd w:id="10"/>
      <w:r w:rsidR="00D21644" w:rsidRPr="009136F7">
        <w:t xml:space="preserve">Resolucija Evropskega parlamenta z dne 11. aprila 2024 </w:t>
      </w:r>
      <w:r w:rsidRPr="009136F7">
        <w:t>s pripombami, ki so del sklepa o razrešnici glede izvrševanja proračuna Evropske agencije za varnost hrane za proračunsko leto 2022</w:t>
      </w:r>
      <w:r w:rsidR="00D21644" w:rsidRPr="009136F7">
        <w:t xml:space="preserve"> (2023</w:t>
      </w:r>
      <w:r w:rsidRPr="009136F7">
        <w:t>/2151(DEC))</w:t>
      </w:r>
    </w:p>
    <w:p w:rsidR="00C216CE" w:rsidRPr="009136F7" w:rsidRDefault="00C216CE" w:rsidP="00C216CE">
      <w:pPr>
        <w:pStyle w:val="EPComma"/>
      </w:pPr>
      <w:r w:rsidRPr="009136F7">
        <w:rPr>
          <w:i/>
        </w:rPr>
        <w:t>Evropski parlament</w:t>
      </w:r>
      <w:r w:rsidRPr="009136F7">
        <w:t>,</w:t>
      </w:r>
    </w:p>
    <w:p w:rsidR="00C216CE" w:rsidRPr="009136F7" w:rsidRDefault="00C216CE" w:rsidP="00C216CE">
      <w:pPr>
        <w:pStyle w:val="NormalHanging12a"/>
      </w:pPr>
      <w:r w:rsidRPr="009136F7">
        <w:t>–</w:t>
      </w:r>
      <w:r w:rsidRPr="009136F7">
        <w:tab/>
        <w:t>ob upoštevanju sklepa o razrešnici glede izvrševanja proračuna Evropske agencije za varnost hrane za proračunsko leto 2022,</w:t>
      </w:r>
    </w:p>
    <w:p w:rsidR="00C216CE" w:rsidRPr="009136F7" w:rsidRDefault="00C216CE" w:rsidP="00C216CE">
      <w:pPr>
        <w:pStyle w:val="NormalHanging12a"/>
      </w:pPr>
      <w:r w:rsidRPr="009136F7">
        <w:t>–</w:t>
      </w:r>
      <w:r w:rsidRPr="009136F7">
        <w:tab/>
        <w:t>ob upoštevanju člena 100 in Priloge V Poslovnika,</w:t>
      </w:r>
    </w:p>
    <w:p w:rsidR="00C216CE" w:rsidRPr="009136F7" w:rsidRDefault="00C216CE" w:rsidP="00C216CE">
      <w:pPr>
        <w:pStyle w:val="NormalHanging12a"/>
      </w:pPr>
      <w:r w:rsidRPr="009136F7">
        <w:t>–</w:t>
      </w:r>
      <w:r w:rsidRPr="009136F7">
        <w:tab/>
        <w:t>ob upoštevanju mnenja Odbora za okolje, javno zdravje in varnost hrane,</w:t>
      </w:r>
    </w:p>
    <w:p w:rsidR="00C216CE" w:rsidRPr="009136F7" w:rsidRDefault="00C216CE" w:rsidP="00C216CE">
      <w:pPr>
        <w:pStyle w:val="NormalHanging12a"/>
      </w:pPr>
      <w:r w:rsidRPr="009136F7">
        <w:t>–</w:t>
      </w:r>
      <w:r w:rsidRPr="009136F7">
        <w:tab/>
        <w:t>ob upoštevanju poročila Odbora za proračunski nadzor (A9</w:t>
      </w:r>
      <w:r w:rsidRPr="009136F7">
        <w:noBreakHyphen/>
        <w:t>0129/2024),</w:t>
      </w:r>
    </w:p>
    <w:p w:rsidR="00C216CE" w:rsidRPr="009136F7" w:rsidRDefault="00C216CE" w:rsidP="00C216CE">
      <w:pPr>
        <w:autoSpaceDE w:val="0"/>
        <w:autoSpaceDN w:val="0"/>
        <w:adjustRightInd w:val="0"/>
        <w:spacing w:after="240"/>
        <w:ind w:left="567" w:hanging="567"/>
        <w:rPr>
          <w:rFonts w:eastAsia="Calibri"/>
          <w:szCs w:val="24"/>
        </w:rPr>
      </w:pPr>
      <w:r w:rsidRPr="009136F7">
        <w:t>A.</w:t>
      </w:r>
      <w:r w:rsidRPr="009136F7">
        <w:tab/>
        <w:t>ker izkaz prihodkov in odhodkov</w:t>
      </w:r>
      <w:r w:rsidRPr="009136F7">
        <w:rPr>
          <w:rFonts w:eastAsia="Calibri"/>
          <w:szCs w:val="24"/>
          <w:vertAlign w:val="superscript"/>
        </w:rPr>
        <w:footnoteReference w:id="11"/>
      </w:r>
      <w:r w:rsidRPr="009136F7">
        <w:t xml:space="preserve"> Evropske agencije za varnost hrane (v nadaljnjem besedilu: agencija) kaže, da je končni proračun agencije v proračunskem letu 2022 znašal 149.841.816,93 EUR, kar je 15,99 % več kot v letu 2021; ker proračun agencije v glavnem izvira iz proračuna Unije;</w:t>
      </w:r>
    </w:p>
    <w:p w:rsidR="00C216CE" w:rsidRPr="009136F7" w:rsidRDefault="00C216CE" w:rsidP="00C216CE">
      <w:pPr>
        <w:spacing w:after="240"/>
        <w:ind w:left="567" w:hanging="567"/>
        <w:rPr>
          <w:szCs w:val="24"/>
        </w:rPr>
      </w:pPr>
      <w:r w:rsidRPr="009136F7">
        <w:t>B.</w:t>
      </w:r>
      <w:r w:rsidRPr="009136F7">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w:t>
      </w:r>
    </w:p>
    <w:p w:rsidR="00C216CE" w:rsidRPr="009136F7" w:rsidRDefault="00C216CE" w:rsidP="00C216CE">
      <w:pPr>
        <w:widowControl/>
        <w:spacing w:after="240"/>
        <w:ind w:left="567" w:hanging="567"/>
        <w:rPr>
          <w:szCs w:val="24"/>
        </w:rPr>
      </w:pPr>
      <w:r w:rsidRPr="009136F7">
        <w:t>C.</w:t>
      </w:r>
      <w:r w:rsidRPr="009136F7">
        <w:tab/>
        <w:t>ker v zvezi z javnimi naročili agencije za leto 2022 niso bile sporočene nobene težave, zaradi katerih bi bili potrebni popravni ukrepi, in ker ni tekočih ali zapadlih popravnih ukrepov iz revizij in ocen iz prejšnjih let;</w:t>
      </w:r>
    </w:p>
    <w:p w:rsidR="00C216CE" w:rsidRPr="009136F7" w:rsidRDefault="00C216CE" w:rsidP="00C216CE">
      <w:pPr>
        <w:widowControl/>
        <w:spacing w:after="240"/>
        <w:ind w:left="567" w:hanging="567"/>
        <w:rPr>
          <w:szCs w:val="24"/>
        </w:rPr>
      </w:pPr>
      <w:r w:rsidRPr="009136F7">
        <w:t>D.</w:t>
      </w:r>
      <w:r w:rsidRPr="009136F7">
        <w:tab/>
        <w:t>ker v zvezi s sistemi notranjega nadzora v agenciji za leto 2022 niso bile sporočene nobene težave, zaradi katerih bi bili potrebni popravni ukrepi, in ker ni tekočih ali zapadlih popravnih ukrepov iz revizij in ocen iz prejšnjih let;</w:t>
      </w:r>
    </w:p>
    <w:p w:rsidR="00C216CE" w:rsidRPr="009136F7" w:rsidRDefault="00C216CE" w:rsidP="00C216CE">
      <w:pPr>
        <w:spacing w:after="240"/>
        <w:ind w:left="567" w:hanging="567"/>
        <w:rPr>
          <w:b/>
          <w:i/>
          <w:szCs w:val="24"/>
        </w:rPr>
      </w:pPr>
      <w:r w:rsidRPr="009136F7">
        <w:rPr>
          <w:b/>
          <w:i/>
        </w:rPr>
        <w:t xml:space="preserve">Upravljanje proračuna in finančno </w:t>
      </w:r>
      <w:proofErr w:type="spellStart"/>
      <w:r w:rsidRPr="009136F7">
        <w:rPr>
          <w:b/>
          <w:i/>
        </w:rPr>
        <w:t>poslovodenje</w:t>
      </w:r>
      <w:proofErr w:type="spellEnd"/>
    </w:p>
    <w:p w:rsidR="00C216CE" w:rsidRPr="009136F7" w:rsidRDefault="00C216CE" w:rsidP="00C216CE">
      <w:pPr>
        <w:spacing w:after="240"/>
        <w:ind w:left="567" w:hanging="567"/>
        <w:rPr>
          <w:szCs w:val="24"/>
        </w:rPr>
      </w:pPr>
      <w:r w:rsidRPr="009136F7">
        <w:t>1.</w:t>
      </w:r>
      <w:r w:rsidRPr="009136F7">
        <w:tab/>
        <w:t>z zadovoljstvom ugotavlja, da je stopnja izvrševanja odobrenih sredstev za prevzem obveznosti zaradi proračunskega spremljanja v proračunskem letu 2022 znašala 99,95 %, kar je nekoliko manj (0,04 %) kot leta 2021; ugotavlja tudi, da je stopnja izvrševanja odobrenih sredstev za plačila v letu 2021 znašala 89,77 %, kar je 0,92 % več kot leta 2021;</w:t>
      </w:r>
    </w:p>
    <w:p w:rsidR="00C216CE" w:rsidRPr="009136F7" w:rsidRDefault="00C216CE" w:rsidP="00C216CE">
      <w:pPr>
        <w:pStyle w:val="NormalHanging12a"/>
      </w:pPr>
      <w:r w:rsidRPr="009136F7">
        <w:t>2.</w:t>
      </w:r>
      <w:r w:rsidRPr="009136F7">
        <w:tab/>
        <w:t xml:space="preserve">ugotavlja, da pomanjkanje sredstev in delovnih mest za regulativne organe za fitofarmacevtska sredstva povzroča zamude pri odobritvi aktivnih snovi z majhnim tveganjem in posodabljanju metodologij ocenjevanja v skladu z znanstvenim razvojem, kar bi dolgoročno zmanjšalo </w:t>
      </w:r>
      <w:proofErr w:type="spellStart"/>
      <w:r w:rsidRPr="009136F7">
        <w:t>okoljski</w:t>
      </w:r>
      <w:proofErr w:type="spellEnd"/>
      <w:r w:rsidRPr="009136F7">
        <w:t xml:space="preserve"> vpliv fitofarmacevtskih sredstev; poziva Komisijo, naj sprejme ustrezne ukrepe za zagotovitev, da bo imela agencija dovolj sredstev in delovnih mest za podporo državam članicam pri izpolnjevanju njihovih rokov iz Uredbe (ES) št. 1107/2009, podvojitev letnega števila ocen aktivnih snovi za fitofarmacevtska sredstva in potrojitev hitrosti razvoja metodologij, da bodo ocene tveganja v koraku z najnovejšimi znanstvenimi dosežki in v skladu z družbenimi pričakovanji;</w:t>
      </w:r>
    </w:p>
    <w:p w:rsidR="00C216CE" w:rsidRPr="009136F7" w:rsidRDefault="00C216CE" w:rsidP="00C216CE">
      <w:pPr>
        <w:spacing w:after="240"/>
        <w:ind w:left="567" w:hanging="567"/>
        <w:rPr>
          <w:b/>
          <w:i/>
          <w:szCs w:val="24"/>
        </w:rPr>
      </w:pPr>
      <w:r w:rsidRPr="009136F7">
        <w:rPr>
          <w:b/>
          <w:i/>
        </w:rPr>
        <w:t>Uspešnost</w:t>
      </w:r>
    </w:p>
    <w:p w:rsidR="00C216CE" w:rsidRPr="009136F7" w:rsidRDefault="00C216CE" w:rsidP="00C216CE">
      <w:pPr>
        <w:pStyle w:val="NormalHanging12a"/>
      </w:pPr>
      <w:r w:rsidRPr="009136F7">
        <w:t>3.</w:t>
      </w:r>
      <w:r w:rsidRPr="009136F7">
        <w:tab/>
        <w:t>pozdravlja prispevek agencije k varnosti prehranske in krmne verige v Uniji, pa tudi, da si zelo prizadeva za to, da bi upraviteljem tveganja v zvezi s prehransko verigo svetovala celovito, neodvisno in na podlagi najnovejših znanstvenih dognanj, javnost na jasen način seznanjala z dosežki in informacijami, na katerih temeljijo, ter sodelovala z zainteresiranimi stranmi in institucionalnimi partnerji, da bi bil sistem za varnost hrane usklajen in da bi mu ljudje zaupali;</w:t>
      </w:r>
    </w:p>
    <w:p w:rsidR="00C216CE" w:rsidRPr="009136F7" w:rsidRDefault="00C216CE" w:rsidP="00C216CE">
      <w:pPr>
        <w:pStyle w:val="NormalHanging12a"/>
        <w:rPr>
          <w:szCs w:val="24"/>
        </w:rPr>
      </w:pPr>
      <w:r w:rsidRPr="009136F7">
        <w:t>4.</w:t>
      </w:r>
      <w:r w:rsidRPr="009136F7">
        <w:tab/>
        <w:t xml:space="preserve">z zadovoljstvom ugotavlja, da je agencija uvedla celovit okvir uspešnosti, ki vire in dejavnosti povezuje z </w:t>
      </w:r>
      <w:proofErr w:type="spellStart"/>
      <w:r w:rsidRPr="009136F7">
        <w:t>izložki</w:t>
      </w:r>
      <w:proofErr w:type="spellEnd"/>
      <w:r w:rsidRPr="009136F7">
        <w:t xml:space="preserve"> in pričakovanimi rezultati, dopolnjuje pa ga sklop ključnih kazalnikov uspešnosti za spremljanje in spodbujanje uspešnosti; ugotavlja tudi, da je uspešnost pri doseganju ciljev iz okvira uspešnosti dosegla 96 %; seznanjen je, da sta bili področji strateškega cilja 2 (zagotavljanje pripravljenosti na prihodnje potrebe po analizi tveganja) in strateškega cilja 3 (</w:t>
      </w:r>
      <w:proofErr w:type="spellStart"/>
      <w:r w:rsidRPr="009136F7">
        <w:t>opolnomočenje</w:t>
      </w:r>
      <w:proofErr w:type="spellEnd"/>
      <w:r w:rsidRPr="009136F7">
        <w:t xml:space="preserve"> ljudi in zagotavljanje organizacijske prožnosti) na splošno uspešni, medtem ko je področje strateškega cilja 1 (zagotavljanje zaupanja vrednega znanstvenega svetovanja in obveščanja o tveganjih od vil do vilic), na katerega je močno vplivalo izvajanje novih pravil in postopkov iz Uredbe (EU) 2019/1381</w:t>
      </w:r>
      <w:r w:rsidRPr="009136F7">
        <w:rPr>
          <w:rStyle w:val="FootnoteReference"/>
          <w:szCs w:val="24"/>
        </w:rPr>
        <w:footnoteReference w:id="12"/>
      </w:r>
      <w:r w:rsidRPr="009136F7">
        <w:t>, predstavljalo odstopanje od cilja;</w:t>
      </w:r>
    </w:p>
    <w:p w:rsidR="00C216CE" w:rsidRPr="009136F7" w:rsidRDefault="00C216CE" w:rsidP="00C216CE">
      <w:pPr>
        <w:pStyle w:val="NormalHanging12a"/>
        <w:rPr>
          <w:szCs w:val="24"/>
        </w:rPr>
      </w:pPr>
      <w:r w:rsidRPr="009136F7">
        <w:t>5.</w:t>
      </w:r>
      <w:r w:rsidRPr="009136F7">
        <w:tab/>
        <w:t>poudarja, da je agencija zaključila 586 znanstvenih vprašanj od ciljnih 701 v zvezi s ciljem 1: „zagotavljanje zaupanja vrednega znanstvenega svetovanja in obveščanja o tveganjih od vil do vilic“; ugotavlja, da je bilo sicer število zaključenih znanstvenih vprašanj manjše, kot je bilo napovedano, je bilo pa na splošno izenačeno z novimi vprašanji, prejetimi med letom, kar je zagotovilo, da se število odprtih vprašanj ni povečalo;</w:t>
      </w:r>
    </w:p>
    <w:p w:rsidR="00C216CE" w:rsidRPr="009136F7" w:rsidRDefault="00C216CE" w:rsidP="00C216CE">
      <w:pPr>
        <w:pStyle w:val="NormalHanging12a"/>
        <w:rPr>
          <w:szCs w:val="24"/>
        </w:rPr>
      </w:pPr>
      <w:r w:rsidRPr="009136F7">
        <w:t>6.</w:t>
      </w:r>
      <w:r w:rsidRPr="009136F7">
        <w:tab/>
        <w:t>pozdravlja, da so bili rezultati na področju obveščanja o ugotovitvah zelo pozitivni, pri čemer so se zaradi pravočasne objave v dnevniku agencije ohranili pozitivni rezultati, doseženi v zadnjih dveh letih;</w:t>
      </w:r>
    </w:p>
    <w:p w:rsidR="00C216CE" w:rsidRPr="009136F7" w:rsidRDefault="00C216CE" w:rsidP="00C216CE">
      <w:pPr>
        <w:pStyle w:val="NormalHanging12a"/>
        <w:rPr>
          <w:szCs w:val="24"/>
        </w:rPr>
      </w:pPr>
      <w:r w:rsidRPr="009136F7">
        <w:t>7.</w:t>
      </w:r>
      <w:r w:rsidRPr="009136F7">
        <w:tab/>
        <w:t>ugotavlja, da je bilo leto 2022 prvo leto izvajanja strategije za leto 2027, ki je bila zasnovana kot nadaljevanje strategije za leto 2020. Ta strategija je (kratkoročno) osredotočena na izvajanje Uredbe (EU) 2019/1381 in agencijo (dolgoročno) pripravlja na nove razvijajoče se politike Unije;</w:t>
      </w:r>
    </w:p>
    <w:p w:rsidR="00C216CE" w:rsidRPr="009136F7" w:rsidRDefault="00C216CE" w:rsidP="00C216CE">
      <w:pPr>
        <w:pStyle w:val="NormalHanging12a"/>
        <w:rPr>
          <w:szCs w:val="24"/>
        </w:rPr>
      </w:pPr>
      <w:r w:rsidRPr="009136F7">
        <w:t>8.</w:t>
      </w:r>
      <w:r w:rsidRPr="009136F7">
        <w:tab/>
        <w:t>pozdravlja, da je agencija junija 2022 organizirala konferenco „ONE – zdravje, okolje, družba“, na kateri je poudarila vez med zdravjem ljudi, živali in okolja ter vodi h konceptu „eno zdravje-eno okolje“;</w:t>
      </w:r>
    </w:p>
    <w:p w:rsidR="00C216CE" w:rsidRPr="009136F7" w:rsidRDefault="00C216CE" w:rsidP="00C216CE">
      <w:pPr>
        <w:pStyle w:val="NormalHanging12a"/>
        <w:rPr>
          <w:szCs w:val="24"/>
        </w:rPr>
      </w:pPr>
      <w:r w:rsidRPr="009136F7">
        <w:t>9.</w:t>
      </w:r>
      <w:r w:rsidRPr="009136F7">
        <w:tab/>
        <w:t>ugotavlja, da je agencija v partnerstvu z 18 državami članicami začela kampanjo o afriški prašičji kugi; ugotavlja tudi, da je agencija prispevala k zasnovi in izvajanju „strategije EU za kemikalije“;</w:t>
      </w:r>
    </w:p>
    <w:p w:rsidR="00C216CE" w:rsidRPr="009136F7" w:rsidRDefault="00C216CE" w:rsidP="00C216CE">
      <w:pPr>
        <w:pStyle w:val="NormalHanging12a"/>
      </w:pPr>
      <w:r w:rsidRPr="009136F7">
        <w:t>10.</w:t>
      </w:r>
      <w:r w:rsidRPr="009136F7">
        <w:tab/>
        <w:t>ugotavlja, da je treba v skladu z letno strateško raziskavo, ki jo je začela izvajati agencija in v kateri je prosila svoje stranke, partnerje in deležnike, ki so neposredno ali posredno vključeni v pripravo znanstvenih mnenj agencije, za povratne informacije, zmožnost agencije, da pravočasno zagotovi svoje nasvete, še naprej pozorno spremljati;</w:t>
      </w:r>
    </w:p>
    <w:p w:rsidR="00C216CE" w:rsidRPr="009136F7" w:rsidRDefault="00C216CE" w:rsidP="00C216CE">
      <w:pPr>
        <w:pStyle w:val="NormalHanging12a"/>
        <w:rPr>
          <w:b/>
          <w:i/>
          <w:szCs w:val="24"/>
        </w:rPr>
      </w:pPr>
      <w:r w:rsidRPr="009136F7">
        <w:rPr>
          <w:b/>
          <w:i/>
        </w:rPr>
        <w:t>Učinkovitost in dosežki</w:t>
      </w:r>
    </w:p>
    <w:p w:rsidR="00C216CE" w:rsidRPr="009136F7" w:rsidRDefault="00C216CE" w:rsidP="00C216CE">
      <w:pPr>
        <w:pStyle w:val="NormalHanging12a"/>
        <w:rPr>
          <w:szCs w:val="24"/>
        </w:rPr>
      </w:pPr>
      <w:r w:rsidRPr="009136F7">
        <w:t>11.</w:t>
      </w:r>
      <w:r w:rsidRPr="009136F7">
        <w:tab/>
        <w:t xml:space="preserve">ugotavlja, da agencija sodeluje z Evropsko agencijo za kemikalije v okviru nove strategije EU za kemikalije, in z Evropskim centrom za preprečevanje in obvladovanje bolezni, da bi razvila sisteme za zbiranje in analizo </w:t>
      </w:r>
      <w:proofErr w:type="spellStart"/>
      <w:r w:rsidRPr="009136F7">
        <w:t>genomskega</w:t>
      </w:r>
      <w:proofErr w:type="spellEnd"/>
      <w:r w:rsidRPr="009136F7">
        <w:t xml:space="preserve"> </w:t>
      </w:r>
      <w:proofErr w:type="spellStart"/>
      <w:r w:rsidRPr="009136F7">
        <w:t>sekvenciranja</w:t>
      </w:r>
      <w:proofErr w:type="spellEnd"/>
      <w:r w:rsidRPr="009136F7">
        <w:t>; ugotavlja tudi, da je agencija človeške in raziskovalne vire delila s sorodnimi agencijami in Skupnim raziskovalnim središčem; poudarja tudi horizontalne koristi sodelovanja in prilagajanja primerov dobre prakse;</w:t>
      </w:r>
    </w:p>
    <w:p w:rsidR="00C216CE" w:rsidRPr="009136F7" w:rsidRDefault="00C216CE" w:rsidP="00C216CE">
      <w:pPr>
        <w:pStyle w:val="NormalHanging12a"/>
        <w:rPr>
          <w:szCs w:val="24"/>
        </w:rPr>
      </w:pPr>
      <w:r w:rsidRPr="009136F7">
        <w:t>12.</w:t>
      </w:r>
      <w:r w:rsidRPr="009136F7">
        <w:tab/>
        <w:t>ugotavlja, da si je agencija v letu 2022 še bolj prizadevala za utrditev izvajanja novih procesov in orodij IT, da bi dosegla visoko raven učinkovitosti in čim bolj povečala sinergije z drugimi agencijami; ugotavlja tudi, da nekateri rezultati agencije v zvezi z učinkovitostjo in povečanjem uporabe orodij IT v obdobju 2020–2022 niso bili ciljno usmerjeni do konca leta 2023;</w:t>
      </w:r>
    </w:p>
    <w:p w:rsidR="00C216CE" w:rsidRPr="009136F7" w:rsidRDefault="00C216CE" w:rsidP="00C216CE">
      <w:pPr>
        <w:pStyle w:val="NormalHanging12a"/>
      </w:pPr>
      <w:r w:rsidRPr="009136F7">
        <w:t>13.</w:t>
      </w:r>
      <w:r w:rsidRPr="009136F7">
        <w:tab/>
        <w:t xml:space="preserve">pozdravlja namero agencije, da okrepi skupno upravljanje podatkov z državami članicami in drugimi agencijami, da bi izboljšala kakovost in </w:t>
      </w:r>
      <w:proofErr w:type="spellStart"/>
      <w:r w:rsidRPr="009136F7">
        <w:t>interoperabilnost</w:t>
      </w:r>
      <w:proofErr w:type="spellEnd"/>
      <w:r w:rsidRPr="009136F7">
        <w:t xml:space="preserve"> podatkov (v skladu s pristopom „eno zdravje“);</w:t>
      </w:r>
    </w:p>
    <w:p w:rsidR="00C216CE" w:rsidRPr="009136F7" w:rsidRDefault="00C216CE" w:rsidP="00C216CE">
      <w:pPr>
        <w:spacing w:after="240"/>
        <w:ind w:left="567" w:hanging="567"/>
        <w:rPr>
          <w:b/>
          <w:i/>
          <w:szCs w:val="24"/>
        </w:rPr>
      </w:pPr>
      <w:r w:rsidRPr="009136F7">
        <w:rPr>
          <w:b/>
          <w:i/>
        </w:rPr>
        <w:t>Kadrovska politika</w:t>
      </w:r>
    </w:p>
    <w:p w:rsidR="00C216CE" w:rsidRPr="009136F7" w:rsidRDefault="00C216CE" w:rsidP="00C216CE">
      <w:pPr>
        <w:spacing w:after="240"/>
        <w:ind w:left="567" w:hanging="567"/>
        <w:rPr>
          <w:rFonts w:eastAsia="Calibri"/>
          <w:szCs w:val="24"/>
        </w:rPr>
      </w:pPr>
      <w:r w:rsidRPr="009136F7">
        <w:t>14.</w:t>
      </w:r>
      <w:r w:rsidRPr="009136F7">
        <w:tab/>
        <w:t>ugotavlja, da je bil kadrovski načrt na dan 31. decembra 2022 uresničen 95,55-odstotno, saj je agencija na 405 delovnih mestih, odobrenih v proračunu Unije, zaposlovala 5 uradnikov in 382 začasnih uslužbencev (v primerjavi s 380 delovnimi mesti, odobrenimi leta 2021); ugotavlja tudi, da je agencija v letu 2022 zaposlovala 170 pogodbenih uslužbencev in 14 napotenih nacionalnih strokovnjakov; ugotavlja tudi, da je bilo agenciji za izvajanje Uredbe (EU) 2019/1381 dodeljenih 31 novih delovnih mest, za obdobje 2022–2024 pa 15 dodatnih pogodbenih uslužbencev;</w:t>
      </w:r>
    </w:p>
    <w:p w:rsidR="00C216CE" w:rsidRPr="009136F7" w:rsidRDefault="00C216CE" w:rsidP="00C216CE">
      <w:pPr>
        <w:widowControl/>
        <w:spacing w:after="240"/>
        <w:ind w:left="567" w:hanging="567"/>
        <w:rPr>
          <w:szCs w:val="24"/>
        </w:rPr>
      </w:pPr>
      <w:r w:rsidRPr="009136F7">
        <w:t>15.</w:t>
      </w:r>
      <w:r w:rsidRPr="009136F7">
        <w:tab/>
        <w:t>seznanjen je, da je bila leta 2022 dosežena uravnotežena zastopanost spolov med vsemi zaposlenimi v agenciji, pri čemer je bilo 335 od 557 zaposlenih (60,1 %) žensk, v upravnem odboru agencije pa je bilo 37 od 70 članov (52,9 %) žensk; ugotavlja, da na visokih in vodstvenih položajih moški zasedajo večji delež delovnih mest kot ženske (63/37 %); poziva agencijo, naj okrepi prizadevanja za premostitev razlik med spoloma na visokih in vodstvenih položajih;</w:t>
      </w:r>
    </w:p>
    <w:p w:rsidR="00C216CE" w:rsidRPr="009136F7" w:rsidRDefault="00C216CE" w:rsidP="00C216CE">
      <w:pPr>
        <w:spacing w:after="240"/>
        <w:ind w:left="567" w:hanging="567"/>
        <w:rPr>
          <w:rFonts w:eastAsia="Calibri"/>
          <w:szCs w:val="24"/>
        </w:rPr>
      </w:pPr>
      <w:r w:rsidRPr="009136F7">
        <w:t>16.</w:t>
      </w:r>
      <w:r w:rsidRPr="009136F7">
        <w:tab/>
        <w:t>seznanjen je, da je zdravstvena služba leta 2022 poročala o treh primerih izgorelosti;</w:t>
      </w:r>
      <w:r w:rsidRPr="009136F7">
        <w:rPr>
          <w:rFonts w:ascii="Segoe UI" w:hAnsi="Segoe UI"/>
          <w:color w:val="374151"/>
        </w:rPr>
        <w:t xml:space="preserve"> </w:t>
      </w:r>
      <w:r w:rsidRPr="009136F7">
        <w:t>poudarja ključen pomen ohranjanja ravnovesja med poklicnimi obveznostmi in zasebnim življenjem; poziva agencijo, naj še naprej spodbuja zdravo ravnovesje med poklicnim in zasebnim življenjem med zaposlenimi;</w:t>
      </w:r>
    </w:p>
    <w:p w:rsidR="00C216CE" w:rsidRPr="009136F7" w:rsidRDefault="00C216CE" w:rsidP="00C216CE">
      <w:pPr>
        <w:spacing w:after="240"/>
        <w:ind w:left="567" w:hanging="567"/>
        <w:rPr>
          <w:rFonts w:eastAsia="Calibri"/>
          <w:szCs w:val="24"/>
        </w:rPr>
      </w:pPr>
      <w:r w:rsidRPr="009136F7">
        <w:t>17.</w:t>
      </w:r>
      <w:r w:rsidRPr="009136F7">
        <w:tab/>
        <w:t>ugotavlja, da je agencija zavezana vrednotam mreže agencij EU in listine o raznolikosti in vključevanju ter si prizadeva za njeno čimprejšnje sprejetje; je seznanjen tudi s sodelovanjem agencije v delovni skupini mreže agencij EU za raznolikost in vključevanje prek izmenjave sinergij, informacij in virov v zvezi z raznolikostjo in vključenostjo; poleg tega so bile izvedene nekatere notranje pobude, kot sta novo spletno mesto za poklicno pot in videoposnetek o delu v agenciji s posebno temo raznolikosti in vključevanja;</w:t>
      </w:r>
    </w:p>
    <w:p w:rsidR="00C216CE" w:rsidRPr="009136F7" w:rsidRDefault="00C216CE" w:rsidP="00C216CE">
      <w:pPr>
        <w:spacing w:after="240"/>
        <w:ind w:left="567" w:hanging="567"/>
        <w:rPr>
          <w:rFonts w:eastAsia="Calibri"/>
          <w:szCs w:val="24"/>
        </w:rPr>
      </w:pPr>
      <w:r w:rsidRPr="009136F7">
        <w:t>18.</w:t>
      </w:r>
      <w:r w:rsidRPr="009136F7">
        <w:tab/>
        <w:t>ugotavlja, da je agencija sprejela smernice za izvajanje pomoči invalidom, ki spodbujajo socialno politiko in enako obravnavo na delovnem mestu; ugotavlja tudi, da je bila stavba agencije zasnovana v skladu z italijanskimi predpisi o dostopnosti za invalide;</w:t>
      </w:r>
    </w:p>
    <w:p w:rsidR="00C216CE" w:rsidRPr="009136F7" w:rsidRDefault="00C216CE" w:rsidP="00C216CE">
      <w:pPr>
        <w:spacing w:after="240"/>
        <w:ind w:left="567" w:hanging="567"/>
        <w:rPr>
          <w:rFonts w:eastAsia="Calibri"/>
          <w:szCs w:val="24"/>
        </w:rPr>
      </w:pPr>
      <w:r w:rsidRPr="009136F7">
        <w:t>19.</w:t>
      </w:r>
      <w:r w:rsidRPr="009136F7">
        <w:tab/>
        <w:t xml:space="preserve">seznanjen je, da se je 1. januarja 2022 začela izvajati nova organizacijska struktura za podporo izvajanju Uredbe (EU) 2019/1381 o preglednosti in ambicij agencije iz strategije za leto 2027; </w:t>
      </w:r>
    </w:p>
    <w:p w:rsidR="00C216CE" w:rsidRPr="009136F7" w:rsidRDefault="00C216CE" w:rsidP="00C216CE">
      <w:pPr>
        <w:spacing w:after="240"/>
        <w:ind w:left="567" w:hanging="567"/>
        <w:rPr>
          <w:b/>
          <w:i/>
          <w:szCs w:val="24"/>
        </w:rPr>
      </w:pPr>
      <w:r w:rsidRPr="009136F7">
        <w:rPr>
          <w:b/>
          <w:i/>
        </w:rPr>
        <w:t>Preprečevanje in obvladovanje nasprotij interesov ter preglednost</w:t>
      </w:r>
    </w:p>
    <w:p w:rsidR="00C216CE" w:rsidRPr="009136F7" w:rsidRDefault="00C216CE" w:rsidP="00C216CE">
      <w:pPr>
        <w:spacing w:after="240"/>
        <w:ind w:left="567" w:hanging="567"/>
        <w:rPr>
          <w:rFonts w:eastAsia="Calibri"/>
          <w:szCs w:val="24"/>
        </w:rPr>
      </w:pPr>
      <w:r w:rsidRPr="009136F7">
        <w:t>20.</w:t>
      </w:r>
      <w:r w:rsidRPr="009136F7">
        <w:tab/>
        <w:t>ugotavlja, da sta upravni odbor in operativno vodstvo agencije podpisala izjavo o nasprotju interesov, ki je objavljena in dostopna na spletnem mestu; ugotavlja tudi, da naj bi bili življenjepisi članov in nadomestnih članov upravnega odbora objavljeni do konca leta 2023;</w:t>
      </w:r>
    </w:p>
    <w:p w:rsidR="00C216CE" w:rsidRPr="009136F7" w:rsidRDefault="00C216CE" w:rsidP="00C216CE">
      <w:pPr>
        <w:spacing w:after="240"/>
        <w:ind w:left="567" w:hanging="567"/>
        <w:rPr>
          <w:rFonts w:eastAsia="Calibri"/>
          <w:szCs w:val="24"/>
        </w:rPr>
      </w:pPr>
      <w:r w:rsidRPr="009136F7">
        <w:t>21.</w:t>
      </w:r>
      <w:r w:rsidRPr="009136F7">
        <w:tab/>
        <w:t>je seznanjen, da je agencija v letu 2022 odkrila in obravnavala sedem primerov nasprotja interesov v letnih izjavah strokovnjakov o interesih; ugotavlja, da jim je agencija preprečila sodelovanje v znanstvenih dejavnostih;</w:t>
      </w:r>
    </w:p>
    <w:p w:rsidR="00C216CE" w:rsidRPr="009136F7" w:rsidRDefault="00C216CE" w:rsidP="00C216CE">
      <w:pPr>
        <w:spacing w:after="240"/>
        <w:ind w:left="567" w:hanging="567"/>
        <w:rPr>
          <w:rFonts w:eastAsia="Calibri"/>
          <w:szCs w:val="24"/>
        </w:rPr>
      </w:pPr>
      <w:r w:rsidRPr="009136F7">
        <w:t>22.</w:t>
      </w:r>
      <w:r w:rsidRPr="009136F7">
        <w:tab/>
        <w:t xml:space="preserve">se zaveda, da ima agencija prostovoljni kodeks ravnanja, v skladu s katerim se člani upravnega odbora zavežejo, da ji bodo v obdobju dveh let po izteku mandata sporočali poklicne dejavnosti; </w:t>
      </w:r>
    </w:p>
    <w:p w:rsidR="00C216CE" w:rsidRPr="009136F7" w:rsidRDefault="00C216CE" w:rsidP="00C216CE">
      <w:pPr>
        <w:spacing w:after="240"/>
        <w:ind w:left="567" w:hanging="567"/>
        <w:rPr>
          <w:rFonts w:eastAsia="Calibri"/>
          <w:szCs w:val="24"/>
        </w:rPr>
      </w:pPr>
      <w:r w:rsidRPr="009136F7">
        <w:t>23.</w:t>
      </w:r>
      <w:r w:rsidRPr="009136F7">
        <w:tab/>
        <w:t>je seznanjen, da namerava agencija do prvega četrtletja 2024 sprejeti nov standardni postopek po prenehanju zaposlitve, ki bi vključeval merila in postopek za prekinitev dostopa do zaupnih informacij za uslužbence, ki zapustijo službo, zahteve glede spremljanja in izvajanja ter standarde preglednosti;</w:t>
      </w:r>
    </w:p>
    <w:p w:rsidR="00C216CE" w:rsidRPr="009136F7" w:rsidRDefault="00C216CE" w:rsidP="00C216CE">
      <w:pPr>
        <w:spacing w:after="240"/>
        <w:ind w:left="567" w:hanging="567"/>
        <w:rPr>
          <w:rFonts w:eastAsia="Calibri"/>
          <w:szCs w:val="24"/>
        </w:rPr>
      </w:pPr>
      <w:r w:rsidRPr="009136F7">
        <w:t>24.</w:t>
      </w:r>
      <w:r w:rsidRPr="009136F7">
        <w:tab/>
        <w:t>ugotavlja, da je agencija vzpostavila strategijo za boj proti goljufijam, razvito v tesnem sodelovanju z Evropskim uradom za boj proti goljufijam, skupaj s povezanimi izvedbenimi pravili in akcijskim načrtom za preprečevanje goljufij in korupcije;</w:t>
      </w:r>
    </w:p>
    <w:p w:rsidR="00C216CE" w:rsidRPr="009136F7" w:rsidRDefault="00C216CE" w:rsidP="00C216CE">
      <w:pPr>
        <w:spacing w:after="240"/>
        <w:ind w:left="567" w:hanging="567"/>
        <w:rPr>
          <w:b/>
          <w:i/>
          <w:szCs w:val="24"/>
        </w:rPr>
      </w:pPr>
      <w:r w:rsidRPr="009136F7">
        <w:rPr>
          <w:b/>
          <w:i/>
        </w:rPr>
        <w:t>Druge pripombe</w:t>
      </w:r>
    </w:p>
    <w:p w:rsidR="00C216CE" w:rsidRPr="009136F7" w:rsidRDefault="00C216CE" w:rsidP="00C216CE">
      <w:pPr>
        <w:spacing w:after="240"/>
        <w:ind w:left="567" w:hanging="567"/>
        <w:rPr>
          <w:szCs w:val="24"/>
        </w:rPr>
      </w:pPr>
      <w:r w:rsidRPr="009136F7">
        <w:t>25.</w:t>
      </w:r>
      <w:r w:rsidRPr="009136F7">
        <w:tab/>
        <w:t>je seznanjen, da je služba za notranjo revizijo junija 2022 izdala revizijsko poročilo o informacijski varnosti in ponovni vzpostavitvi delovanja po nesreči, da bi ocenila ustreznost zasnove in izvajanja upravljanja, ter opredelila dve ugotovitvi in tri pomembne ugotovitve o upravljanju varnosti IT; ugotavlja, da je agencija sprejela priporočila službe za notranjo revizijo in trenutno izvaja akcijski načrt;</w:t>
      </w:r>
    </w:p>
    <w:p w:rsidR="00C216CE" w:rsidRPr="009136F7" w:rsidRDefault="00C216CE" w:rsidP="00C216CE">
      <w:pPr>
        <w:pStyle w:val="NormalHanging12a"/>
      </w:pPr>
      <w:r w:rsidRPr="009136F7">
        <w:t>26.</w:t>
      </w:r>
      <w:r w:rsidRPr="009136F7">
        <w:tab/>
        <w:t>pozdravlja, da si agencija prizadeva, da bi povečala svojo prepoznavnost v javnosti in spletno prisotnost, in da zato že drugo leto v partnerstvu s pristojnimi organi držav članic izvaja kampanjo „#</w:t>
      </w:r>
      <w:proofErr w:type="spellStart"/>
      <w:r w:rsidRPr="009136F7">
        <w:t>EUChooseSafeFood</w:t>
      </w:r>
      <w:proofErr w:type="spellEnd"/>
      <w:r w:rsidRPr="009136F7">
        <w:t xml:space="preserve">“, da bi na dostopen način razložila znanost, na kateri temelji varnost hrane v Uniji; ter da organizira konferenco „ONE – zdravje, okolje, družba“ v sodelovanju z ostalimi štirimi </w:t>
      </w:r>
      <w:proofErr w:type="spellStart"/>
      <w:r w:rsidRPr="009136F7">
        <w:t>okoljskimi</w:t>
      </w:r>
      <w:proofErr w:type="spellEnd"/>
      <w:r w:rsidRPr="009136F7">
        <w:t xml:space="preserve"> agencijami, kar je vodilo do vzpostavitve skupnega kanala na </w:t>
      </w:r>
      <w:proofErr w:type="spellStart"/>
      <w:r w:rsidRPr="009136F7">
        <w:t>Instagramu</w:t>
      </w:r>
      <w:proofErr w:type="spellEnd"/>
      <w:r w:rsidRPr="009136F7">
        <w:t xml:space="preserve"> z imenom „eno zdravje-eno okolje“; ugotavlja tudi, da je agencija vlagala v večjezičnost svojega spletnega mesta z umetno inteligenco prek aplikacije </w:t>
      </w:r>
      <w:proofErr w:type="spellStart"/>
      <w:r w:rsidRPr="009136F7">
        <w:t>eTranslation</w:t>
      </w:r>
      <w:proofErr w:type="spellEnd"/>
      <w:r w:rsidRPr="009136F7">
        <w:t xml:space="preserve"> Komisije; ugotavlja tudi, da je agencija v letu 2022 še naprej vlagala v razvoj svojega portala „</w:t>
      </w:r>
      <w:proofErr w:type="spellStart"/>
      <w:r w:rsidRPr="009136F7">
        <w:t>OpenEFSA</w:t>
      </w:r>
      <w:proofErr w:type="spellEnd"/>
      <w:r w:rsidRPr="009136F7">
        <w:t>“ v skladu z zahtevami Uredbe (EU) 2019/1381;</w:t>
      </w:r>
    </w:p>
    <w:p w:rsidR="00C216CE" w:rsidRPr="009136F7" w:rsidRDefault="00C216CE" w:rsidP="00C216CE">
      <w:pPr>
        <w:spacing w:after="240"/>
        <w:ind w:left="567" w:hanging="567"/>
        <w:rPr>
          <w:rFonts w:eastAsia="Calibri"/>
          <w:szCs w:val="24"/>
        </w:rPr>
      </w:pPr>
      <w:r w:rsidRPr="009136F7">
        <w:t>27.</w:t>
      </w:r>
      <w:r w:rsidRPr="009136F7">
        <w:tab/>
        <w:t>pozdravlja, da je organ v zadnjih nekaj letih med agencijami, certificiranimi v sistemu EMAS; ugotavlja, da agencija glede na vrsto nakupa uporablja standarde za zelena javna naročila kot minimalne zahteve glede razpisnih zahtev v merilih za izbor in/ali oddajo javnega naročila;</w:t>
      </w:r>
    </w:p>
    <w:p w:rsidR="00C216CE" w:rsidRPr="009136F7" w:rsidRDefault="00C216CE" w:rsidP="00C216CE">
      <w:pPr>
        <w:spacing w:after="240"/>
        <w:jc w:val="center"/>
      </w:pPr>
      <w:r w:rsidRPr="009136F7">
        <w:t>°</w:t>
      </w:r>
    </w:p>
    <w:p w:rsidR="00C216CE" w:rsidRPr="009136F7" w:rsidRDefault="00C216CE" w:rsidP="00C216CE">
      <w:pPr>
        <w:pStyle w:val="NormalCenter12a"/>
      </w:pPr>
      <w:r w:rsidRPr="009136F7">
        <w:t>°</w:t>
      </w:r>
      <w:r w:rsidRPr="009136F7">
        <w:tab/>
        <w:t>°</w:t>
      </w:r>
    </w:p>
    <w:p w:rsidR="00C216CE" w:rsidRPr="001537F5" w:rsidRDefault="00C216CE" w:rsidP="00D21644">
      <w:pPr>
        <w:spacing w:after="240"/>
        <w:ind w:left="567" w:hanging="567"/>
      </w:pPr>
      <w:r w:rsidRPr="009136F7">
        <w:t>28.</w:t>
      </w:r>
      <w:r w:rsidRPr="009136F7">
        <w:tab/>
        <w:t xml:space="preserve">sporoča, da so druge ugotovitve horizontalne narave, ki spremljajo sklep o razrešnici, zbrane v resoluciji z dne </w:t>
      </w:r>
      <w:r w:rsidR="00D21644" w:rsidRPr="009136F7">
        <w:t>11. aprila 2024</w:t>
      </w:r>
      <w:r w:rsidRPr="009136F7">
        <w:rPr>
          <w:rStyle w:val="FootnoteReference"/>
        </w:rPr>
        <w:footnoteReference w:id="13"/>
      </w:r>
      <w:r w:rsidRPr="009136F7">
        <w:t xml:space="preserve"> o uspešnosti, finančnem </w:t>
      </w:r>
      <w:proofErr w:type="spellStart"/>
      <w:r w:rsidRPr="009136F7">
        <w:t>poslovodenju</w:t>
      </w:r>
      <w:proofErr w:type="spellEnd"/>
      <w:r w:rsidRPr="009136F7">
        <w:t xml:space="preserve"> in nadzoru agencij.</w:t>
      </w:r>
    </w:p>
    <w:sectPr w:rsidR="00C216CE" w:rsidRPr="001537F5" w:rsidSect="001537F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726" w:rsidRPr="001537F5" w:rsidRDefault="00EE7726">
      <w:r w:rsidRPr="001537F5">
        <w:separator/>
      </w:r>
    </w:p>
  </w:endnote>
  <w:endnote w:type="continuationSeparator" w:id="0">
    <w:p w:rsidR="00EE7726" w:rsidRPr="001537F5" w:rsidRDefault="00EE7726">
      <w:r w:rsidRPr="001537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CE" w:rsidRPr="001537F5" w:rsidRDefault="00C216CE" w:rsidP="00D91464">
    <w:pPr>
      <w:pStyle w:val="EPFooter"/>
    </w:pPr>
    <w:r w:rsidRPr="001537F5">
      <w:t>PE</w:t>
    </w:r>
    <w:r w:rsidRPr="001537F5">
      <w:rPr>
        <w:rStyle w:val="HideTWBExt"/>
      </w:rPr>
      <w:t>&lt;</w:t>
    </w:r>
    <w:proofErr w:type="spellStart"/>
    <w:r w:rsidRPr="001537F5">
      <w:rPr>
        <w:rStyle w:val="HideTWBExt"/>
      </w:rPr>
      <w:t>NoPE</w:t>
    </w:r>
    <w:proofErr w:type="spellEnd"/>
    <w:r w:rsidRPr="001537F5">
      <w:rPr>
        <w:rStyle w:val="HideTWBExt"/>
      </w:rPr>
      <w:t>&gt;</w:t>
    </w:r>
    <w:r w:rsidRPr="001537F5">
      <w:t>753.519</w:t>
    </w:r>
    <w:r w:rsidRPr="001537F5">
      <w:rPr>
        <w:rStyle w:val="HideTWBExt"/>
      </w:rPr>
      <w:t>&lt;/</w:t>
    </w:r>
    <w:proofErr w:type="spellStart"/>
    <w:r w:rsidRPr="001537F5">
      <w:rPr>
        <w:rStyle w:val="HideTWBExt"/>
      </w:rPr>
      <w:t>NoPE</w:t>
    </w:r>
    <w:proofErr w:type="spellEnd"/>
    <w:r w:rsidRPr="001537F5">
      <w:rPr>
        <w:rStyle w:val="HideTWBExt"/>
      </w:rPr>
      <w:t>&gt;&lt;Version&gt;</w:t>
    </w:r>
    <w:r w:rsidRPr="001537F5">
      <w:t>v03-00</w:t>
    </w:r>
    <w:r w:rsidRPr="001537F5">
      <w:rPr>
        <w:rStyle w:val="HideTWBExt"/>
      </w:rPr>
      <w:t>&lt;/</w:t>
    </w:r>
    <w:proofErr w:type="spellStart"/>
    <w:r w:rsidRPr="001537F5">
      <w:rPr>
        <w:rStyle w:val="HideTWBExt"/>
      </w:rPr>
      <w:t>Version</w:t>
    </w:r>
    <w:proofErr w:type="spellEnd"/>
    <w:r w:rsidRPr="001537F5">
      <w:rPr>
        <w:rStyle w:val="HideTWBExt"/>
      </w:rPr>
      <w:t>&gt;</w:t>
    </w:r>
    <w:r w:rsidRPr="001537F5">
      <w:tab/>
    </w:r>
    <w:r w:rsidRPr="001537F5">
      <w:fldChar w:fldCharType="begin"/>
    </w:r>
    <w:r w:rsidRPr="001537F5">
      <w:instrText xml:space="preserve"> PAGE  \* MERGEFORMAT </w:instrText>
    </w:r>
    <w:r w:rsidRPr="001537F5">
      <w:fldChar w:fldCharType="separate"/>
    </w:r>
    <w:r w:rsidR="001537F5" w:rsidRPr="001537F5">
      <w:rPr>
        <w:noProof/>
      </w:rPr>
      <w:t>2</w:t>
    </w:r>
    <w:r w:rsidRPr="001537F5">
      <w:fldChar w:fldCharType="end"/>
    </w:r>
    <w:r w:rsidRPr="001537F5">
      <w:t>/</w:t>
    </w:r>
    <w:fldSimple w:instr=" NUMPAGES  \* MERGEFORMAT ">
      <w:r w:rsidR="001537F5" w:rsidRPr="001537F5">
        <w:rPr>
          <w:noProof/>
        </w:rPr>
        <w:t>4</w:t>
      </w:r>
    </w:fldSimple>
    <w:r w:rsidRPr="001537F5">
      <w:tab/>
    </w:r>
    <w:r w:rsidRPr="001537F5">
      <w:rPr>
        <w:rStyle w:val="HideTWBExt"/>
      </w:rPr>
      <w:t>&lt;PathFdR&gt;</w:t>
    </w:r>
    <w:r w:rsidRPr="001537F5">
      <w:t>RR\1299220SL.docx</w:t>
    </w:r>
    <w:r w:rsidRPr="001537F5">
      <w:rPr>
        <w:rStyle w:val="HideTWBExt"/>
      </w:rPr>
      <w:t>&lt;/</w:t>
    </w:r>
    <w:proofErr w:type="spellStart"/>
    <w:r w:rsidRPr="001537F5">
      <w:rPr>
        <w:rStyle w:val="HideTWBExt"/>
      </w:rPr>
      <w:t>PathFdR</w:t>
    </w:r>
    <w:proofErr w:type="spellEnd"/>
    <w:r w:rsidRPr="001537F5">
      <w:rPr>
        <w:rStyle w:val="HideTWBExt"/>
      </w:rPr>
      <w:t>&gt;</w:t>
    </w:r>
  </w:p>
  <w:p w:rsidR="00C216CE" w:rsidRPr="001537F5" w:rsidRDefault="00C216CE" w:rsidP="00D91464">
    <w:pPr>
      <w:pStyle w:val="EPFooter2"/>
    </w:pPr>
    <w:r w:rsidRPr="001537F5">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CE" w:rsidRPr="001537F5" w:rsidRDefault="00C216CE" w:rsidP="00D9146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CE" w:rsidRPr="001537F5" w:rsidRDefault="00C216CE" w:rsidP="00D91464">
    <w:pPr>
      <w:pStyle w:val="EPFooter"/>
    </w:pPr>
    <w:r w:rsidRPr="001537F5">
      <w:rPr>
        <w:rStyle w:val="HideTWBExt"/>
      </w:rPr>
      <w:t>&lt;PathFdR&gt;</w:t>
    </w:r>
    <w:r w:rsidRPr="001537F5">
      <w:t>RR\1299220SL.docx</w:t>
    </w:r>
    <w:r w:rsidRPr="001537F5">
      <w:rPr>
        <w:rStyle w:val="HideTWBExt"/>
      </w:rPr>
      <w:t>&lt;/</w:t>
    </w:r>
    <w:proofErr w:type="spellStart"/>
    <w:r w:rsidRPr="001537F5">
      <w:rPr>
        <w:rStyle w:val="HideTWBExt"/>
      </w:rPr>
      <w:t>PathFdR</w:t>
    </w:r>
    <w:proofErr w:type="spellEnd"/>
    <w:r w:rsidRPr="001537F5">
      <w:rPr>
        <w:rStyle w:val="HideTWBExt"/>
      </w:rPr>
      <w:t>&gt;</w:t>
    </w:r>
    <w:r w:rsidRPr="001537F5">
      <w:tab/>
    </w:r>
    <w:r w:rsidRPr="001537F5">
      <w:tab/>
      <w:t>PE</w:t>
    </w:r>
    <w:r w:rsidRPr="001537F5">
      <w:rPr>
        <w:rStyle w:val="HideTWBExt"/>
      </w:rPr>
      <w:t>&lt;</w:t>
    </w:r>
    <w:proofErr w:type="spellStart"/>
    <w:r w:rsidRPr="001537F5">
      <w:rPr>
        <w:rStyle w:val="HideTWBExt"/>
      </w:rPr>
      <w:t>NoPE</w:t>
    </w:r>
    <w:proofErr w:type="spellEnd"/>
    <w:r w:rsidRPr="001537F5">
      <w:rPr>
        <w:rStyle w:val="HideTWBExt"/>
      </w:rPr>
      <w:t>&gt;</w:t>
    </w:r>
    <w:r w:rsidRPr="001537F5">
      <w:t>753.519</w:t>
    </w:r>
    <w:r w:rsidRPr="001537F5">
      <w:rPr>
        <w:rStyle w:val="HideTWBExt"/>
      </w:rPr>
      <w:t>&lt;/</w:t>
    </w:r>
    <w:proofErr w:type="spellStart"/>
    <w:r w:rsidRPr="001537F5">
      <w:rPr>
        <w:rStyle w:val="HideTWBExt"/>
      </w:rPr>
      <w:t>NoPE</w:t>
    </w:r>
    <w:proofErr w:type="spellEnd"/>
    <w:r w:rsidRPr="001537F5">
      <w:rPr>
        <w:rStyle w:val="HideTWBExt"/>
      </w:rPr>
      <w:t>&gt;&lt;Version&gt;</w:t>
    </w:r>
    <w:r w:rsidRPr="001537F5">
      <w:t>v03-00</w:t>
    </w:r>
    <w:r w:rsidRPr="001537F5">
      <w:rPr>
        <w:rStyle w:val="HideTWBExt"/>
      </w:rPr>
      <w:t>&lt;/</w:t>
    </w:r>
    <w:proofErr w:type="spellStart"/>
    <w:r w:rsidRPr="001537F5">
      <w:rPr>
        <w:rStyle w:val="HideTWBExt"/>
      </w:rPr>
      <w:t>Version</w:t>
    </w:r>
    <w:proofErr w:type="spellEnd"/>
    <w:r w:rsidRPr="001537F5">
      <w:rPr>
        <w:rStyle w:val="HideTWBExt"/>
      </w:rPr>
      <w:t>&gt;</w:t>
    </w:r>
  </w:p>
  <w:p w:rsidR="00C216CE" w:rsidRPr="001537F5" w:rsidRDefault="00C216CE" w:rsidP="00D91464">
    <w:pPr>
      <w:pStyle w:val="EPFooter2"/>
    </w:pPr>
    <w:r w:rsidRPr="001537F5">
      <w:t>SL</w:t>
    </w:r>
    <w:r w:rsidRPr="001537F5">
      <w:tab/>
    </w:r>
    <w:r w:rsidRPr="001537F5">
      <w:rPr>
        <w:b w:val="0"/>
        <w:i/>
        <w:color w:val="C0C0C0"/>
        <w:sz w:val="22"/>
      </w:rPr>
      <w:t>Združena v raznolikosti</w:t>
    </w:r>
    <w:r w:rsidRPr="001537F5">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7F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7F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7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726" w:rsidRPr="001537F5" w:rsidRDefault="00EE7726">
      <w:r w:rsidRPr="001537F5">
        <w:separator/>
      </w:r>
    </w:p>
  </w:footnote>
  <w:footnote w:type="continuationSeparator" w:id="0">
    <w:p w:rsidR="00EE7726" w:rsidRPr="001537F5" w:rsidRDefault="00EE7726">
      <w:r w:rsidRPr="001537F5">
        <w:continuationSeparator/>
      </w:r>
    </w:p>
  </w:footnote>
  <w:footnote w:id="1">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C, C/2023/594, 27.10.2023.</w:t>
      </w:r>
    </w:p>
  </w:footnote>
  <w:footnote w:id="2">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C, C/2023/112, 12.10.2023.</w:t>
      </w:r>
    </w:p>
  </w:footnote>
  <w:footnote w:id="3">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L 193, 30.7.2018, str. 1.</w:t>
      </w:r>
    </w:p>
  </w:footnote>
  <w:footnote w:id="4">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L 31, 1.2.2002, str. 1.</w:t>
      </w:r>
    </w:p>
  </w:footnote>
  <w:footnote w:id="5">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L 122, 10.5.2019, str. 1.</w:t>
      </w:r>
    </w:p>
  </w:footnote>
  <w:footnote w:id="6">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C, C/2023/594, 27.10.2023.</w:t>
      </w:r>
    </w:p>
  </w:footnote>
  <w:footnote w:id="7">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C, C/2023/112, 12.10.2023.</w:t>
      </w:r>
    </w:p>
  </w:footnote>
  <w:footnote w:id="8">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L 193, 30.7.2018, str. 1.</w:t>
      </w:r>
    </w:p>
  </w:footnote>
  <w:footnote w:id="9">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L 31, 1.2.2002, str. 1.</w:t>
      </w:r>
    </w:p>
  </w:footnote>
  <w:footnote w:id="10">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L 122, 10.5.2019, str. 1.</w:t>
      </w:r>
    </w:p>
  </w:footnote>
  <w:footnote w:id="11">
    <w:p w:rsidR="00C216CE" w:rsidRPr="001537F5" w:rsidRDefault="00C216CE" w:rsidP="001537F5">
      <w:pPr>
        <w:pStyle w:val="FootnoteText"/>
        <w:ind w:left="567" w:hanging="567"/>
        <w:rPr>
          <w:rFonts w:eastAsia="Calibri"/>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UL C 178, 29.4.2022, str. 1.</w:t>
      </w:r>
    </w:p>
  </w:footnote>
  <w:footnote w:id="12">
    <w:p w:rsidR="00C216CE" w:rsidRPr="001537F5" w:rsidRDefault="00C216CE" w:rsidP="001537F5">
      <w:pPr>
        <w:pStyle w:val="FootnoteText"/>
        <w:ind w:left="567" w:hanging="567"/>
        <w:rPr>
          <w:sz w:val="24"/>
          <w:lang w:val="sl-SI"/>
        </w:rPr>
      </w:pPr>
      <w:r w:rsidRPr="001537F5">
        <w:rPr>
          <w:rStyle w:val="FootnoteReference"/>
          <w:sz w:val="24"/>
          <w:lang w:val="sl-SI"/>
        </w:rPr>
        <w:footnoteRef/>
      </w:r>
      <w:r w:rsidR="001537F5" w:rsidRPr="001537F5">
        <w:rPr>
          <w:sz w:val="24"/>
          <w:lang w:val="sl-SI"/>
        </w:rPr>
        <w:t xml:space="preserve"> </w:t>
      </w:r>
      <w:r w:rsidR="001537F5" w:rsidRPr="001537F5">
        <w:rPr>
          <w:sz w:val="24"/>
          <w:lang w:val="sl-SI"/>
        </w:rPr>
        <w:tab/>
      </w:r>
      <w:r w:rsidRPr="001537F5">
        <w:rPr>
          <w:sz w:val="24"/>
          <w:lang w:val="sl-SI"/>
        </w:rPr>
        <w:t>Uredba (EU) 2019/1381 Evropskega parlamenta in Sveta z dne 20. junija 2019 o preglednosti in trajnosti ocenjevanja tveganja v prehranski verigi v EU ter o spremembah uredb (ES) št. 178/2002, (ES) št. 1829/2003, (ES) št. 1831/2003, (ES) št. 2065/2003, (ES) št. 1935/2004, (ES) št. 1331/2008, (ES) št. 1107/2009, (EU) 2015/2283 in Direktive 2001/18/ES (UL L 231, 6.9.2019, str. 1).</w:t>
      </w:r>
    </w:p>
  </w:footnote>
  <w:footnote w:id="13">
    <w:p w:rsidR="00C216CE" w:rsidRPr="001537F5" w:rsidRDefault="00C216CE" w:rsidP="001537F5">
      <w:pPr>
        <w:pStyle w:val="FootnoteText"/>
        <w:ind w:left="567" w:hanging="567"/>
        <w:rPr>
          <w:sz w:val="24"/>
          <w:szCs w:val="24"/>
          <w:lang w:val="sl-SI"/>
        </w:rPr>
      </w:pPr>
      <w:r w:rsidRPr="001537F5">
        <w:rPr>
          <w:rStyle w:val="FootnoteReference"/>
          <w:sz w:val="24"/>
          <w:szCs w:val="24"/>
          <w:lang w:val="sl-SI"/>
        </w:rPr>
        <w:footnoteRef/>
      </w:r>
      <w:r w:rsidR="001537F5" w:rsidRPr="001537F5">
        <w:rPr>
          <w:sz w:val="24"/>
          <w:lang w:val="sl-SI"/>
        </w:rPr>
        <w:t xml:space="preserve"> </w:t>
      </w:r>
      <w:r w:rsidR="001537F5" w:rsidRPr="001537F5">
        <w:rPr>
          <w:sz w:val="24"/>
          <w:lang w:val="sl-SI"/>
        </w:rPr>
        <w:tab/>
      </w:r>
      <w:r w:rsidRPr="001537F5">
        <w:rPr>
          <w:sz w:val="24"/>
          <w:lang w:val="sl-SI"/>
        </w:rPr>
        <w:t>Sprejeta besedila, P9_TA(2024)</w:t>
      </w:r>
      <w:r w:rsidR="00E40307">
        <w:rPr>
          <w:sz w:val="24"/>
          <w:lang w:val="sl-SI"/>
        </w:rPr>
        <w:t>0280</w:t>
      </w:r>
      <w:r w:rsidRPr="001537F5">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CE" w:rsidRPr="001537F5" w:rsidRDefault="00C21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CE" w:rsidRPr="001537F5" w:rsidRDefault="00C216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6CE" w:rsidRPr="001537F5" w:rsidRDefault="00C216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7F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7F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7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SL"/>
    <w:docVar w:name="dvnumam" w:val="0"/>
    <w:docVar w:name="dvpe" w:val="753.519"/>
    <w:docVar w:name="dvrapporteur" w:val="Poročevalec: "/>
    <w:docVar w:name="dvtitre" w:val="Sklep Evropskega parlamenta z dne … 2024 o razrešnici glede izvrševanja proračuna Evropske agencije za varnost hrane za proračunsko leto 2022(2023/2151(DEC))"/>
  </w:docVars>
  <w:rsids>
    <w:rsidRoot w:val="00EE7726"/>
    <w:rsid w:val="00002272"/>
    <w:rsid w:val="00064002"/>
    <w:rsid w:val="000677B9"/>
    <w:rsid w:val="000831BA"/>
    <w:rsid w:val="000A42CC"/>
    <w:rsid w:val="000E7DD9"/>
    <w:rsid w:val="0010095E"/>
    <w:rsid w:val="00125B37"/>
    <w:rsid w:val="001537F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6F7"/>
    <w:rsid w:val="00930C23"/>
    <w:rsid w:val="0093193B"/>
    <w:rsid w:val="009509D8"/>
    <w:rsid w:val="00950B64"/>
    <w:rsid w:val="00981893"/>
    <w:rsid w:val="0098475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6CE"/>
    <w:rsid w:val="00C23CD4"/>
    <w:rsid w:val="00C61C0C"/>
    <w:rsid w:val="00C941CB"/>
    <w:rsid w:val="00CC2357"/>
    <w:rsid w:val="00CF071A"/>
    <w:rsid w:val="00D058B8"/>
    <w:rsid w:val="00D21644"/>
    <w:rsid w:val="00D56C11"/>
    <w:rsid w:val="00D834A0"/>
    <w:rsid w:val="00D872DF"/>
    <w:rsid w:val="00D91E21"/>
    <w:rsid w:val="00DA7FCD"/>
    <w:rsid w:val="00E365E1"/>
    <w:rsid w:val="00E40307"/>
    <w:rsid w:val="00E820A4"/>
    <w:rsid w:val="00EB006A"/>
    <w:rsid w:val="00EB4772"/>
    <w:rsid w:val="00ED169E"/>
    <w:rsid w:val="00ED4235"/>
    <w:rsid w:val="00EE772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67906"/>
  <w15:chartTrackingRefBased/>
  <w15:docId w15:val="{40D67946-5D4D-48E0-9399-9DD742C8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216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216CE"/>
    <w:pPr>
      <w:spacing w:before="480" w:after="240"/>
    </w:pPr>
  </w:style>
  <w:style w:type="paragraph" w:customStyle="1" w:styleId="PageHeading">
    <w:name w:val="PageHeading"/>
    <w:basedOn w:val="Normal"/>
    <w:rsid w:val="00C216CE"/>
    <w:pPr>
      <w:keepNext/>
      <w:spacing w:after="480"/>
      <w:jc w:val="center"/>
    </w:pPr>
    <w:rPr>
      <w:rFonts w:ascii="Arial" w:hAnsi="Arial" w:cs="Arial"/>
      <w:b/>
    </w:rPr>
  </w:style>
  <w:style w:type="paragraph" w:customStyle="1" w:styleId="NormalBold">
    <w:name w:val="NormalBold"/>
    <w:basedOn w:val="Normal"/>
    <w:rsid w:val="00C216CE"/>
    <w:rPr>
      <w:b/>
    </w:rPr>
  </w:style>
  <w:style w:type="paragraph" w:customStyle="1" w:styleId="NormalHanging12a">
    <w:name w:val="NormalHanging12a"/>
    <w:basedOn w:val="Normal"/>
    <w:link w:val="NormalHanging12aChar"/>
    <w:rsid w:val="00C216CE"/>
    <w:pPr>
      <w:spacing w:after="240"/>
      <w:ind w:left="567" w:hanging="567"/>
    </w:pPr>
  </w:style>
  <w:style w:type="paragraph" w:customStyle="1" w:styleId="NormalCenter12a">
    <w:name w:val="NormalCenter12a"/>
    <w:basedOn w:val="Normal"/>
    <w:rsid w:val="00C216CE"/>
    <w:pPr>
      <w:spacing w:after="240"/>
      <w:jc w:val="center"/>
    </w:pPr>
  </w:style>
  <w:style w:type="paragraph" w:styleId="Header">
    <w:name w:val="header"/>
    <w:basedOn w:val="Normal"/>
    <w:link w:val="HeaderChar"/>
    <w:rsid w:val="00C216CE"/>
    <w:pPr>
      <w:tabs>
        <w:tab w:val="center" w:pos="4513"/>
        <w:tab w:val="right" w:pos="9026"/>
      </w:tabs>
    </w:pPr>
  </w:style>
  <w:style w:type="character" w:customStyle="1" w:styleId="HeaderChar">
    <w:name w:val="Header Char"/>
    <w:basedOn w:val="DefaultParagraphFont"/>
    <w:link w:val="Header"/>
    <w:rsid w:val="00C216CE"/>
    <w:rPr>
      <w:sz w:val="24"/>
      <w:lang w:val="sl-SI"/>
    </w:rPr>
  </w:style>
  <w:style w:type="paragraph" w:customStyle="1" w:styleId="EPFooter">
    <w:name w:val="EPFooter"/>
    <w:basedOn w:val="Normal"/>
    <w:rsid w:val="00C216C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216C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1BB60-0483-4CD9-BD78-57AB67996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2511</Words>
  <Characters>14811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2024-04-11T15:37:00Z</dcterms:created>
  <dcterms:modified xsi:type="dcterms:W3CDTF">2024-04-11T15:37:00Z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A9-0129/2024</vt:lpwstr>
  </property>
  <property fmtid="{D5CDD505-2E9C-101B-9397-08002B2CF9AE}" pid="4" name="&lt;Type&gt;">
    <vt:lpwstr>RR</vt:lpwstr>
  </property>
</Properties>
</file>