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0B00" w:rsidTr="0010095E">
        <w:trPr>
          <w:trHeight w:hRule="exact" w:val="1418"/>
        </w:trPr>
        <w:tc>
          <w:tcPr>
            <w:tcW w:w="6804" w:type="dxa"/>
            <w:shd w:val="clear" w:color="auto" w:fill="auto"/>
            <w:vAlign w:val="center"/>
          </w:tcPr>
          <w:p w:rsidR="00751A4A" w:rsidRPr="00790B00" w:rsidRDefault="00EB598E" w:rsidP="0010095E">
            <w:pPr>
              <w:pStyle w:val="EPName"/>
            </w:pPr>
            <w:r w:rsidRPr="00790B00">
              <w:t>Europaparlamentet</w:t>
            </w:r>
          </w:p>
          <w:p w:rsidR="00751A4A" w:rsidRPr="00790B00" w:rsidRDefault="00817416" w:rsidP="00756632">
            <w:pPr>
              <w:pStyle w:val="EPTerm"/>
              <w:rPr>
                <w:rStyle w:val="HideTWBExt"/>
                <w:noProof w:val="0"/>
                <w:vanish w:val="0"/>
                <w:color w:val="auto"/>
              </w:rPr>
            </w:pPr>
            <w:r w:rsidRPr="00790B00">
              <w:t>2019-2024</w:t>
            </w:r>
          </w:p>
        </w:tc>
        <w:tc>
          <w:tcPr>
            <w:tcW w:w="2268" w:type="dxa"/>
            <w:shd w:val="clear" w:color="auto" w:fill="auto"/>
          </w:tcPr>
          <w:p w:rsidR="00751A4A" w:rsidRPr="00790B00" w:rsidRDefault="00187494" w:rsidP="0010095E">
            <w:pPr>
              <w:pStyle w:val="EPLogo"/>
            </w:pPr>
            <w:r w:rsidRPr="00790B0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90B00" w:rsidRDefault="00D058B8" w:rsidP="004C5D52">
      <w:pPr>
        <w:pStyle w:val="LineTop"/>
      </w:pPr>
    </w:p>
    <w:p w:rsidR="00680577" w:rsidRPr="00790B00" w:rsidRDefault="00EB598E" w:rsidP="00680577">
      <w:pPr>
        <w:pStyle w:val="EPBodyTA1"/>
      </w:pPr>
      <w:r w:rsidRPr="00790B00">
        <w:t>ANTAGNA TEXTER</w:t>
      </w:r>
    </w:p>
    <w:p w:rsidR="00D058B8" w:rsidRPr="00790B00" w:rsidRDefault="00D058B8" w:rsidP="00D058B8">
      <w:pPr>
        <w:pStyle w:val="LineBottom"/>
      </w:pPr>
    </w:p>
    <w:p w:rsidR="00EB598E" w:rsidRPr="00790B00" w:rsidRDefault="00EB598E" w:rsidP="00EB598E">
      <w:pPr>
        <w:pStyle w:val="ATHeading1"/>
      </w:pPr>
      <w:bookmarkStart w:id="0" w:name="TANumber"/>
      <w:r w:rsidRPr="00790B00">
        <w:t>P9_TA(2024)0</w:t>
      </w:r>
      <w:bookmarkEnd w:id="0"/>
      <w:r w:rsidR="00790B00" w:rsidRPr="00790B00">
        <w:t>250</w:t>
      </w:r>
    </w:p>
    <w:p w:rsidR="00EB598E" w:rsidRPr="00790B00" w:rsidRDefault="00EB598E" w:rsidP="00EB598E">
      <w:pPr>
        <w:pStyle w:val="ATHeading2"/>
      </w:pPr>
      <w:bookmarkStart w:id="1" w:name="title"/>
      <w:r w:rsidRPr="00790B00">
        <w:t>Ansvarsfrihet 2022: Europeiska myndigheten för livsmedelssäkerhet</w:t>
      </w:r>
      <w:bookmarkEnd w:id="1"/>
    </w:p>
    <w:p w:rsidR="00EB598E" w:rsidRPr="00790B00" w:rsidRDefault="00EB598E" w:rsidP="00EB598E">
      <w:pPr>
        <w:rPr>
          <w:i/>
          <w:vanish/>
        </w:rPr>
      </w:pPr>
      <w:r w:rsidRPr="00790B00">
        <w:rPr>
          <w:i/>
        </w:rPr>
        <w:fldChar w:fldCharType="begin"/>
      </w:r>
      <w:r w:rsidRPr="00790B00">
        <w:rPr>
          <w:i/>
        </w:rPr>
        <w:instrText xml:space="preserve"> TC"(</w:instrText>
      </w:r>
      <w:bookmarkStart w:id="2" w:name="DocNumber"/>
      <w:r w:rsidRPr="00790B00">
        <w:rPr>
          <w:i/>
        </w:rPr>
        <w:instrText>A9-0129/2024</w:instrText>
      </w:r>
      <w:bookmarkEnd w:id="2"/>
      <w:r w:rsidRPr="00790B00">
        <w:rPr>
          <w:i/>
        </w:rPr>
        <w:instrText xml:space="preserve"> - Föredragande: Petri Sarvamaa)"\l3 \n&gt; \* MERGEFORMAT </w:instrText>
      </w:r>
      <w:r w:rsidRPr="00790B00">
        <w:rPr>
          <w:i/>
        </w:rPr>
        <w:fldChar w:fldCharType="end"/>
      </w:r>
    </w:p>
    <w:p w:rsidR="00EB598E" w:rsidRPr="00790B00" w:rsidRDefault="00EB598E" w:rsidP="00EB598E">
      <w:pPr>
        <w:rPr>
          <w:vanish/>
        </w:rPr>
      </w:pPr>
      <w:bookmarkStart w:id="3" w:name="Commission"/>
      <w:r w:rsidRPr="00790B00">
        <w:rPr>
          <w:vanish/>
        </w:rPr>
        <w:t>Budgetkontrollutskottet</w:t>
      </w:r>
      <w:bookmarkEnd w:id="3"/>
    </w:p>
    <w:p w:rsidR="00EB598E" w:rsidRPr="00790B00" w:rsidRDefault="00EB598E" w:rsidP="00EB598E">
      <w:pPr>
        <w:rPr>
          <w:vanish/>
        </w:rPr>
      </w:pPr>
      <w:bookmarkStart w:id="4" w:name="PE"/>
      <w:r w:rsidRPr="00790B00">
        <w:rPr>
          <w:vanish/>
        </w:rPr>
        <w:t>PE753.519</w:t>
      </w:r>
      <w:bookmarkEnd w:id="4"/>
    </w:p>
    <w:p w:rsidR="00EB598E" w:rsidRPr="00790B00" w:rsidRDefault="004D5E13" w:rsidP="00EB598E">
      <w:pPr>
        <w:pStyle w:val="ATHeading3"/>
      </w:pPr>
      <w:bookmarkStart w:id="5" w:name="Sujet"/>
      <w:r w:rsidRPr="00790B00">
        <w:t xml:space="preserve">1. </w:t>
      </w:r>
      <w:r w:rsidR="00EB598E" w:rsidRPr="00790B00">
        <w:t xml:space="preserve">Europaparlamentets beslut av den </w:t>
      </w:r>
      <w:r w:rsidRPr="00790B00">
        <w:t>11</w:t>
      </w:r>
      <w:r w:rsidR="00EB598E" w:rsidRPr="00790B00">
        <w:t xml:space="preserve"> </w:t>
      </w:r>
      <w:r w:rsidR="0085189B" w:rsidRPr="00790B00">
        <w:t>apr</w:t>
      </w:r>
      <w:bookmarkStart w:id="6" w:name="_GoBack"/>
      <w:bookmarkEnd w:id="6"/>
      <w:r w:rsidR="0085189B" w:rsidRPr="00790B00">
        <w:t>il</w:t>
      </w:r>
      <w:r w:rsidR="00EB598E" w:rsidRPr="00790B00">
        <w:t xml:space="preserve"> 2024 om ansvarsfrihet för genomförandet av budgeten för Europeiska myndigheten för livsmedelssäkerhet för budgetåret 2022</w:t>
      </w:r>
      <w:bookmarkEnd w:id="5"/>
      <w:r w:rsidR="00EB598E" w:rsidRPr="00790B00">
        <w:t xml:space="preserve"> </w:t>
      </w:r>
      <w:bookmarkStart w:id="7" w:name="References"/>
      <w:r w:rsidR="00EB598E" w:rsidRPr="00790B00">
        <w:t>(2023/2151(DEC))</w:t>
      </w:r>
      <w:bookmarkEnd w:id="7"/>
    </w:p>
    <w:p w:rsidR="007F3EB7" w:rsidRPr="00790B00" w:rsidRDefault="007F3EB7" w:rsidP="007F3EB7">
      <w:pPr>
        <w:pStyle w:val="EPComma"/>
        <w:widowControl/>
      </w:pPr>
      <w:bookmarkStart w:id="8" w:name="TextBodyBegin"/>
      <w:bookmarkEnd w:id="8"/>
      <w:r w:rsidRPr="00790B00">
        <w:rPr>
          <w:i/>
          <w:iCs/>
        </w:rPr>
        <w:t>Europaparlamentet fattar detta beslut</w:t>
      </w:r>
    </w:p>
    <w:p w:rsidR="007F3EB7" w:rsidRPr="00790B00" w:rsidRDefault="007F3EB7" w:rsidP="007F3EB7">
      <w:pPr>
        <w:pStyle w:val="NormalHanging12a"/>
        <w:widowControl/>
      </w:pPr>
      <w:r w:rsidRPr="00790B00">
        <w:t>–</w:t>
      </w:r>
      <w:r w:rsidRPr="00790B00">
        <w:tab/>
        <w:t>med beaktande av den slutliga årsredovisningen för Europeiska myndigheten för livsmedelssäkerhet för budgetåret 2022,</w:t>
      </w:r>
    </w:p>
    <w:p w:rsidR="007F3EB7" w:rsidRPr="00790B00" w:rsidRDefault="007F3EB7" w:rsidP="007F3EB7">
      <w:pPr>
        <w:pStyle w:val="NormalHanging12a"/>
        <w:widowControl/>
      </w:pPr>
      <w:r w:rsidRPr="00790B00">
        <w:t>–</w:t>
      </w:r>
      <w:r w:rsidRPr="00790B00">
        <w:tab/>
        <w:t>med beaktande av revisionsrättens årsrapport om EU:s byråer för budgetåret 2022, med byråernas svar</w:t>
      </w:r>
      <w:r w:rsidRPr="00790B00">
        <w:rPr>
          <w:rStyle w:val="FootnoteReference"/>
        </w:rPr>
        <w:footnoteReference w:id="1"/>
      </w:r>
      <w:r w:rsidRPr="00790B00">
        <w:t>,</w:t>
      </w:r>
    </w:p>
    <w:p w:rsidR="007F3EB7" w:rsidRPr="00790B00" w:rsidRDefault="007F3EB7" w:rsidP="007F3EB7">
      <w:pPr>
        <w:pStyle w:val="NormalHanging12a"/>
        <w:widowControl/>
      </w:pPr>
      <w:r w:rsidRPr="00790B00">
        <w:t>–</w:t>
      </w:r>
      <w:r w:rsidRPr="00790B00">
        <w:tab/>
        <w:t>med beaktande av förklaringen om räkenskapernas tillförlitlighet och de underliggande transaktionernas laglighet och korrekthet</w:t>
      </w:r>
      <w:r w:rsidRPr="00790B00">
        <w:rPr>
          <w:rStyle w:val="FootnoteReference"/>
        </w:rPr>
        <w:footnoteReference w:id="2"/>
      </w:r>
      <w:r w:rsidRPr="00790B00">
        <w:t>, som avgetts av revisionsrätten för budgetåret 2022 i enlighet med artikel 287 i fördraget om Europeiska unionens funktionssätt,</w:t>
      </w:r>
    </w:p>
    <w:p w:rsidR="007F3EB7" w:rsidRPr="00790B00" w:rsidRDefault="007F3EB7" w:rsidP="007F3EB7">
      <w:pPr>
        <w:pStyle w:val="NormalHanging12a"/>
        <w:widowControl/>
      </w:pPr>
      <w:r w:rsidRPr="00790B00">
        <w:t>–</w:t>
      </w:r>
      <w:r w:rsidRPr="00790B00">
        <w:tab/>
        <w:t>med beaktande av rådets rekommendation av den 22 februari 2024 om att bevilja myndigheten ansvarsfrihet för genomförandet av budgeten för budgetåret 2022 (</w:t>
      </w:r>
      <w:r w:rsidR="00DF60D9" w:rsidRPr="00790B00">
        <w:t>06180</w:t>
      </w:r>
      <w:r w:rsidRPr="00790B00">
        <w:t>/2024 – C9</w:t>
      </w:r>
      <w:r w:rsidRPr="00790B00">
        <w:noBreakHyphen/>
      </w:r>
      <w:r w:rsidR="00DF60D9" w:rsidRPr="00790B00">
        <w:t>0089</w:t>
      </w:r>
      <w:r w:rsidRPr="00790B00">
        <w:t>/2024),</w:t>
      </w:r>
    </w:p>
    <w:p w:rsidR="007F3EB7" w:rsidRPr="00790B00" w:rsidRDefault="007F3EB7" w:rsidP="007F3EB7">
      <w:pPr>
        <w:pStyle w:val="NormalHanging12a"/>
        <w:widowControl/>
      </w:pPr>
      <w:r w:rsidRPr="00790B00">
        <w:t>–</w:t>
      </w:r>
      <w:r w:rsidRPr="00790B00">
        <w:tab/>
        <w:t>med beaktande av artikel 319 i fördraget om Europeiska unionens funktionssätt,</w:t>
      </w:r>
    </w:p>
    <w:p w:rsidR="007F3EB7" w:rsidRPr="00790B00" w:rsidRDefault="007F3EB7" w:rsidP="007F3EB7">
      <w:pPr>
        <w:pStyle w:val="NormalHanging12a"/>
        <w:widowControl/>
      </w:pPr>
      <w:r w:rsidRPr="00790B00">
        <w:t>–</w:t>
      </w:r>
      <w:r w:rsidRPr="00790B00">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790B00">
        <w:rPr>
          <w:rStyle w:val="FootnoteReference"/>
        </w:rPr>
        <w:footnoteReference w:id="3"/>
      </w:r>
      <w:r w:rsidRPr="00790B00">
        <w:t>, särskilt artikel 70,</w:t>
      </w:r>
    </w:p>
    <w:p w:rsidR="007F3EB7" w:rsidRPr="00790B00" w:rsidRDefault="007F3EB7" w:rsidP="007F3EB7">
      <w:pPr>
        <w:pStyle w:val="NormalHanging12a"/>
        <w:widowControl/>
      </w:pPr>
      <w:r w:rsidRPr="00790B00">
        <w:t>–</w:t>
      </w:r>
      <w:r w:rsidRPr="00790B00">
        <w:tab/>
        <w:t xml:space="preserve">med beaktande av Europaparlamentets och rådets förordning (EG) nr 178/2002 av den 28 januari 2002 om allmänna principer och krav för livsmedelslagstiftning, om </w:t>
      </w:r>
      <w:r w:rsidRPr="00790B00">
        <w:lastRenderedPageBreak/>
        <w:t>inrättande av Europeiska myndigheten för livsmedelssäkerhet och om förfaranden i frågor som gäller livsmedelssäkerhet</w:t>
      </w:r>
      <w:r w:rsidRPr="00790B00">
        <w:rPr>
          <w:rStyle w:val="FootnoteReference"/>
        </w:rPr>
        <w:footnoteReference w:id="4"/>
      </w:r>
      <w:r w:rsidRPr="00790B00">
        <w:t>, särskilt artikel 44,</w:t>
      </w:r>
    </w:p>
    <w:p w:rsidR="007F3EB7" w:rsidRPr="00790B00" w:rsidRDefault="007F3EB7" w:rsidP="007F3EB7">
      <w:pPr>
        <w:pStyle w:val="NormalHanging12a"/>
        <w:widowControl/>
      </w:pPr>
      <w:r w:rsidRPr="00790B00">
        <w:t>–</w:t>
      </w:r>
      <w:r w:rsidRPr="00790B00">
        <w:tab/>
        <w:t>med beaktande av kommissionens delegerade förordning (EU) 2019/715 av den 18 december 2018 med rambudgetförordning för de organ som inrättats enligt EUF</w:t>
      </w:r>
      <w:r w:rsidRPr="00790B00">
        <w:noBreakHyphen/>
        <w:t>fördraget och Euratomfördraget och som avses i artikel 70 i Europaparlamentets och rådets förordning (EU, Euratom) 2018/1046</w:t>
      </w:r>
      <w:r w:rsidRPr="00790B00">
        <w:rPr>
          <w:rStyle w:val="FootnoteReference"/>
        </w:rPr>
        <w:footnoteReference w:id="5"/>
      </w:r>
      <w:r w:rsidRPr="00790B00">
        <w:t>, särskilt artikel 105,</w:t>
      </w:r>
    </w:p>
    <w:p w:rsidR="007F3EB7" w:rsidRPr="00790B00" w:rsidRDefault="007F3EB7" w:rsidP="007F3EB7">
      <w:pPr>
        <w:pStyle w:val="NormalHanging12a"/>
        <w:widowControl/>
      </w:pPr>
      <w:r w:rsidRPr="00790B00">
        <w:t>–</w:t>
      </w:r>
      <w:r w:rsidRPr="00790B00">
        <w:tab/>
        <w:t>med beaktande av artikel 100 och bilaga V i arbetsordningen,</w:t>
      </w:r>
    </w:p>
    <w:p w:rsidR="007F3EB7" w:rsidRPr="00790B00" w:rsidRDefault="007F3EB7" w:rsidP="007F3EB7">
      <w:pPr>
        <w:pStyle w:val="NormalHanging12a"/>
        <w:widowControl/>
      </w:pPr>
      <w:r w:rsidRPr="00790B00">
        <w:t>–</w:t>
      </w:r>
      <w:r w:rsidRPr="00790B00">
        <w:tab/>
        <w:t>med beaktande av yttrandet från utskottet för miljö, folkhälsa och livsmedelssäkerhet,</w:t>
      </w:r>
    </w:p>
    <w:p w:rsidR="007F3EB7" w:rsidRPr="00790B00" w:rsidRDefault="007F3EB7" w:rsidP="007F3EB7">
      <w:pPr>
        <w:pStyle w:val="NormalHanging12a"/>
        <w:widowControl/>
      </w:pPr>
      <w:r w:rsidRPr="00790B00">
        <w:t>–</w:t>
      </w:r>
      <w:r w:rsidRPr="00790B00">
        <w:tab/>
        <w:t>med beaktande av betänkandet från budgetkontrollutskottet (A9-0129/2024).</w:t>
      </w:r>
    </w:p>
    <w:p w:rsidR="007F3EB7" w:rsidRPr="00790B00" w:rsidRDefault="007F3EB7" w:rsidP="007F3EB7">
      <w:pPr>
        <w:pStyle w:val="NormalHanging12a"/>
        <w:widowControl/>
      </w:pPr>
      <w:r w:rsidRPr="00790B00">
        <w:t>1.</w:t>
      </w:r>
      <w:r w:rsidRPr="00790B00">
        <w:tab/>
        <w:t>Europaparlamentet beviljar verkställande direktören för Europeiska myndigheten för livsmedelssäkerhet ansvarsfrihet för genomförandet av myndighetens budget för budgetåret 2022.</w:t>
      </w:r>
    </w:p>
    <w:p w:rsidR="007F3EB7" w:rsidRPr="00790B00" w:rsidRDefault="007F3EB7" w:rsidP="007F3EB7">
      <w:pPr>
        <w:pStyle w:val="NormalHanging12a"/>
        <w:widowControl/>
      </w:pPr>
      <w:r w:rsidRPr="00790B00">
        <w:t>2.</w:t>
      </w:r>
      <w:r w:rsidRPr="00790B00">
        <w:tab/>
        <w:t>Europaparlamentet redovisar sina iakttagelser i resolutionen nedan.</w:t>
      </w:r>
    </w:p>
    <w:p w:rsidR="007F3EB7" w:rsidRPr="00790B00" w:rsidRDefault="007F3EB7" w:rsidP="007F3EB7">
      <w:pPr>
        <w:pStyle w:val="NormalHanging12a"/>
        <w:widowControl/>
      </w:pPr>
      <w:r w:rsidRPr="00790B00">
        <w:t>3.</w:t>
      </w:r>
      <w:r w:rsidRPr="00790B00">
        <w:tab/>
        <w:t xml:space="preserve">Europaparlamentet uppdrar åt talmannen att översända detta beslut och den resolution som utgör en del av beslutet till verkställande direktören för Europeiska myndigheten för livsmedelssäkerhet, rådet, kommissionen och revisionsrätten samt att se till att de offentliggörs i </w:t>
      </w:r>
      <w:r w:rsidRPr="00790B00">
        <w:rPr>
          <w:i/>
          <w:iCs/>
        </w:rPr>
        <w:t>Europeiska unionens officiella tidning</w:t>
      </w:r>
      <w:r w:rsidRPr="00790B00">
        <w:t xml:space="preserve"> (L-serien).</w:t>
      </w:r>
    </w:p>
    <w:p w:rsidR="007F3EB7" w:rsidRPr="00790B00" w:rsidRDefault="007F3EB7" w:rsidP="007F3EB7">
      <w:pPr>
        <w:widowControl/>
      </w:pPr>
    </w:p>
    <w:p w:rsidR="007F3EB7" w:rsidRPr="00790B00" w:rsidRDefault="007F3EB7" w:rsidP="007F3EB7">
      <w:pPr>
        <w:widowControl/>
        <w:rPr>
          <w:rFonts w:ascii="Arial" w:hAnsi="Arial" w:cs="Arial"/>
          <w:b/>
        </w:rPr>
        <w:sectPr w:rsidR="007F3EB7" w:rsidRPr="00790B00" w:rsidSect="00C35D7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7F3EB7" w:rsidRPr="00790B00" w:rsidRDefault="004D5E13" w:rsidP="004D5E13">
      <w:pPr>
        <w:pStyle w:val="ATHeading3"/>
      </w:pPr>
      <w:bookmarkStart w:id="9" w:name="_Toc146807918"/>
      <w:bookmarkStart w:id="10" w:name="_Toc161916097"/>
      <w:r w:rsidRPr="00790B00">
        <w:lastRenderedPageBreak/>
        <w:t>2. Europaparlamentets beslut</w:t>
      </w:r>
      <w:bookmarkEnd w:id="9"/>
      <w:bookmarkEnd w:id="10"/>
      <w:r w:rsidRPr="00790B00">
        <w:t xml:space="preserve"> av den 11 april 2024 </w:t>
      </w:r>
      <w:r w:rsidR="007F3EB7" w:rsidRPr="00790B00">
        <w:t>om avslutande av räkenskaperna för Europeiska myndigheten för livsmedelssäkerhet för budgetåret 2022</w:t>
      </w:r>
      <w:r w:rsidRPr="00790B00">
        <w:t xml:space="preserve"> </w:t>
      </w:r>
      <w:r w:rsidR="007F3EB7" w:rsidRPr="00790B00">
        <w:t>(2023/2151(DEC))</w:t>
      </w:r>
    </w:p>
    <w:p w:rsidR="007F3EB7" w:rsidRPr="00790B00" w:rsidRDefault="007F3EB7" w:rsidP="007F3EB7">
      <w:pPr>
        <w:pStyle w:val="EPComma"/>
        <w:widowControl/>
      </w:pPr>
      <w:r w:rsidRPr="00790B00">
        <w:rPr>
          <w:i/>
          <w:iCs/>
        </w:rPr>
        <w:t>Europaparlamentet fattar detta beslut</w:t>
      </w:r>
    </w:p>
    <w:p w:rsidR="007F3EB7" w:rsidRPr="00790B00" w:rsidRDefault="007F3EB7" w:rsidP="007F3EB7">
      <w:pPr>
        <w:pStyle w:val="NormalHanging12a"/>
        <w:widowControl/>
      </w:pPr>
      <w:r w:rsidRPr="00790B00">
        <w:t>–</w:t>
      </w:r>
      <w:r w:rsidRPr="00790B00">
        <w:tab/>
        <w:t>med beaktande av den slutliga årsredovisningen för Europeiska myndigheten för livsmedelssäkerhet för budgetåret 2022,</w:t>
      </w:r>
    </w:p>
    <w:p w:rsidR="007F3EB7" w:rsidRPr="00790B00" w:rsidRDefault="007F3EB7" w:rsidP="007F3EB7">
      <w:pPr>
        <w:pStyle w:val="NormalHanging12a"/>
        <w:widowControl/>
      </w:pPr>
      <w:r w:rsidRPr="00790B00">
        <w:t>–</w:t>
      </w:r>
      <w:r w:rsidRPr="00790B00">
        <w:tab/>
        <w:t>med beaktande av revisionsrättens årsrapport om EU:s byråer för budgetåret 2022, med byråernas svar</w:t>
      </w:r>
      <w:r w:rsidRPr="00790B00">
        <w:rPr>
          <w:rStyle w:val="FootnoteReference"/>
        </w:rPr>
        <w:footnoteReference w:id="6"/>
      </w:r>
      <w:r w:rsidRPr="00790B00">
        <w:t>,</w:t>
      </w:r>
    </w:p>
    <w:p w:rsidR="007F3EB7" w:rsidRPr="00790B00" w:rsidRDefault="007F3EB7" w:rsidP="007F3EB7">
      <w:pPr>
        <w:pStyle w:val="NormalHanging12a"/>
        <w:widowControl/>
      </w:pPr>
      <w:r w:rsidRPr="00790B00">
        <w:t>–</w:t>
      </w:r>
      <w:r w:rsidRPr="00790B00">
        <w:tab/>
        <w:t>med beaktande av förklaringen om räkenskapernas tillförlitlighet och de underliggande transaktionernas laglighet och korrekthet</w:t>
      </w:r>
      <w:r w:rsidRPr="00790B00">
        <w:rPr>
          <w:rStyle w:val="FootnoteReference"/>
        </w:rPr>
        <w:footnoteReference w:id="7"/>
      </w:r>
      <w:r w:rsidRPr="00790B00">
        <w:t>, som avgetts av revisionsrätten för budgetåret 2022 i enlighet med artikel 287 i fördraget om Europeiska unionens funktionssätt,</w:t>
      </w:r>
    </w:p>
    <w:p w:rsidR="007F3EB7" w:rsidRPr="00790B00" w:rsidRDefault="007F3EB7" w:rsidP="007F3EB7">
      <w:pPr>
        <w:pStyle w:val="NormalHanging12a"/>
        <w:widowControl/>
      </w:pPr>
      <w:r w:rsidRPr="00790B00">
        <w:t>–</w:t>
      </w:r>
      <w:r w:rsidRPr="00790B00">
        <w:tab/>
        <w:t>med beaktande av rådets rekommendation av den 22 februari 2024 om att bevilja myndigheten ansvarsfrihet för genomförandet av budgeten för budgetåret 2022 (</w:t>
      </w:r>
      <w:r w:rsidR="00DF60D9" w:rsidRPr="00790B00">
        <w:t>06180</w:t>
      </w:r>
      <w:r w:rsidRPr="00790B00">
        <w:t>/2024 – C9</w:t>
      </w:r>
      <w:r w:rsidRPr="00790B00">
        <w:noBreakHyphen/>
      </w:r>
      <w:r w:rsidR="00DF60D9" w:rsidRPr="00790B00">
        <w:t>0089</w:t>
      </w:r>
      <w:r w:rsidRPr="00790B00">
        <w:t>/2024),</w:t>
      </w:r>
    </w:p>
    <w:p w:rsidR="007F3EB7" w:rsidRPr="00790B00" w:rsidRDefault="007F3EB7" w:rsidP="007F3EB7">
      <w:pPr>
        <w:pStyle w:val="NormalHanging12a"/>
        <w:widowControl/>
      </w:pPr>
      <w:r w:rsidRPr="00790B00">
        <w:t>–</w:t>
      </w:r>
      <w:r w:rsidRPr="00790B00">
        <w:tab/>
        <w:t>med beaktande av artikel 319 i fördraget om Europeiska unionens funktionssätt,</w:t>
      </w:r>
    </w:p>
    <w:p w:rsidR="007F3EB7" w:rsidRPr="00790B00" w:rsidRDefault="007F3EB7" w:rsidP="007F3EB7">
      <w:pPr>
        <w:pStyle w:val="NormalHanging12a"/>
        <w:widowControl/>
      </w:pPr>
      <w:r w:rsidRPr="00790B00">
        <w:t>–</w:t>
      </w:r>
      <w:r w:rsidRPr="00790B00">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790B00">
        <w:rPr>
          <w:rStyle w:val="FootnoteReference"/>
        </w:rPr>
        <w:footnoteReference w:id="8"/>
      </w:r>
      <w:r w:rsidRPr="00790B00">
        <w:t>, särskilt artikel 70,</w:t>
      </w:r>
    </w:p>
    <w:p w:rsidR="007F3EB7" w:rsidRPr="00790B00" w:rsidRDefault="007F3EB7" w:rsidP="007F3EB7">
      <w:pPr>
        <w:pStyle w:val="NormalHanging12a"/>
        <w:widowControl/>
      </w:pPr>
      <w:r w:rsidRPr="00790B00">
        <w:t>–</w:t>
      </w:r>
      <w:r w:rsidRPr="00790B00">
        <w:tab/>
        <w:t>med beaktande av Europaparlamentets och rådets förordning (EG) nr 178/2002 av den 28 januari 2002 om allmänna principer och krav för livsmedelslagstiftning, om inrättande av Europeiska myndigheten för livsmedelssäkerhet och om förfaranden i frågor som gäller livsmedelssäkerhet</w:t>
      </w:r>
      <w:r w:rsidRPr="00790B00">
        <w:rPr>
          <w:rStyle w:val="FootnoteReference"/>
        </w:rPr>
        <w:footnoteReference w:id="9"/>
      </w:r>
      <w:r w:rsidRPr="00790B00">
        <w:t>, särskilt artikel 44,</w:t>
      </w:r>
    </w:p>
    <w:p w:rsidR="007F3EB7" w:rsidRPr="00790B00" w:rsidRDefault="007F3EB7" w:rsidP="007F3EB7">
      <w:pPr>
        <w:pStyle w:val="NormalHanging12a"/>
        <w:widowControl/>
      </w:pPr>
      <w:r w:rsidRPr="00790B00">
        <w:t>–</w:t>
      </w:r>
      <w:r w:rsidRPr="00790B00">
        <w:tab/>
        <w:t>med beaktande av kommissionens delegerade förordning (EU) 2019/715 av den 18 december 2018 med rambudgetförordning för de organ som inrättats enligt EUF</w:t>
      </w:r>
      <w:r w:rsidRPr="00790B00">
        <w:noBreakHyphen/>
        <w:t>fördraget och Euratomfördraget och som avses i artikel 70 i Europaparlamentets och rådets förordning (EU, Euratom) 2018/1046</w:t>
      </w:r>
      <w:r w:rsidRPr="00790B00">
        <w:rPr>
          <w:rStyle w:val="FootnoteReference"/>
        </w:rPr>
        <w:footnoteReference w:id="10"/>
      </w:r>
      <w:r w:rsidRPr="00790B00">
        <w:t>, särskilt artikel 105,</w:t>
      </w:r>
    </w:p>
    <w:p w:rsidR="007F3EB7" w:rsidRPr="00790B00" w:rsidRDefault="007F3EB7" w:rsidP="007F3EB7">
      <w:pPr>
        <w:pStyle w:val="NormalHanging12a"/>
        <w:widowControl/>
      </w:pPr>
      <w:r w:rsidRPr="00790B00">
        <w:t>–</w:t>
      </w:r>
      <w:r w:rsidRPr="00790B00">
        <w:tab/>
        <w:t>med beaktande av artikel 100 och bilaga V i arbetsordningen,</w:t>
      </w:r>
    </w:p>
    <w:p w:rsidR="007F3EB7" w:rsidRPr="00790B00" w:rsidRDefault="007F3EB7" w:rsidP="007F3EB7">
      <w:pPr>
        <w:pStyle w:val="NormalHanging12a"/>
        <w:widowControl/>
      </w:pPr>
      <w:r w:rsidRPr="00790B00">
        <w:t>–</w:t>
      </w:r>
      <w:r w:rsidRPr="00790B00">
        <w:tab/>
        <w:t>med beaktande av yttrandet från utskottet för miljö, folkhälsa och livsmedelssäkerhet,</w:t>
      </w:r>
    </w:p>
    <w:p w:rsidR="007F3EB7" w:rsidRPr="00790B00" w:rsidRDefault="007F3EB7" w:rsidP="007F3EB7">
      <w:pPr>
        <w:pStyle w:val="NormalHanging12a"/>
        <w:widowControl/>
      </w:pPr>
      <w:r w:rsidRPr="00790B00">
        <w:t>–</w:t>
      </w:r>
      <w:r w:rsidRPr="00790B00">
        <w:tab/>
        <w:t>med beaktande av betänkandet från budgetkontrollutskottet (A9-0129/2024).</w:t>
      </w:r>
    </w:p>
    <w:p w:rsidR="007F3EB7" w:rsidRPr="00790B00" w:rsidRDefault="007F3EB7" w:rsidP="007F3EB7">
      <w:pPr>
        <w:pStyle w:val="NormalHanging12a"/>
        <w:widowControl/>
      </w:pPr>
      <w:r w:rsidRPr="00790B00">
        <w:lastRenderedPageBreak/>
        <w:t>1.</w:t>
      </w:r>
      <w:r w:rsidRPr="00790B00">
        <w:tab/>
        <w:t>Europaparlamentet godkänner avslutandet av räkenskaperna för Europeiska myndigheten för livsmedelssäkerhet för budgetåret 2022.</w:t>
      </w:r>
    </w:p>
    <w:p w:rsidR="007F3EB7" w:rsidRPr="00790B00" w:rsidRDefault="007F3EB7" w:rsidP="007F3EB7">
      <w:pPr>
        <w:pStyle w:val="NormalHanging12a"/>
        <w:widowControl/>
      </w:pPr>
      <w:r w:rsidRPr="00790B00">
        <w:t>2.</w:t>
      </w:r>
      <w:r w:rsidRPr="00790B00">
        <w:tab/>
        <w:t xml:space="preserve">Europaparlamentet uppdrar åt talmannen att översända detta beslut till verkställande direktören för Europeiska myndigheten för livsmedelssäkerhet, rådet, kommissionen och revisionsrätten samt att se till att det offentliggörs i </w:t>
      </w:r>
      <w:r w:rsidRPr="00790B00">
        <w:rPr>
          <w:i/>
          <w:iCs/>
        </w:rPr>
        <w:t>Europeiska unionens officiella tidning</w:t>
      </w:r>
      <w:r w:rsidRPr="00790B00">
        <w:t xml:space="preserve"> (L-serien).</w:t>
      </w:r>
    </w:p>
    <w:p w:rsidR="007F3EB7" w:rsidRPr="00790B00" w:rsidRDefault="007F3EB7" w:rsidP="007F3EB7">
      <w:pPr>
        <w:widowControl/>
      </w:pPr>
    </w:p>
    <w:p w:rsidR="007F3EB7" w:rsidRPr="00790B00" w:rsidRDefault="007F3EB7" w:rsidP="007F3EB7">
      <w:pPr>
        <w:widowControl/>
        <w:rPr>
          <w:rFonts w:ascii="Arial" w:hAnsi="Arial" w:cs="Arial"/>
          <w:b/>
        </w:rPr>
        <w:sectPr w:rsidR="007F3EB7" w:rsidRPr="00790B00" w:rsidSect="00C35D7B">
          <w:footnotePr>
            <w:numRestart w:val="eachPage"/>
          </w:footnotePr>
          <w:endnotePr>
            <w:numFmt w:val="decimal"/>
          </w:endnotePr>
          <w:pgSz w:w="11906" w:h="16838"/>
          <w:pgMar w:top="1134" w:right="1418" w:bottom="1418" w:left="1418" w:header="567" w:footer="567" w:gutter="0"/>
          <w:cols w:space="720"/>
          <w:docGrid w:linePitch="326"/>
        </w:sectPr>
      </w:pPr>
    </w:p>
    <w:p w:rsidR="007F3EB7" w:rsidRPr="00790B00" w:rsidRDefault="00BD4329" w:rsidP="00BD4329">
      <w:pPr>
        <w:pStyle w:val="ATHeading3"/>
      </w:pPr>
      <w:bookmarkStart w:id="11" w:name="_Toc146807919"/>
      <w:bookmarkStart w:id="12" w:name="_Toc161916098"/>
      <w:r w:rsidRPr="00790B00">
        <w:lastRenderedPageBreak/>
        <w:t>3. Europaparlamentets resolution</w:t>
      </w:r>
      <w:bookmarkEnd w:id="11"/>
      <w:bookmarkEnd w:id="12"/>
      <w:r w:rsidRPr="00790B00">
        <w:t xml:space="preserve"> av den 11 april 2024 </w:t>
      </w:r>
      <w:r w:rsidR="007F3EB7" w:rsidRPr="00790B00">
        <w:t>med de iakttagelser som utgör en del av beslutet om ansvarsfrihet för genomförandet av budgeten för Europeiska myndigheten för livsmedelssäkerhet för budgetåret 2022</w:t>
      </w:r>
      <w:r w:rsidRPr="00790B00">
        <w:t xml:space="preserve"> </w:t>
      </w:r>
      <w:r w:rsidR="007F3EB7" w:rsidRPr="00790B00">
        <w:t>(2023/2151(DEC))</w:t>
      </w:r>
    </w:p>
    <w:p w:rsidR="007F3EB7" w:rsidRPr="00790B00" w:rsidRDefault="007F3EB7" w:rsidP="007F3EB7">
      <w:pPr>
        <w:pStyle w:val="EPComma"/>
        <w:widowControl/>
      </w:pPr>
      <w:r w:rsidRPr="00790B00">
        <w:rPr>
          <w:i/>
          <w:iCs/>
        </w:rPr>
        <w:t>Europaparlamentet utfärdar denna resolution</w:t>
      </w:r>
    </w:p>
    <w:p w:rsidR="007F3EB7" w:rsidRPr="00790B00" w:rsidRDefault="007F3EB7" w:rsidP="007F3EB7">
      <w:pPr>
        <w:pStyle w:val="NormalHanging12a"/>
        <w:widowControl/>
      </w:pPr>
      <w:r w:rsidRPr="00790B00">
        <w:t>–</w:t>
      </w:r>
      <w:r w:rsidRPr="00790B00">
        <w:tab/>
        <w:t>med beaktande av sitt beslut om ansvarsfrihet för genomförandet av budgeten för Europeiska myndigheten för livsmedelssäkerhet för budgetåret 2022,</w:t>
      </w:r>
    </w:p>
    <w:p w:rsidR="007F3EB7" w:rsidRPr="00790B00" w:rsidRDefault="007F3EB7" w:rsidP="007F3EB7">
      <w:pPr>
        <w:pStyle w:val="NormalHanging12a"/>
        <w:widowControl/>
      </w:pPr>
      <w:r w:rsidRPr="00790B00">
        <w:t>–</w:t>
      </w:r>
      <w:r w:rsidRPr="00790B00">
        <w:tab/>
        <w:t>med beaktande av artikel 100 och bilaga V i arbetsordningen,</w:t>
      </w:r>
    </w:p>
    <w:p w:rsidR="007F3EB7" w:rsidRPr="00790B00" w:rsidRDefault="007F3EB7" w:rsidP="007F3EB7">
      <w:pPr>
        <w:pStyle w:val="NormalHanging12a"/>
        <w:widowControl/>
      </w:pPr>
      <w:r w:rsidRPr="00790B00">
        <w:t>–</w:t>
      </w:r>
      <w:r w:rsidRPr="00790B00">
        <w:tab/>
        <w:t>med beaktande av yttrandet från utskottet för miljö, folkhälsa och livsmedelssäkerhet,</w:t>
      </w:r>
    </w:p>
    <w:p w:rsidR="007F3EB7" w:rsidRPr="00790B00" w:rsidRDefault="007F3EB7" w:rsidP="007F3EB7">
      <w:pPr>
        <w:pStyle w:val="NormalHanging12a"/>
        <w:widowControl/>
      </w:pPr>
      <w:r w:rsidRPr="00790B00">
        <w:t>–</w:t>
      </w:r>
      <w:r w:rsidRPr="00790B00">
        <w:tab/>
        <w:t>med beaktande av betänkandet från budgetkontrollutskottet (A9-0129/2024), och av följande skäl:</w:t>
      </w:r>
    </w:p>
    <w:p w:rsidR="007F3EB7" w:rsidRPr="00790B00" w:rsidRDefault="007F3EB7" w:rsidP="007F3EB7">
      <w:pPr>
        <w:widowControl/>
        <w:autoSpaceDE w:val="0"/>
        <w:autoSpaceDN w:val="0"/>
        <w:adjustRightInd w:val="0"/>
        <w:spacing w:after="240"/>
        <w:ind w:left="567" w:hanging="567"/>
        <w:rPr>
          <w:rFonts w:eastAsia="Calibri"/>
          <w:szCs w:val="24"/>
        </w:rPr>
      </w:pPr>
      <w:r w:rsidRPr="00790B00">
        <w:t>A.</w:t>
      </w:r>
      <w:r w:rsidRPr="00790B00">
        <w:tab/>
        <w:t>Enligt sammanställningen av inkomster och utgifter</w:t>
      </w:r>
      <w:r w:rsidRPr="00790B00">
        <w:rPr>
          <w:rFonts w:eastAsia="Calibri"/>
          <w:szCs w:val="24"/>
          <w:vertAlign w:val="superscript"/>
        </w:rPr>
        <w:footnoteReference w:id="11"/>
      </w:r>
      <w:r w:rsidRPr="00790B00">
        <w:t xml:space="preserve"> för Europeiska myndigheten för livsmedelssäkerhet (</w:t>
      </w:r>
      <w:r w:rsidRPr="00790B00">
        <w:rPr>
          <w:i/>
          <w:iCs/>
        </w:rPr>
        <w:t>myndigheten</w:t>
      </w:r>
      <w:r w:rsidRPr="00790B00">
        <w:t>) uppgick myndighetens slutgiltiga budget för budgetåret 2022 till 149 841 816,93 EUR, vilket innebär en ökning med 15,99 % jämfört med 2021. Myndighetens budget kommer i huvudsak från unionsbudgeten.</w:t>
      </w:r>
    </w:p>
    <w:p w:rsidR="007F3EB7" w:rsidRPr="00790B00" w:rsidRDefault="007F3EB7" w:rsidP="007F3EB7">
      <w:pPr>
        <w:widowControl/>
        <w:spacing w:after="240"/>
        <w:ind w:left="567" w:hanging="567"/>
        <w:rPr>
          <w:szCs w:val="24"/>
        </w:rPr>
      </w:pPr>
      <w:r w:rsidRPr="00790B00">
        <w:t>B.</w:t>
      </w:r>
      <w:r w:rsidRPr="00790B00">
        <w:tab/>
        <w:t>Revisionsrätten fastställer i sin rapport om Europeiska myndigheten för livsmedelssäkerhets årsredovisning för budgetåret 2022 att man har uppnått rimlig säkerhet om att myndighetens räkenskaper är tillförlitliga och att de underliggande transaktionerna är lagliga och korrekta.</w:t>
      </w:r>
    </w:p>
    <w:p w:rsidR="007F3EB7" w:rsidRPr="00790B00" w:rsidRDefault="007F3EB7" w:rsidP="007F3EB7">
      <w:pPr>
        <w:widowControl/>
        <w:spacing w:after="240"/>
        <w:ind w:left="567" w:hanging="567"/>
        <w:rPr>
          <w:szCs w:val="24"/>
        </w:rPr>
      </w:pPr>
      <w:r w:rsidRPr="00790B00">
        <w:t>C.</w:t>
      </w:r>
      <w:r w:rsidRPr="00790B00">
        <w:tab/>
        <w:t>När det gäller myndighetens upphandlingssektor rapporterades inga problem som krävde korrigerande åtgärder för 2022, och det finns inte heller några pågående eller ej genomförda korrigerande åtgärder från tidigare års revisioner och bedömningar.</w:t>
      </w:r>
    </w:p>
    <w:p w:rsidR="007F3EB7" w:rsidRPr="00790B00" w:rsidRDefault="007F3EB7" w:rsidP="007F3EB7">
      <w:pPr>
        <w:widowControl/>
        <w:spacing w:after="240"/>
        <w:ind w:left="567" w:hanging="567"/>
        <w:rPr>
          <w:szCs w:val="24"/>
        </w:rPr>
      </w:pPr>
      <w:r w:rsidRPr="00790B00">
        <w:t>D.</w:t>
      </w:r>
      <w:r w:rsidRPr="00790B00">
        <w:tab/>
        <w:t>När det gäller myndighetens interna kontrollsystem rapporterades inga problem som krävde korrigerande åtgärder för 2022, och det finns inte heller några pågående eller ej genomförda korrigerande åtgärder från tidigare års revisioner och bedömningar.</w:t>
      </w:r>
    </w:p>
    <w:p w:rsidR="007F3EB7" w:rsidRPr="00790B00" w:rsidRDefault="007F3EB7" w:rsidP="007F3EB7">
      <w:pPr>
        <w:widowControl/>
        <w:spacing w:after="240"/>
        <w:ind w:left="567" w:hanging="567"/>
        <w:rPr>
          <w:b/>
          <w:i/>
          <w:szCs w:val="24"/>
        </w:rPr>
      </w:pPr>
      <w:r w:rsidRPr="00790B00">
        <w:rPr>
          <w:b/>
          <w:i/>
        </w:rPr>
        <w:t>Budgetförvaltning och ekonomisk förvaltning</w:t>
      </w:r>
    </w:p>
    <w:p w:rsidR="007F3EB7" w:rsidRPr="00790B00" w:rsidRDefault="007F3EB7" w:rsidP="007F3EB7">
      <w:pPr>
        <w:widowControl/>
        <w:spacing w:after="240"/>
        <w:ind w:left="567" w:hanging="567"/>
        <w:rPr>
          <w:szCs w:val="24"/>
        </w:rPr>
      </w:pPr>
      <w:r w:rsidRPr="00790B00">
        <w:t>1.</w:t>
      </w:r>
      <w:r w:rsidRPr="00790B00">
        <w:tab/>
        <w:t>Europaparlamentet noterar med uppskattning att insatserna för budgetövervakning under budgetåret 2022 resulterade i ett budgetgenomförande av åtagandebemyndigandena för året på 99,95 %, vilket innebär en liten minskning med 0,04 % jämfört med 2021. Parlamentet noterar vidare att genomförandegraden för betalningsbemyndigandena under innevarande år var 89,77 %, vilket är en ökning med 0,92 % jämfört med 2021.</w:t>
      </w:r>
    </w:p>
    <w:p w:rsidR="007F3EB7" w:rsidRPr="00790B00" w:rsidRDefault="007F3EB7" w:rsidP="007F3EB7">
      <w:pPr>
        <w:pStyle w:val="NormalHanging12a"/>
        <w:widowControl/>
      </w:pPr>
      <w:r w:rsidRPr="00790B00">
        <w:t>2.</w:t>
      </w:r>
      <w:r w:rsidRPr="00790B00">
        <w:tab/>
        <w:t xml:space="preserve">Europaparlamentet noterar att bristen på resurser och tjänster för de myndigheter som deltar i regleringen av växtskyddsmedel leder till förseningar i godkännandet av verksamma ämnen med låg risk och i uppdateringen av bedömningsmetoderna i enlighet med den vetenskapliga utvecklingen, vilket skulle minska växtskyddsmedlens miljöpåverkan på lång sikt. Parlamentet uppmanar kommissionen att vidta lämpliga åtgärder för att säkerställa att myndigheten har tillräckliga resurser och tjänster för att </w:t>
      </w:r>
      <w:r w:rsidRPr="00790B00">
        <w:lastRenderedPageBreak/>
        <w:t>hjälpa medlemsstaterna att hålla sina tidsfrister enligt förordning (EG) nr 1107/2009, fördubbla antalet bedömningar av verksamma ämnen för växtskyddsmedel per år och tredubbla utvecklingstakten för metoder för att hålla riskbedömningarna à jour med den senaste vetenskapliga utvecklingen och i linje med samhällets förväntningar.</w:t>
      </w:r>
    </w:p>
    <w:p w:rsidR="007F3EB7" w:rsidRPr="00790B00" w:rsidRDefault="007F3EB7" w:rsidP="007F3EB7">
      <w:pPr>
        <w:widowControl/>
        <w:spacing w:after="240"/>
        <w:ind w:left="567" w:hanging="567"/>
        <w:rPr>
          <w:b/>
          <w:i/>
          <w:szCs w:val="24"/>
        </w:rPr>
      </w:pPr>
      <w:r w:rsidRPr="00790B00">
        <w:rPr>
          <w:b/>
          <w:i/>
        </w:rPr>
        <w:t>Prestation</w:t>
      </w:r>
    </w:p>
    <w:p w:rsidR="007F3EB7" w:rsidRPr="00790B00" w:rsidRDefault="007F3EB7" w:rsidP="007F3EB7">
      <w:pPr>
        <w:pStyle w:val="NormalHanging12a"/>
        <w:widowControl/>
      </w:pPr>
      <w:r w:rsidRPr="00790B00">
        <w:t>3.</w:t>
      </w:r>
      <w:r w:rsidRPr="00790B00">
        <w:tab/>
        <w:t>Europaparlamentet välkomnar myndighetens bidrag till säkerheten i unionens livsmedels- och foderkedja och dess avsevärda ansträngningar för att bistå riskhanteringsansvariga med omfattande, oberoende och uppdaterad vetenskaplig rådgivning i frågor som rör livsmedelskedjan, för att klart och tydligt informera allmänheten om sina resultat och de uppgifter de baseras på och för att samarbeta med intressenter och institutionella partner i syfte att främja enhetlighet i och förtroende för livsmedelssäkerhetssystemet.</w:t>
      </w:r>
    </w:p>
    <w:p w:rsidR="007F3EB7" w:rsidRPr="00790B00" w:rsidRDefault="007F3EB7" w:rsidP="007F3EB7">
      <w:pPr>
        <w:pStyle w:val="NormalHanging12a"/>
        <w:widowControl/>
        <w:rPr>
          <w:szCs w:val="24"/>
        </w:rPr>
      </w:pPr>
      <w:r w:rsidRPr="00790B00">
        <w:t>4.</w:t>
      </w:r>
      <w:r w:rsidRPr="00790B00">
        <w:tab/>
        <w:t>Europaparlamentet noterar med tillfredsställelse att myndigheten har infört en integrerad prestationsram som kopplar resurser och verksamhet till output och förväntade resultat, kompletterad med en uppsättning nyckelprestationsindikatorer för att övervaka och förbättra prestationen. Parlamentet noterar vidare att prestationen i förhållande till de mål som anges i prestationsramen nådde en övergripande nivå på 96 %. Parlamentet konstaterar att området för strategiskt mål 2 (säkerställa beredskap för framtida behov av riskanalys) och strategiskt mål 3 (ge människor en starkare ställning och säkerställa organisatorisk flexibilitet) överlag uppvisade goda prestationer, medan området för strategiskt mål 1 (tillhandahålla tillförlitlig vetenskaplig rådgivning och riskkommunikation från jord till bord), som i hög grad påverkades av genomförandet av nya regler och förfaranden inom ramen för förordning (EU) 2019/1381</w:t>
      </w:r>
      <w:r w:rsidRPr="00790B00">
        <w:rPr>
          <w:rStyle w:val="FootnoteReference"/>
          <w:szCs w:val="24"/>
        </w:rPr>
        <w:footnoteReference w:id="12"/>
      </w:r>
      <w:r w:rsidRPr="00790B00">
        <w:t>, avvek från målet.</w:t>
      </w:r>
    </w:p>
    <w:p w:rsidR="007F3EB7" w:rsidRPr="00790B00" w:rsidRDefault="007F3EB7" w:rsidP="007F3EB7">
      <w:pPr>
        <w:pStyle w:val="NormalHanging12a"/>
        <w:widowControl/>
        <w:rPr>
          <w:szCs w:val="24"/>
        </w:rPr>
      </w:pPr>
      <w:r w:rsidRPr="00790B00">
        <w:t>5.</w:t>
      </w:r>
      <w:r w:rsidRPr="00790B00">
        <w:tab/>
        <w:t>Europaparlamentet betonar att myndigheten har slutfört 586 av de 701 planerade vetenskapliga frågorna avseende mål 1 ”tillhandahålla tillförlitlig vetenskaplig rådgivning och riskkommunikation från jord till bord”. Parlamentet noterar att trots att antalet avslutade vetenskapliga frågor var lägre än väntat, motsvarade det i stort sett antalet nya frågor som mottogs under året, och säkerställde därmed att antalet öppna frågor inte ökade.</w:t>
      </w:r>
    </w:p>
    <w:p w:rsidR="007F3EB7" w:rsidRPr="00790B00" w:rsidRDefault="007F3EB7" w:rsidP="007F3EB7">
      <w:pPr>
        <w:pStyle w:val="NormalHanging12a"/>
        <w:widowControl/>
        <w:rPr>
          <w:szCs w:val="24"/>
        </w:rPr>
      </w:pPr>
      <w:r w:rsidRPr="00790B00">
        <w:t>6.</w:t>
      </w:r>
      <w:r w:rsidRPr="00790B00">
        <w:tab/>
        <w:t>Europaparlamentet gläder sig över att myndigheten har registrerat mycket positiva resultat på området för förmedling av slutsatser och att den bibehållit de positiva prestationer som uppnåtts under de senaste två åren när det gäller respekten av tidsfristerna för offentliggörandet i myndighetens officiella tidning.</w:t>
      </w:r>
    </w:p>
    <w:p w:rsidR="007F3EB7" w:rsidRPr="00790B00" w:rsidRDefault="007F3EB7" w:rsidP="007F3EB7">
      <w:pPr>
        <w:pStyle w:val="NormalHanging12a"/>
        <w:widowControl/>
        <w:rPr>
          <w:szCs w:val="24"/>
        </w:rPr>
      </w:pPr>
      <w:r w:rsidRPr="00790B00">
        <w:t>7.</w:t>
      </w:r>
      <w:r w:rsidRPr="00790B00">
        <w:tab/>
        <w:t>Europaparlamentet noterar att 2022 var det första året av genomförandet av strategi 2027, som utformades som en vidareutveckling av strategi 2020, och att denna strategi är inriktad på genomförandet av förordning (EU) 2019/1381 (på kort sikt) och förbereder myndigheten inför hanteringen av ny unionspolitik (på längre sikt).</w:t>
      </w:r>
    </w:p>
    <w:p w:rsidR="007F3EB7" w:rsidRPr="00790B00" w:rsidRDefault="007F3EB7" w:rsidP="007F3EB7">
      <w:pPr>
        <w:pStyle w:val="NormalHanging12a"/>
        <w:widowControl/>
        <w:rPr>
          <w:szCs w:val="24"/>
        </w:rPr>
      </w:pPr>
      <w:r w:rsidRPr="00790B00">
        <w:lastRenderedPageBreak/>
        <w:t>8.</w:t>
      </w:r>
      <w:r w:rsidRPr="00790B00">
        <w:tab/>
        <w:t>Europaparlamentet uppskattar att myndigheten anordnade konferensen ”ONE Conference – Health, Environment, Society” i juni 2022, där man lyfter fram kopplingen mellan människors, djurs och miljöns hälsa och går mot ett koncept om ”en hälsa, en miljö”.</w:t>
      </w:r>
    </w:p>
    <w:p w:rsidR="007F3EB7" w:rsidRPr="00790B00" w:rsidRDefault="007F3EB7" w:rsidP="007F3EB7">
      <w:pPr>
        <w:pStyle w:val="NormalHanging12a"/>
        <w:widowControl/>
        <w:rPr>
          <w:szCs w:val="24"/>
        </w:rPr>
      </w:pPr>
      <w:r w:rsidRPr="00790B00">
        <w:t>9.</w:t>
      </w:r>
      <w:r w:rsidRPr="00790B00">
        <w:tab/>
        <w:t>Europaparlamentet noterar att myndigheten har inlett en kampanj om afrikansk svinpest i partnerskap med 18 medlemsstater. Parlamentet noterar vidare att myndigheten har bidragit till utformningen och genomförandet av EU:s kemikaliestrategi.</w:t>
      </w:r>
    </w:p>
    <w:p w:rsidR="007F3EB7" w:rsidRPr="00790B00" w:rsidRDefault="007F3EB7" w:rsidP="007F3EB7">
      <w:pPr>
        <w:pStyle w:val="NormalHanging12a"/>
        <w:widowControl/>
      </w:pPr>
      <w:r w:rsidRPr="00790B00">
        <w:t>10.</w:t>
      </w:r>
      <w:r w:rsidRPr="00790B00">
        <w:tab/>
        <w:t>Europaparlamentet noterar att enligt den årliga strategiundersökning som myndigheten lanserat, där man ber om återkoppling från sina kunder, partner och intressenter som direkt eller indirekt deltar i utarbetandet av myndighetens vetenskapliga yttranden, är myndighetens förmåga att tillhandahålla sina råd i god tid fortfarande en uppmärksammad fråga.</w:t>
      </w:r>
    </w:p>
    <w:p w:rsidR="007F3EB7" w:rsidRPr="00790B00" w:rsidRDefault="007F3EB7" w:rsidP="007F3EB7">
      <w:pPr>
        <w:pStyle w:val="NormalHanging12a"/>
        <w:widowControl/>
        <w:rPr>
          <w:b/>
          <w:i/>
          <w:szCs w:val="24"/>
        </w:rPr>
      </w:pPr>
      <w:r w:rsidRPr="00790B00">
        <w:rPr>
          <w:b/>
          <w:i/>
        </w:rPr>
        <w:t>Effektivitet och förbättringar</w:t>
      </w:r>
    </w:p>
    <w:p w:rsidR="007F3EB7" w:rsidRPr="00790B00" w:rsidRDefault="007F3EB7" w:rsidP="007F3EB7">
      <w:pPr>
        <w:pStyle w:val="NormalHanging12a"/>
        <w:widowControl/>
        <w:rPr>
          <w:szCs w:val="24"/>
        </w:rPr>
      </w:pPr>
      <w:r w:rsidRPr="00790B00">
        <w:t>11.</w:t>
      </w:r>
      <w:r w:rsidRPr="00790B00">
        <w:tab/>
        <w:t>Europaparlamentet noterar att myndigheten har samarbetat med Europeiska kemikaliemyndigheten, inom ramen för unionens nya kemikaliestrategi, och med Europeiska centrumet för förebyggande och kontroll av sjukdomar för att utveckla system för insamling och analys av genomsekvensering. Parlamentet noterar dessutom att myndigheten har delat personal och forskningsresurser med sina systerbyråer och det gemensamma forskningscentrumet. Parlamentet betonar vidare de övergripande fördelarna med att samarbeta och anpassa bästa praxis.</w:t>
      </w:r>
    </w:p>
    <w:p w:rsidR="007F3EB7" w:rsidRPr="00790B00" w:rsidRDefault="007F3EB7" w:rsidP="007F3EB7">
      <w:pPr>
        <w:pStyle w:val="NormalHanging12a"/>
        <w:widowControl/>
        <w:rPr>
          <w:szCs w:val="24"/>
        </w:rPr>
      </w:pPr>
      <w:r w:rsidRPr="00790B00">
        <w:t>12.</w:t>
      </w:r>
      <w:r w:rsidRPr="00790B00">
        <w:tab/>
        <w:t>Europaparlamentet noterar att myndigheten under 2022 ökade sina insatser för att konsolidera genomförandet av nya processer och it-verktyg genom att försöka uppnå en hög effektivitetsnivå och maximera synergierna med andra byråer. Parlamentet noterar vidare att vissa av myndighetens resultat när det gäller effektivitet och förbättringar av it-verktyg under 2020–2022 inte fastställdes som mål före utgången av 2023.</w:t>
      </w:r>
    </w:p>
    <w:p w:rsidR="007F3EB7" w:rsidRPr="00790B00" w:rsidRDefault="007F3EB7" w:rsidP="007F3EB7">
      <w:pPr>
        <w:pStyle w:val="NormalHanging12a"/>
        <w:widowControl/>
      </w:pPr>
      <w:r w:rsidRPr="00790B00">
        <w:t>13.</w:t>
      </w:r>
      <w:r w:rsidRPr="00790B00">
        <w:tab/>
        <w:t>Europaparlamentet välkomnar myndighetens avsikt att stärka den gemensamma datahanteringen med medlemsstaterna och andra byråer för att förbättra datakvaliteten och interoperabiliteten (i linje med One health-modellen).</w:t>
      </w:r>
    </w:p>
    <w:p w:rsidR="007F3EB7" w:rsidRPr="00790B00" w:rsidRDefault="007F3EB7" w:rsidP="007F3EB7">
      <w:pPr>
        <w:widowControl/>
        <w:spacing w:after="240"/>
        <w:ind w:left="567" w:hanging="567"/>
        <w:rPr>
          <w:b/>
          <w:i/>
          <w:szCs w:val="24"/>
        </w:rPr>
      </w:pPr>
      <w:r w:rsidRPr="00790B00">
        <w:rPr>
          <w:b/>
          <w:i/>
        </w:rPr>
        <w:t>Personalpolitik</w:t>
      </w:r>
    </w:p>
    <w:p w:rsidR="007F3EB7" w:rsidRPr="00790B00" w:rsidRDefault="007F3EB7" w:rsidP="007F3EB7">
      <w:pPr>
        <w:widowControl/>
        <w:spacing w:after="240"/>
        <w:ind w:left="567" w:hanging="567"/>
        <w:rPr>
          <w:rFonts w:eastAsia="Calibri"/>
          <w:szCs w:val="24"/>
        </w:rPr>
      </w:pPr>
      <w:r w:rsidRPr="00790B00">
        <w:t>14.</w:t>
      </w:r>
      <w:r w:rsidRPr="00790B00">
        <w:tab/>
        <w:t>Europaparlamentet noterar att 95,55 % av tjänsterna i tjänsteförteckningen var tillsatta den 31 december 2022, och att 5 tjänster för tjänstemän och 382 tjänster för tillfälligt anställda hade tillsatts av de 405 tjänster som fick tillsättas enligt unionsbudgeten (jämfört med 380 tillåtna tjänster 2021). Parlamentet noterar dessutom att 170 kontraktsanställda och 14 utstationerade nationella experter arbetade för myndigheten 2022. Parlamentet noterar vidare att myndigheten för att genomföra förordning (EU) 2019/1381 beviljades 31 nya tjänster under 2022 och 15 extra kontraktsanställda för perioden 2022–2024.</w:t>
      </w:r>
    </w:p>
    <w:p w:rsidR="007F3EB7" w:rsidRPr="00790B00" w:rsidRDefault="007F3EB7" w:rsidP="007F3EB7">
      <w:pPr>
        <w:widowControl/>
        <w:spacing w:after="240"/>
        <w:ind w:left="567" w:hanging="567"/>
        <w:rPr>
          <w:szCs w:val="24"/>
        </w:rPr>
      </w:pPr>
      <w:r w:rsidRPr="00790B00">
        <w:t>15.</w:t>
      </w:r>
      <w:r w:rsidRPr="00790B00">
        <w:tab/>
        <w:t xml:space="preserve">Europaparlamentet noterar att en jämn könsfördelning uppnåddes 2022 bland myndighetens totala personal, där 335 av 557 anställda (60,1 %) var kvinnor, och i myndighetens styrelse, där 37 av 70 anställda (52,9 %) var kvinnor. Parlamentet konstaterar att andelen män (63 %) i högre och ledande befattningar är högre än andelen </w:t>
      </w:r>
      <w:r w:rsidRPr="00790B00">
        <w:lastRenderedPageBreak/>
        <w:t>kvinnor (37 %). Parlamentet uppmanar myndigheten att intensifiera insatserna för att överbrygga klyftan mellan könen i högre och ledande befattningar.</w:t>
      </w:r>
    </w:p>
    <w:p w:rsidR="007F3EB7" w:rsidRPr="00790B00" w:rsidRDefault="007F3EB7" w:rsidP="007F3EB7">
      <w:pPr>
        <w:widowControl/>
        <w:spacing w:after="240"/>
        <w:ind w:left="567" w:hanging="567"/>
        <w:rPr>
          <w:rFonts w:eastAsia="Calibri"/>
          <w:szCs w:val="24"/>
        </w:rPr>
      </w:pPr>
      <w:r w:rsidRPr="00790B00">
        <w:t>16.</w:t>
      </w:r>
      <w:r w:rsidRPr="00790B00">
        <w:tab/>
        <w:t>Europaparlamentet noterar att tre fall av utbrändhet rapporterades av läkartjänsten under 2022.</w:t>
      </w:r>
      <w:r w:rsidRPr="00790B00">
        <w:rPr>
          <w:rFonts w:ascii="Segoe UI" w:hAnsi="Segoe UI"/>
          <w:color w:val="374151"/>
        </w:rPr>
        <w:t xml:space="preserve"> </w:t>
      </w:r>
      <w:r w:rsidRPr="00790B00">
        <w:t>Parlamentet betonar den avgörande betydelsen av att upprätthålla balans mellan arbete och privatliv. Parlamentet uppmanar myndigheten att fortsätta att främja en hälsosam balans mellan arbete och privatliv bland personalen.</w:t>
      </w:r>
    </w:p>
    <w:p w:rsidR="007F3EB7" w:rsidRPr="00790B00" w:rsidRDefault="007F3EB7" w:rsidP="007F3EB7">
      <w:pPr>
        <w:widowControl/>
        <w:spacing w:after="240"/>
        <w:ind w:left="567" w:hanging="567"/>
        <w:rPr>
          <w:rFonts w:eastAsia="Calibri"/>
          <w:szCs w:val="24"/>
        </w:rPr>
      </w:pPr>
      <w:r w:rsidRPr="00790B00">
        <w:t>17.</w:t>
      </w:r>
      <w:r w:rsidRPr="00790B00">
        <w:tab/>
        <w:t>Europaparlamentet noterar att myndigheten håller fast vid de värden som främjas av EU-byråernas nätverk och vid stadgan om mångfald och inkludering och arbetar för att anta den så snart som möjligt. Parlamentet noterar vidare myndighetens deltagande i EU-byråernas nätverksgrupp för mångfald och inkludering, som verkar för utbyte av synergier, information och resurser avseende mångfald och inkludering. Parlamentet noterar dessutom att vissa interna initiativ genomfördes, såsom en ny karriärwebbplats och en video om arbetet vid myndigheten, med mångfald och inkludering som ett särskilt tema.</w:t>
      </w:r>
    </w:p>
    <w:p w:rsidR="007F3EB7" w:rsidRPr="00790B00" w:rsidRDefault="007F3EB7" w:rsidP="007F3EB7">
      <w:pPr>
        <w:widowControl/>
        <w:spacing w:after="240"/>
        <w:ind w:left="567" w:hanging="567"/>
        <w:rPr>
          <w:rFonts w:eastAsia="Calibri"/>
          <w:szCs w:val="24"/>
        </w:rPr>
      </w:pPr>
      <w:r w:rsidRPr="00790B00">
        <w:t>18.</w:t>
      </w:r>
      <w:r w:rsidRPr="00790B00">
        <w:tab/>
        <w:t>Europaparlamentet noterar att myndigheten har antagit riktlinjerna för genomförandet av stöd till personer med funktionshinder (Guidelines for the Implementation of Aid for Persons with Disabilities) som främjar socialpolitiken och lika behandling på arbetsplatsen. Parlamentet noterar dessutom att myndighetens byggnad har utformats i enlighet med de italienska förordningarna om tillgänglighet för personer med funktionshinder.</w:t>
      </w:r>
    </w:p>
    <w:p w:rsidR="007F3EB7" w:rsidRPr="00790B00" w:rsidRDefault="007F3EB7" w:rsidP="007F3EB7">
      <w:pPr>
        <w:widowControl/>
        <w:spacing w:after="240"/>
        <w:ind w:left="567" w:hanging="567"/>
        <w:rPr>
          <w:rFonts w:eastAsia="Calibri"/>
          <w:szCs w:val="24"/>
        </w:rPr>
      </w:pPr>
      <w:r w:rsidRPr="00790B00">
        <w:t>19.</w:t>
      </w:r>
      <w:r w:rsidRPr="00790B00">
        <w:tab/>
        <w:t>Europaparlamentet noterar att en ny organisationsstruktur, som utformats för att stödja genomförandet av förordning (EU) 2019/1381 och ambitionerna i myndighetens strategi 2027, infördes från den 1 januari 2022.</w:t>
      </w:r>
    </w:p>
    <w:p w:rsidR="007F3EB7" w:rsidRPr="00790B00" w:rsidRDefault="007F3EB7" w:rsidP="007F3EB7">
      <w:pPr>
        <w:widowControl/>
        <w:spacing w:after="240"/>
        <w:ind w:left="567" w:hanging="567"/>
        <w:rPr>
          <w:b/>
          <w:i/>
          <w:szCs w:val="24"/>
        </w:rPr>
      </w:pPr>
      <w:r w:rsidRPr="00790B00">
        <w:rPr>
          <w:b/>
          <w:i/>
        </w:rPr>
        <w:t>Förebyggande och hantering av intressekonflikter samt transparens</w:t>
      </w:r>
    </w:p>
    <w:p w:rsidR="007F3EB7" w:rsidRPr="00790B00" w:rsidRDefault="007F3EB7" w:rsidP="007F3EB7">
      <w:pPr>
        <w:widowControl/>
        <w:spacing w:after="240"/>
        <w:ind w:left="567" w:hanging="567"/>
        <w:rPr>
          <w:rFonts w:eastAsia="Calibri"/>
          <w:szCs w:val="24"/>
        </w:rPr>
      </w:pPr>
      <w:r w:rsidRPr="00790B00">
        <w:t>20.</w:t>
      </w:r>
      <w:r w:rsidRPr="00790B00">
        <w:tab/>
        <w:t>Europaparlamentet noterar att myndighetens styrelse och operativa ledning har undertecknat en förklaring om intressekonflikter och att den har offentliggjorts och finns tillgänglig på webbplatsen. Parlamentet noterar vidare att meritförteckningarna för styrelseledamöterna och suppleanterna kommer att offentliggöras i slutet av 2023.</w:t>
      </w:r>
    </w:p>
    <w:p w:rsidR="007F3EB7" w:rsidRPr="00790B00" w:rsidRDefault="007F3EB7" w:rsidP="007F3EB7">
      <w:pPr>
        <w:widowControl/>
        <w:spacing w:after="240"/>
        <w:ind w:left="567" w:hanging="567"/>
        <w:rPr>
          <w:rFonts w:eastAsia="Calibri"/>
          <w:szCs w:val="24"/>
        </w:rPr>
      </w:pPr>
      <w:r w:rsidRPr="00790B00">
        <w:t>21.</w:t>
      </w:r>
      <w:r w:rsidRPr="00790B00">
        <w:tab/>
        <w:t>Europaparlamentet konstaterar att myndigheten under 2022 upptäckte och behandlade sju intressekonflikter avseende årliga intresseförklaringar från externa experter. Parlamentet noterar att myndigheten hindrade dem från att delta i den vetenskapliga verksamheten.</w:t>
      </w:r>
    </w:p>
    <w:p w:rsidR="007F3EB7" w:rsidRPr="00790B00" w:rsidRDefault="007F3EB7" w:rsidP="007F3EB7">
      <w:pPr>
        <w:widowControl/>
        <w:spacing w:after="240"/>
        <w:ind w:left="567" w:hanging="567"/>
        <w:rPr>
          <w:rFonts w:eastAsia="Calibri"/>
          <w:szCs w:val="24"/>
        </w:rPr>
      </w:pPr>
      <w:r w:rsidRPr="00790B00">
        <w:t>22.</w:t>
      </w:r>
      <w:r w:rsidRPr="00790B00">
        <w:tab/>
        <w:t>Europaparlamentet konstaterar att myndigheten har en frivillig uppförandekod enligt vilken styrelseledamöterna förbinder sig att informera myndigheten om sin yrkesverksamhet efter utgången av deras mandat under en tvåårsperiod.</w:t>
      </w:r>
    </w:p>
    <w:p w:rsidR="007F3EB7" w:rsidRPr="00790B00" w:rsidRDefault="007F3EB7" w:rsidP="007F3EB7">
      <w:pPr>
        <w:widowControl/>
        <w:spacing w:after="240"/>
        <w:ind w:left="567" w:hanging="567"/>
        <w:rPr>
          <w:rFonts w:eastAsia="Calibri"/>
          <w:szCs w:val="24"/>
        </w:rPr>
      </w:pPr>
      <w:r w:rsidRPr="00790B00">
        <w:t>23.</w:t>
      </w:r>
      <w:r w:rsidRPr="00790B00">
        <w:tab/>
        <w:t>Europaparlamentet noterar att myndigheten planerar att senast första kvartalet 2024 anta ett nytt standardförfarande för verksamhet efter avslutad anställning, vilket skulle inbegripa kriterier och förfaranden för att avbryta tillgången till konfidentiell information för personal som lämnar tjänsten, övervaknings- och genomförandekrav samt transparensstandarder.</w:t>
      </w:r>
    </w:p>
    <w:p w:rsidR="007F3EB7" w:rsidRPr="00790B00" w:rsidRDefault="007F3EB7" w:rsidP="007F3EB7">
      <w:pPr>
        <w:widowControl/>
        <w:spacing w:after="240"/>
        <w:ind w:left="567" w:hanging="567"/>
        <w:rPr>
          <w:rFonts w:eastAsia="Calibri"/>
          <w:szCs w:val="24"/>
        </w:rPr>
      </w:pPr>
      <w:r w:rsidRPr="00790B00">
        <w:t>24.</w:t>
      </w:r>
      <w:r w:rsidRPr="00790B00">
        <w:tab/>
        <w:t xml:space="preserve">Europaparlamentet noterar att myndigheten har infört en strategi för bedrägeribekämpning, som utarbetats i nära samarbete med Europeiska byrån för </w:t>
      </w:r>
      <w:r w:rsidRPr="00790B00">
        <w:lastRenderedPageBreak/>
        <w:t>bedrägeribekämpning, tillsammans med tillhörande genomförandebestämmelser och en handlingsplan för att förebygga bedrägerier och korruption.</w:t>
      </w:r>
    </w:p>
    <w:p w:rsidR="007F3EB7" w:rsidRPr="00790B00" w:rsidRDefault="007F3EB7" w:rsidP="007F3EB7">
      <w:pPr>
        <w:widowControl/>
        <w:spacing w:after="240"/>
        <w:ind w:left="567" w:hanging="567"/>
        <w:rPr>
          <w:b/>
          <w:i/>
          <w:szCs w:val="24"/>
        </w:rPr>
      </w:pPr>
      <w:r w:rsidRPr="00790B00">
        <w:rPr>
          <w:b/>
          <w:i/>
        </w:rPr>
        <w:t>Övriga kommentarer</w:t>
      </w:r>
    </w:p>
    <w:p w:rsidR="007F3EB7" w:rsidRPr="00790B00" w:rsidRDefault="007F3EB7" w:rsidP="007F3EB7">
      <w:pPr>
        <w:widowControl/>
        <w:spacing w:after="240"/>
        <w:ind w:left="567" w:hanging="567"/>
        <w:rPr>
          <w:szCs w:val="24"/>
        </w:rPr>
      </w:pPr>
      <w:r w:rsidRPr="00790B00">
        <w:t>25.</w:t>
      </w:r>
      <w:r w:rsidRPr="00790B00">
        <w:tab/>
        <w:t>Europaparlamentet konstaterar att tjänsten för internrevision (IAS) i juni 2022 offentliggjorde revisionsrapporten om informationssäkerhet och katastrofhantering i syfte att bedöma lämpligheten när det gäller utformningen och genomförandet av styrningsformerna, och utfärdade två iakttagelser och tre viktiga iakttagelser om styrningen av it-säkerheten. Parlamentet noterar att myndigheten accepterade IAS rekommendationer och håller på att genomföra en handlingsplan.</w:t>
      </w:r>
    </w:p>
    <w:p w:rsidR="007F3EB7" w:rsidRPr="00790B00" w:rsidRDefault="007F3EB7" w:rsidP="007F3EB7">
      <w:pPr>
        <w:pStyle w:val="NormalHanging12a"/>
        <w:widowControl/>
      </w:pPr>
      <w:r w:rsidRPr="00790B00">
        <w:t>26.</w:t>
      </w:r>
      <w:r w:rsidRPr="00790B00">
        <w:tab/>
        <w:t>Europaparlamentet välkomnar myndighetens insatser för att öka sin offentliga synlighet och närvaro online genom lanseringen av kampanjen ”#EUChooseSafeFood” för andra året, i partnerskap med medlemsstaternas behöriga myndigheter, i syfte att förklara vetenskapen bakom livsmedelssäkerheten i unionen på ett tillgängligt sätt, och anordnandet av konferensen ”ONE – Health, Environment, Society” i partnerskap med de andra fyra ENVI-byråerna, vilket ledde till lanseringen av en gemensam Instagram-kanal med namnet ”One Health One Environment”. Parlamentet noterar vidare att myndigheten ansträngde sig för att göra sin webbplats flerspråkig, med artificiell intelligens via kommissionens eTranslation-widget. Parlamentet noterar dessutom att myndigheten under 2022 fortsatte att investera i utvecklingen av sin OpenEFSA-portal, i enlighet med kraven i förordning (EU) 2019/1381.</w:t>
      </w:r>
    </w:p>
    <w:p w:rsidR="007F3EB7" w:rsidRPr="00790B00" w:rsidRDefault="007F3EB7" w:rsidP="007F3EB7">
      <w:pPr>
        <w:widowControl/>
        <w:spacing w:after="240"/>
        <w:ind w:left="567" w:hanging="567"/>
        <w:rPr>
          <w:rFonts w:eastAsia="Calibri"/>
          <w:szCs w:val="24"/>
        </w:rPr>
      </w:pPr>
      <w:r w:rsidRPr="00790B00">
        <w:t>27.</w:t>
      </w:r>
      <w:r w:rsidRPr="00790B00">
        <w:tab/>
        <w:t>Europaparlamentet välkomnar att myndigheten under de senaste åren har varit en av de Emas-certifierade byråerna. Parlamentet noterar att myndigheten, beroende på typen av inköp, tillämpar standarder för miljöanpassad offentlig upphandling som minimikravspecifikationer i urvals- och/eller tilldelningskriterier.</w:t>
      </w:r>
    </w:p>
    <w:p w:rsidR="007F3EB7" w:rsidRPr="00790B00" w:rsidRDefault="007F3EB7" w:rsidP="007F3EB7">
      <w:pPr>
        <w:widowControl/>
        <w:spacing w:after="240"/>
        <w:jc w:val="center"/>
      </w:pPr>
      <w:r w:rsidRPr="00790B00">
        <w:t>°</w:t>
      </w:r>
    </w:p>
    <w:p w:rsidR="007F3EB7" w:rsidRPr="00790B00" w:rsidRDefault="007F3EB7" w:rsidP="007F3EB7">
      <w:pPr>
        <w:pStyle w:val="NormalCenter12a"/>
        <w:widowControl/>
      </w:pPr>
      <w:r w:rsidRPr="00790B00">
        <w:t>°</w:t>
      </w:r>
      <w:r w:rsidRPr="00790B00">
        <w:tab/>
        <w:t>°</w:t>
      </w:r>
    </w:p>
    <w:p w:rsidR="007F3EB7" w:rsidRPr="00C35D7B" w:rsidRDefault="007F3EB7" w:rsidP="007F3EB7">
      <w:pPr>
        <w:widowControl/>
        <w:spacing w:after="240"/>
        <w:ind w:left="567" w:hanging="567"/>
        <w:rPr>
          <w:szCs w:val="24"/>
        </w:rPr>
      </w:pPr>
      <w:r w:rsidRPr="00790B00">
        <w:t>28.</w:t>
      </w:r>
      <w:r w:rsidRPr="00790B00">
        <w:tab/>
        <w:t xml:space="preserve">När det gäller andra övergripande iakttagelser som utgör en del av beslutet om ansvarsfrihet hänvisar Europaparlamentet till sin resolution av den </w:t>
      </w:r>
      <w:r w:rsidR="00DF60D9" w:rsidRPr="00790B00">
        <w:t>11 april 2024</w:t>
      </w:r>
      <w:r w:rsidRPr="00790B00">
        <w:rPr>
          <w:rStyle w:val="FootnoteReference"/>
        </w:rPr>
        <w:footnoteReference w:id="13"/>
      </w:r>
      <w:r w:rsidRPr="00790B00">
        <w:t xml:space="preserve"> om byråernas verksamhetsresultat, ekonomiska förvaltning och kontroll.</w:t>
      </w:r>
    </w:p>
    <w:sectPr w:rsidR="007F3EB7" w:rsidRPr="00C35D7B" w:rsidSect="00C35D7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598E" w:rsidRPr="00C35D7B" w:rsidRDefault="00EB598E">
      <w:r w:rsidRPr="00C35D7B">
        <w:separator/>
      </w:r>
    </w:p>
  </w:endnote>
  <w:endnote w:type="continuationSeparator" w:id="0">
    <w:p w:rsidR="00EB598E" w:rsidRPr="00C35D7B" w:rsidRDefault="00EB598E">
      <w:r w:rsidRPr="00C35D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EB7" w:rsidRPr="00C35D7B" w:rsidRDefault="007F3EB7" w:rsidP="00F6401E">
    <w:pPr>
      <w:pStyle w:val="EPFooter"/>
    </w:pPr>
    <w:r w:rsidRPr="00C35D7B">
      <w:t>PE</w:t>
    </w:r>
    <w:r w:rsidRPr="00C35D7B">
      <w:rPr>
        <w:rStyle w:val="HideTWBExt"/>
      </w:rPr>
      <w:t>&lt;NoPE&gt;</w:t>
    </w:r>
    <w:r w:rsidRPr="00C35D7B">
      <w:t>753.519</w:t>
    </w:r>
    <w:r w:rsidRPr="00C35D7B">
      <w:rPr>
        <w:rStyle w:val="HideTWBExt"/>
      </w:rPr>
      <w:t>&lt;/NoPE&gt;&lt;Version&gt;</w:t>
    </w:r>
    <w:r w:rsidRPr="00C35D7B">
      <w:t>v03-00</w:t>
    </w:r>
    <w:r w:rsidRPr="00C35D7B">
      <w:rPr>
        <w:rStyle w:val="HideTWBExt"/>
      </w:rPr>
      <w:t>&lt;/Version&gt;</w:t>
    </w:r>
    <w:r w:rsidRPr="00C35D7B">
      <w:tab/>
    </w:r>
    <w:r w:rsidRPr="00C35D7B">
      <w:fldChar w:fldCharType="begin"/>
    </w:r>
    <w:r w:rsidRPr="00C35D7B">
      <w:instrText xml:space="preserve"> PAGE  \* MERGEFORMAT </w:instrText>
    </w:r>
    <w:r w:rsidRPr="00C35D7B">
      <w:fldChar w:fldCharType="separate"/>
    </w:r>
    <w:r w:rsidRPr="00C35D7B">
      <w:rPr>
        <w:noProof/>
      </w:rPr>
      <w:t>8</w:t>
    </w:r>
    <w:r w:rsidRPr="00C35D7B">
      <w:fldChar w:fldCharType="end"/>
    </w:r>
    <w:r w:rsidRPr="00C35D7B">
      <w:t>/</w:t>
    </w:r>
    <w:fldSimple w:instr=" NUMPAGES  \* MERGEFORMAT ">
      <w:r w:rsidRPr="00C35D7B">
        <w:rPr>
          <w:noProof/>
        </w:rPr>
        <w:t>8</w:t>
      </w:r>
    </w:fldSimple>
    <w:r w:rsidRPr="00C35D7B">
      <w:tab/>
    </w:r>
    <w:r w:rsidRPr="00C35D7B">
      <w:rPr>
        <w:rStyle w:val="HideTWBExt"/>
      </w:rPr>
      <w:t>&lt;PathFdR&gt;</w:t>
    </w:r>
    <w:r w:rsidRPr="00C35D7B">
      <w:t>RR\1299220SV.docx</w:t>
    </w:r>
    <w:r w:rsidRPr="00C35D7B">
      <w:rPr>
        <w:rStyle w:val="HideTWBExt"/>
      </w:rPr>
      <w:t>&lt;/PathFdR&gt;</w:t>
    </w:r>
  </w:p>
  <w:p w:rsidR="007F3EB7" w:rsidRPr="00C35D7B" w:rsidRDefault="007F3EB7" w:rsidP="00F6401E">
    <w:pPr>
      <w:pStyle w:val="EPFooter2"/>
    </w:pPr>
    <w:r w:rsidRPr="00C35D7B">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3EB7" w:rsidRPr="00C35D7B" w:rsidRDefault="007F3EB7" w:rsidP="00F6401E">
    <w:pPr>
      <w:pStyle w:val="EPFooter"/>
    </w:pPr>
    <w:r w:rsidRPr="00C35D7B">
      <w:rPr>
        <w:rStyle w:val="HideTWBExt"/>
      </w:rPr>
      <w:t>&lt;PathFdR&gt;</w:t>
    </w:r>
    <w:r w:rsidRPr="00C35D7B">
      <w:t>RR\1299220SV.docx</w:t>
    </w:r>
    <w:r w:rsidRPr="00C35D7B">
      <w:rPr>
        <w:rStyle w:val="HideTWBExt"/>
      </w:rPr>
      <w:t>&lt;/PathFdR&gt;</w:t>
    </w:r>
    <w:r w:rsidRPr="00C35D7B">
      <w:tab/>
    </w:r>
    <w:r w:rsidRPr="00C35D7B">
      <w:tab/>
      <w:t>PE</w:t>
    </w:r>
    <w:r w:rsidRPr="00C35D7B">
      <w:rPr>
        <w:rStyle w:val="HideTWBExt"/>
      </w:rPr>
      <w:t>&lt;NoPE&gt;</w:t>
    </w:r>
    <w:r w:rsidRPr="00C35D7B">
      <w:t>753.519</w:t>
    </w:r>
    <w:r w:rsidRPr="00C35D7B">
      <w:rPr>
        <w:rStyle w:val="HideTWBExt"/>
      </w:rPr>
      <w:t>&lt;/NoPE&gt;&lt;Version&gt;</w:t>
    </w:r>
    <w:r w:rsidRPr="00C35D7B">
      <w:t>v03-00</w:t>
    </w:r>
    <w:r w:rsidRPr="00C35D7B">
      <w:rPr>
        <w:rStyle w:val="HideTWBExt"/>
      </w:rPr>
      <w:t>&lt;/Version&gt;</w:t>
    </w:r>
  </w:p>
  <w:p w:rsidR="007F3EB7" w:rsidRPr="00C35D7B" w:rsidRDefault="007F3EB7" w:rsidP="00F6401E">
    <w:pPr>
      <w:pStyle w:val="EPFooter2"/>
    </w:pPr>
    <w:r w:rsidRPr="00C35D7B">
      <w:t>SV</w:t>
    </w:r>
    <w:r w:rsidRPr="00C35D7B">
      <w:tab/>
    </w:r>
    <w:r w:rsidRPr="00C35D7B">
      <w:rPr>
        <w:b w:val="0"/>
        <w:i/>
        <w:color w:val="C0C0C0"/>
        <w:sz w:val="22"/>
      </w:rPr>
      <w:t>Förenade i mångfalden</w:t>
    </w:r>
    <w:r w:rsidRPr="00C35D7B">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5D7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5D7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5D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598E" w:rsidRPr="00C35D7B" w:rsidRDefault="00EB598E">
      <w:r w:rsidRPr="00C35D7B">
        <w:separator/>
      </w:r>
    </w:p>
  </w:footnote>
  <w:footnote w:type="continuationSeparator" w:id="0">
    <w:p w:rsidR="00EB598E" w:rsidRPr="00C35D7B" w:rsidRDefault="00EB598E">
      <w:r w:rsidRPr="00C35D7B">
        <w:continuationSeparator/>
      </w:r>
    </w:p>
  </w:footnote>
  <w:footnote w:id="1">
    <w:p w:rsidR="007F3EB7" w:rsidRPr="00215B5B" w:rsidRDefault="007F3EB7" w:rsidP="00C35D7B">
      <w:pPr>
        <w:pStyle w:val="FootnoteText"/>
        <w:ind w:left="567" w:hanging="567"/>
        <w:rPr>
          <w:sz w:val="24"/>
          <w:szCs w:val="24"/>
        </w:rPr>
      </w:pPr>
      <w:r w:rsidRPr="00215B5B">
        <w:rPr>
          <w:rStyle w:val="FootnoteReference"/>
          <w:sz w:val="24"/>
          <w:szCs w:val="24"/>
          <w:lang w:val="sv-SE"/>
        </w:rPr>
        <w:footnoteRef/>
      </w:r>
      <w:r w:rsidR="00C35D7B" w:rsidRPr="00215B5B">
        <w:rPr>
          <w:sz w:val="24"/>
          <w:szCs w:val="24"/>
        </w:rPr>
        <w:t xml:space="preserve"> </w:t>
      </w:r>
      <w:r w:rsidR="00C35D7B" w:rsidRPr="00215B5B">
        <w:rPr>
          <w:sz w:val="24"/>
          <w:szCs w:val="24"/>
        </w:rPr>
        <w:tab/>
      </w:r>
      <w:r w:rsidRPr="00215B5B">
        <w:rPr>
          <w:sz w:val="24"/>
          <w:szCs w:val="24"/>
        </w:rPr>
        <w:t>EUT C, C/2023/594, 27.10.2023.</w:t>
      </w:r>
    </w:p>
  </w:footnote>
  <w:footnote w:id="2">
    <w:p w:rsidR="007F3EB7" w:rsidRPr="00215B5B" w:rsidRDefault="007F3EB7" w:rsidP="00C35D7B">
      <w:pPr>
        <w:pStyle w:val="FootnoteText"/>
        <w:ind w:left="567" w:hanging="567"/>
        <w:rPr>
          <w:sz w:val="24"/>
          <w:szCs w:val="24"/>
        </w:rPr>
      </w:pPr>
      <w:r w:rsidRPr="00215B5B">
        <w:rPr>
          <w:rStyle w:val="FootnoteReference"/>
          <w:sz w:val="24"/>
          <w:szCs w:val="24"/>
          <w:lang w:val="sv-SE"/>
        </w:rPr>
        <w:footnoteRef/>
      </w:r>
      <w:r w:rsidR="00C35D7B" w:rsidRPr="00215B5B">
        <w:rPr>
          <w:sz w:val="24"/>
          <w:szCs w:val="24"/>
        </w:rPr>
        <w:t xml:space="preserve"> </w:t>
      </w:r>
      <w:r w:rsidR="00C35D7B" w:rsidRPr="00215B5B">
        <w:rPr>
          <w:sz w:val="24"/>
          <w:szCs w:val="24"/>
        </w:rPr>
        <w:tab/>
      </w:r>
      <w:r w:rsidRPr="00215B5B">
        <w:rPr>
          <w:sz w:val="24"/>
          <w:szCs w:val="24"/>
        </w:rPr>
        <w:t>EUT C, C/2023/112, 12.10.2023.</w:t>
      </w:r>
    </w:p>
  </w:footnote>
  <w:footnote w:id="3">
    <w:p w:rsidR="007F3EB7" w:rsidRPr="00215B5B" w:rsidRDefault="007F3EB7" w:rsidP="00C35D7B">
      <w:pPr>
        <w:pStyle w:val="FootnoteText"/>
        <w:ind w:left="567" w:hanging="567"/>
        <w:rPr>
          <w:sz w:val="24"/>
          <w:szCs w:val="24"/>
          <w:lang w:val="de-DE"/>
        </w:rPr>
      </w:pPr>
      <w:r w:rsidRPr="00215B5B">
        <w:rPr>
          <w:rStyle w:val="FootnoteReference"/>
          <w:sz w:val="24"/>
          <w:szCs w:val="24"/>
          <w:lang w:val="sv-SE"/>
        </w:rPr>
        <w:footnoteRef/>
      </w:r>
      <w:r w:rsidR="00C35D7B" w:rsidRPr="00215B5B">
        <w:rPr>
          <w:sz w:val="24"/>
          <w:szCs w:val="24"/>
          <w:lang w:val="de-DE"/>
        </w:rPr>
        <w:t xml:space="preserve"> </w:t>
      </w:r>
      <w:r w:rsidR="00C35D7B" w:rsidRPr="00215B5B">
        <w:rPr>
          <w:sz w:val="24"/>
          <w:szCs w:val="24"/>
          <w:lang w:val="de-DE"/>
        </w:rPr>
        <w:tab/>
      </w:r>
      <w:r w:rsidRPr="00215B5B">
        <w:rPr>
          <w:sz w:val="24"/>
          <w:szCs w:val="24"/>
          <w:lang w:val="de-DE"/>
        </w:rPr>
        <w:t>EUT L 193, 30.7.2018, s. 1.</w:t>
      </w:r>
    </w:p>
  </w:footnote>
  <w:footnote w:id="4">
    <w:p w:rsidR="007F3EB7" w:rsidRPr="00215B5B" w:rsidRDefault="007F3EB7" w:rsidP="00C35D7B">
      <w:pPr>
        <w:pStyle w:val="FootnoteText"/>
        <w:ind w:left="567" w:hanging="567"/>
        <w:rPr>
          <w:sz w:val="24"/>
          <w:szCs w:val="24"/>
          <w:lang w:val="de-DE"/>
        </w:rPr>
      </w:pPr>
      <w:r w:rsidRPr="00215B5B">
        <w:rPr>
          <w:rStyle w:val="FootnoteReference"/>
          <w:sz w:val="24"/>
          <w:szCs w:val="24"/>
          <w:lang w:val="sv-SE"/>
        </w:rPr>
        <w:footnoteRef/>
      </w:r>
      <w:r w:rsidR="00C35D7B" w:rsidRPr="00215B5B">
        <w:rPr>
          <w:sz w:val="24"/>
          <w:szCs w:val="24"/>
          <w:lang w:val="de-DE"/>
        </w:rPr>
        <w:t xml:space="preserve"> </w:t>
      </w:r>
      <w:r w:rsidR="00C35D7B" w:rsidRPr="00215B5B">
        <w:rPr>
          <w:sz w:val="24"/>
          <w:szCs w:val="24"/>
          <w:lang w:val="de-DE"/>
        </w:rPr>
        <w:tab/>
      </w:r>
      <w:r w:rsidRPr="00215B5B">
        <w:rPr>
          <w:sz w:val="24"/>
          <w:szCs w:val="24"/>
          <w:lang w:val="de-DE"/>
        </w:rPr>
        <w:t>EGT L 31, 1.2.2002, s. 1.</w:t>
      </w:r>
    </w:p>
  </w:footnote>
  <w:footnote w:id="5">
    <w:p w:rsidR="007F3EB7" w:rsidRPr="00215B5B" w:rsidRDefault="007F3EB7" w:rsidP="00C35D7B">
      <w:pPr>
        <w:pStyle w:val="FootnoteText"/>
        <w:ind w:left="567" w:hanging="567"/>
        <w:rPr>
          <w:sz w:val="24"/>
          <w:szCs w:val="24"/>
        </w:rPr>
      </w:pPr>
      <w:r w:rsidRPr="00215B5B">
        <w:rPr>
          <w:rStyle w:val="FootnoteReference"/>
          <w:sz w:val="24"/>
          <w:szCs w:val="24"/>
          <w:lang w:val="sv-SE"/>
        </w:rPr>
        <w:footnoteRef/>
      </w:r>
      <w:r w:rsidR="00C35D7B" w:rsidRPr="00215B5B">
        <w:rPr>
          <w:sz w:val="24"/>
          <w:szCs w:val="24"/>
        </w:rPr>
        <w:t xml:space="preserve"> </w:t>
      </w:r>
      <w:r w:rsidR="00C35D7B" w:rsidRPr="00215B5B">
        <w:rPr>
          <w:sz w:val="24"/>
          <w:szCs w:val="24"/>
        </w:rPr>
        <w:tab/>
      </w:r>
      <w:r w:rsidRPr="00215B5B">
        <w:rPr>
          <w:sz w:val="24"/>
          <w:szCs w:val="24"/>
        </w:rPr>
        <w:t>EUT L 122, 10.5.2019, s. 1.</w:t>
      </w:r>
    </w:p>
  </w:footnote>
  <w:footnote w:id="6">
    <w:p w:rsidR="007F3EB7" w:rsidRPr="00215B5B" w:rsidRDefault="007F3EB7" w:rsidP="00C35D7B">
      <w:pPr>
        <w:pStyle w:val="FootnoteText"/>
        <w:ind w:left="567" w:hanging="567"/>
        <w:rPr>
          <w:sz w:val="24"/>
          <w:szCs w:val="24"/>
        </w:rPr>
      </w:pPr>
      <w:r w:rsidRPr="00215B5B">
        <w:rPr>
          <w:rStyle w:val="FootnoteReference"/>
          <w:sz w:val="24"/>
          <w:szCs w:val="24"/>
          <w:lang w:val="sv-SE"/>
        </w:rPr>
        <w:footnoteRef/>
      </w:r>
      <w:r w:rsidR="00C35D7B" w:rsidRPr="00215B5B">
        <w:rPr>
          <w:sz w:val="24"/>
          <w:szCs w:val="24"/>
        </w:rPr>
        <w:t xml:space="preserve"> </w:t>
      </w:r>
      <w:r w:rsidR="00C35D7B" w:rsidRPr="00215B5B">
        <w:rPr>
          <w:sz w:val="24"/>
          <w:szCs w:val="24"/>
        </w:rPr>
        <w:tab/>
      </w:r>
      <w:r w:rsidRPr="00215B5B">
        <w:rPr>
          <w:sz w:val="24"/>
          <w:szCs w:val="24"/>
        </w:rPr>
        <w:t>EUT C, C/2023/594, 27.10.2023.</w:t>
      </w:r>
    </w:p>
  </w:footnote>
  <w:footnote w:id="7">
    <w:p w:rsidR="007F3EB7" w:rsidRPr="00215B5B" w:rsidRDefault="007F3EB7" w:rsidP="00C35D7B">
      <w:pPr>
        <w:pStyle w:val="FootnoteText"/>
        <w:ind w:left="567" w:hanging="567"/>
        <w:rPr>
          <w:sz w:val="24"/>
          <w:szCs w:val="24"/>
        </w:rPr>
      </w:pPr>
      <w:r w:rsidRPr="00215B5B">
        <w:rPr>
          <w:rStyle w:val="FootnoteReference"/>
          <w:sz w:val="24"/>
          <w:szCs w:val="24"/>
          <w:lang w:val="sv-SE"/>
        </w:rPr>
        <w:footnoteRef/>
      </w:r>
      <w:r w:rsidR="00C35D7B" w:rsidRPr="00215B5B">
        <w:rPr>
          <w:sz w:val="24"/>
          <w:szCs w:val="24"/>
        </w:rPr>
        <w:t xml:space="preserve"> </w:t>
      </w:r>
      <w:r w:rsidR="00C35D7B" w:rsidRPr="00215B5B">
        <w:rPr>
          <w:sz w:val="24"/>
          <w:szCs w:val="24"/>
        </w:rPr>
        <w:tab/>
      </w:r>
      <w:r w:rsidRPr="00215B5B">
        <w:rPr>
          <w:sz w:val="24"/>
          <w:szCs w:val="24"/>
        </w:rPr>
        <w:t>EUT C, C/2023/112, 12.10.2023.</w:t>
      </w:r>
    </w:p>
  </w:footnote>
  <w:footnote w:id="8">
    <w:p w:rsidR="007F3EB7" w:rsidRPr="00215B5B" w:rsidRDefault="007F3EB7" w:rsidP="00C35D7B">
      <w:pPr>
        <w:pStyle w:val="FootnoteText"/>
        <w:ind w:left="567" w:hanging="567"/>
        <w:rPr>
          <w:sz w:val="24"/>
          <w:szCs w:val="24"/>
        </w:rPr>
      </w:pPr>
      <w:r w:rsidRPr="00215B5B">
        <w:rPr>
          <w:rStyle w:val="FootnoteReference"/>
          <w:sz w:val="24"/>
          <w:szCs w:val="24"/>
          <w:lang w:val="sv-SE"/>
        </w:rPr>
        <w:footnoteRef/>
      </w:r>
      <w:r w:rsidR="00C35D7B" w:rsidRPr="00215B5B">
        <w:rPr>
          <w:sz w:val="24"/>
          <w:szCs w:val="24"/>
        </w:rPr>
        <w:t xml:space="preserve"> </w:t>
      </w:r>
      <w:r w:rsidR="00C35D7B" w:rsidRPr="00215B5B">
        <w:rPr>
          <w:sz w:val="24"/>
          <w:szCs w:val="24"/>
        </w:rPr>
        <w:tab/>
      </w:r>
      <w:r w:rsidRPr="00215B5B">
        <w:rPr>
          <w:sz w:val="24"/>
          <w:szCs w:val="24"/>
        </w:rPr>
        <w:t>EUT L 193, 30.7.2018, s. 1.</w:t>
      </w:r>
    </w:p>
  </w:footnote>
  <w:footnote w:id="9">
    <w:p w:rsidR="007F3EB7" w:rsidRPr="00215B5B" w:rsidRDefault="007F3EB7" w:rsidP="00C35D7B">
      <w:pPr>
        <w:pStyle w:val="FootnoteText"/>
        <w:ind w:left="567" w:hanging="567"/>
        <w:rPr>
          <w:sz w:val="24"/>
          <w:szCs w:val="24"/>
          <w:lang w:val="de-DE"/>
        </w:rPr>
      </w:pPr>
      <w:r w:rsidRPr="00215B5B">
        <w:rPr>
          <w:rStyle w:val="FootnoteReference"/>
          <w:sz w:val="24"/>
          <w:szCs w:val="24"/>
          <w:lang w:val="sv-SE"/>
        </w:rPr>
        <w:footnoteRef/>
      </w:r>
      <w:r w:rsidR="00C35D7B" w:rsidRPr="00215B5B">
        <w:rPr>
          <w:sz w:val="24"/>
          <w:szCs w:val="24"/>
          <w:lang w:val="de-DE"/>
        </w:rPr>
        <w:t xml:space="preserve"> </w:t>
      </w:r>
      <w:r w:rsidR="00C35D7B" w:rsidRPr="00215B5B">
        <w:rPr>
          <w:sz w:val="24"/>
          <w:szCs w:val="24"/>
          <w:lang w:val="de-DE"/>
        </w:rPr>
        <w:tab/>
      </w:r>
      <w:r w:rsidRPr="00215B5B">
        <w:rPr>
          <w:sz w:val="24"/>
          <w:szCs w:val="24"/>
          <w:lang w:val="de-DE"/>
        </w:rPr>
        <w:t>EGT L 31, 1.2.2002, s. 1.</w:t>
      </w:r>
    </w:p>
  </w:footnote>
  <w:footnote w:id="10">
    <w:p w:rsidR="007F3EB7" w:rsidRPr="00215B5B" w:rsidRDefault="007F3EB7" w:rsidP="00C35D7B">
      <w:pPr>
        <w:pStyle w:val="FootnoteText"/>
        <w:ind w:left="567" w:hanging="567"/>
        <w:rPr>
          <w:sz w:val="24"/>
          <w:szCs w:val="24"/>
          <w:lang w:val="de-DE"/>
        </w:rPr>
      </w:pPr>
      <w:r w:rsidRPr="00215B5B">
        <w:rPr>
          <w:rStyle w:val="FootnoteReference"/>
          <w:sz w:val="24"/>
          <w:szCs w:val="24"/>
          <w:lang w:val="sv-SE"/>
        </w:rPr>
        <w:footnoteRef/>
      </w:r>
      <w:r w:rsidR="00C35D7B" w:rsidRPr="00215B5B">
        <w:rPr>
          <w:sz w:val="24"/>
          <w:szCs w:val="24"/>
          <w:lang w:val="de-DE"/>
        </w:rPr>
        <w:t xml:space="preserve"> </w:t>
      </w:r>
      <w:r w:rsidR="00C35D7B" w:rsidRPr="00215B5B">
        <w:rPr>
          <w:sz w:val="24"/>
          <w:szCs w:val="24"/>
          <w:lang w:val="de-DE"/>
        </w:rPr>
        <w:tab/>
      </w:r>
      <w:r w:rsidRPr="00215B5B">
        <w:rPr>
          <w:sz w:val="24"/>
          <w:szCs w:val="24"/>
          <w:lang w:val="de-DE"/>
        </w:rPr>
        <w:t>EUT L 122, 10.5.2019, s. 1.</w:t>
      </w:r>
    </w:p>
  </w:footnote>
  <w:footnote w:id="11">
    <w:p w:rsidR="007F3EB7" w:rsidRPr="00215B5B" w:rsidRDefault="007F3EB7" w:rsidP="00C35D7B">
      <w:pPr>
        <w:pStyle w:val="FootnoteText"/>
        <w:ind w:left="567" w:hanging="567"/>
        <w:rPr>
          <w:rFonts w:eastAsia="Calibri"/>
          <w:sz w:val="24"/>
          <w:szCs w:val="24"/>
          <w:lang w:val="sv-SE"/>
        </w:rPr>
      </w:pPr>
      <w:r w:rsidRPr="00215B5B">
        <w:rPr>
          <w:rStyle w:val="FootnoteReference"/>
          <w:sz w:val="24"/>
          <w:szCs w:val="24"/>
          <w:lang w:val="sv-SE"/>
        </w:rPr>
        <w:footnoteRef/>
      </w:r>
      <w:r w:rsidR="00C35D7B" w:rsidRPr="00215B5B">
        <w:rPr>
          <w:sz w:val="24"/>
          <w:szCs w:val="24"/>
          <w:lang w:val="sv-SE"/>
        </w:rPr>
        <w:t xml:space="preserve"> </w:t>
      </w:r>
      <w:r w:rsidR="00C35D7B" w:rsidRPr="00215B5B">
        <w:rPr>
          <w:sz w:val="24"/>
          <w:szCs w:val="24"/>
          <w:lang w:val="sv-SE"/>
        </w:rPr>
        <w:tab/>
      </w:r>
      <w:r w:rsidRPr="00215B5B">
        <w:rPr>
          <w:sz w:val="24"/>
          <w:szCs w:val="24"/>
          <w:lang w:val="sv-SE"/>
        </w:rPr>
        <w:t>EUT C 178, 29.4.2022, s. 1.</w:t>
      </w:r>
    </w:p>
  </w:footnote>
  <w:footnote w:id="12">
    <w:p w:rsidR="007F3EB7" w:rsidRPr="00215B5B" w:rsidRDefault="007F3EB7" w:rsidP="00C35D7B">
      <w:pPr>
        <w:pStyle w:val="FootnoteText"/>
        <w:ind w:left="567" w:hanging="567"/>
        <w:rPr>
          <w:sz w:val="24"/>
          <w:szCs w:val="24"/>
          <w:lang w:val="sv-SE"/>
        </w:rPr>
      </w:pPr>
      <w:r w:rsidRPr="00215B5B">
        <w:rPr>
          <w:rStyle w:val="FootnoteReference"/>
          <w:sz w:val="24"/>
          <w:szCs w:val="24"/>
          <w:lang w:val="sv-SE"/>
        </w:rPr>
        <w:footnoteRef/>
      </w:r>
      <w:r w:rsidR="00C35D7B" w:rsidRPr="00215B5B">
        <w:rPr>
          <w:sz w:val="24"/>
          <w:szCs w:val="24"/>
          <w:lang w:val="sv-SE"/>
        </w:rPr>
        <w:t xml:space="preserve"> </w:t>
      </w:r>
      <w:r w:rsidR="00C35D7B" w:rsidRPr="00215B5B">
        <w:rPr>
          <w:sz w:val="24"/>
          <w:szCs w:val="24"/>
          <w:lang w:val="sv-SE"/>
        </w:rPr>
        <w:tab/>
      </w:r>
      <w:r w:rsidRPr="00215B5B">
        <w:rPr>
          <w:sz w:val="24"/>
          <w:szCs w:val="24"/>
          <w:lang w:val="sv-SE"/>
        </w:rPr>
        <w:t>Europaparlamentets och rådets förordning (EU) 2019/1381 av den 20 juni 2019 om insyn och hållbarhet i EU:s system för riskbedömning i livsmedelskedjan och om ändring av förordningarna (EG) nr 178/2002, (EG) nr 1829/2003, (EG) nr 1831/2003, (EG) nr 2065/2003, (EG) nr 1935/2004, (EG) nr 1331/2008, (EG) nr 1107/2009 och (EU) 2015/2283 och direktiv 2001/18/EG (EUT L 231, 6.9.2019, s. 1).</w:t>
      </w:r>
    </w:p>
  </w:footnote>
  <w:footnote w:id="13">
    <w:p w:rsidR="007F3EB7" w:rsidRPr="00215B5B" w:rsidRDefault="007F3EB7" w:rsidP="00C35D7B">
      <w:pPr>
        <w:pStyle w:val="FootnoteText"/>
        <w:ind w:left="567" w:hanging="567"/>
        <w:rPr>
          <w:sz w:val="24"/>
          <w:szCs w:val="24"/>
          <w:lang w:val="sv-SE"/>
        </w:rPr>
      </w:pPr>
      <w:r w:rsidRPr="00215B5B">
        <w:rPr>
          <w:rStyle w:val="FootnoteReference"/>
          <w:sz w:val="24"/>
          <w:szCs w:val="24"/>
          <w:lang w:val="sv-SE"/>
        </w:rPr>
        <w:footnoteRef/>
      </w:r>
      <w:r w:rsidR="00C35D7B" w:rsidRPr="00215B5B">
        <w:rPr>
          <w:sz w:val="24"/>
          <w:szCs w:val="24"/>
          <w:lang w:val="sv-SE"/>
        </w:rPr>
        <w:t xml:space="preserve"> </w:t>
      </w:r>
      <w:r w:rsidR="00C35D7B" w:rsidRPr="00215B5B">
        <w:rPr>
          <w:sz w:val="24"/>
          <w:szCs w:val="24"/>
          <w:lang w:val="sv-SE"/>
        </w:rPr>
        <w:tab/>
      </w:r>
      <w:r w:rsidRPr="00215B5B">
        <w:rPr>
          <w:sz w:val="24"/>
          <w:szCs w:val="24"/>
          <w:lang w:val="sv-SE"/>
        </w:rPr>
        <w:t>Antagna texter, P9_TA(2024)0</w:t>
      </w:r>
      <w:r w:rsidR="00215B5B" w:rsidRPr="00215B5B">
        <w:rPr>
          <w:sz w:val="24"/>
          <w:szCs w:val="24"/>
          <w:lang w:val="sv-SE"/>
        </w:rPr>
        <w:t>280</w:t>
      </w:r>
      <w:r w:rsidRPr="00215B5B">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5D7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5D7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5D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9/2024"/>
    <w:docVar w:name="dvlangue" w:val="SV"/>
    <w:docVar w:name="dvnumam" w:val="0"/>
    <w:docVar w:name="dvpe" w:val="753.519"/>
    <w:docVar w:name="dvrapporteur" w:val="Föredragande: "/>
    <w:docVar w:name="dvtitre" w:val="Europaparlamentets beslut av den xx xx 2024 om ansvarsfrihet för genomförandet av budgeten för Europeiska myndigheten för livsmedelssäkerhet för budgetåret 2022(2023/2151(DEC))"/>
  </w:docVars>
  <w:rsids>
    <w:rsidRoot w:val="00EB598E"/>
    <w:rsid w:val="00002272"/>
    <w:rsid w:val="00064002"/>
    <w:rsid w:val="000677B9"/>
    <w:rsid w:val="000831BA"/>
    <w:rsid w:val="000A42CC"/>
    <w:rsid w:val="000E7DD9"/>
    <w:rsid w:val="0010095E"/>
    <w:rsid w:val="00125B37"/>
    <w:rsid w:val="00187494"/>
    <w:rsid w:val="001F32AE"/>
    <w:rsid w:val="00215B5B"/>
    <w:rsid w:val="002767FF"/>
    <w:rsid w:val="002B18FE"/>
    <w:rsid w:val="002B5493"/>
    <w:rsid w:val="003375F9"/>
    <w:rsid w:val="00343214"/>
    <w:rsid w:val="00361C00"/>
    <w:rsid w:val="00395FA1"/>
    <w:rsid w:val="003E15D4"/>
    <w:rsid w:val="00411CCE"/>
    <w:rsid w:val="0041666E"/>
    <w:rsid w:val="00421060"/>
    <w:rsid w:val="00471C19"/>
    <w:rsid w:val="004867E3"/>
    <w:rsid w:val="00494A28"/>
    <w:rsid w:val="004C0004"/>
    <w:rsid w:val="004C5D52"/>
    <w:rsid w:val="004D5E13"/>
    <w:rsid w:val="0050519A"/>
    <w:rsid w:val="005072A1"/>
    <w:rsid w:val="00514517"/>
    <w:rsid w:val="00545827"/>
    <w:rsid w:val="00560270"/>
    <w:rsid w:val="005C2568"/>
    <w:rsid w:val="006037C0"/>
    <w:rsid w:val="0062037F"/>
    <w:rsid w:val="006631B6"/>
    <w:rsid w:val="00680577"/>
    <w:rsid w:val="006C6A0F"/>
    <w:rsid w:val="006F74FA"/>
    <w:rsid w:val="00731ADD"/>
    <w:rsid w:val="00734777"/>
    <w:rsid w:val="00747932"/>
    <w:rsid w:val="00751A4A"/>
    <w:rsid w:val="00756632"/>
    <w:rsid w:val="00762C74"/>
    <w:rsid w:val="00786EC0"/>
    <w:rsid w:val="00790B00"/>
    <w:rsid w:val="007D1690"/>
    <w:rsid w:val="007E22AD"/>
    <w:rsid w:val="007F3EB7"/>
    <w:rsid w:val="00817416"/>
    <w:rsid w:val="00842779"/>
    <w:rsid w:val="0085189B"/>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329"/>
    <w:rsid w:val="00BD48FE"/>
    <w:rsid w:val="00BD7BD8"/>
    <w:rsid w:val="00BE6ADC"/>
    <w:rsid w:val="00C05BFE"/>
    <w:rsid w:val="00C23CD4"/>
    <w:rsid w:val="00C35D7B"/>
    <w:rsid w:val="00C61C0C"/>
    <w:rsid w:val="00C941CB"/>
    <w:rsid w:val="00CC2357"/>
    <w:rsid w:val="00CF071A"/>
    <w:rsid w:val="00D058B8"/>
    <w:rsid w:val="00D4474C"/>
    <w:rsid w:val="00D56C11"/>
    <w:rsid w:val="00D834A0"/>
    <w:rsid w:val="00D872DF"/>
    <w:rsid w:val="00D91E21"/>
    <w:rsid w:val="00DA7FCD"/>
    <w:rsid w:val="00DF60D9"/>
    <w:rsid w:val="00E365E1"/>
    <w:rsid w:val="00E820A4"/>
    <w:rsid w:val="00EB006A"/>
    <w:rsid w:val="00EB4772"/>
    <w:rsid w:val="00EB598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2C1780"/>
  <w15:chartTrackingRefBased/>
  <w15:docId w15:val="{5849EE77-EEE7-419E-9FAA-CB65A9B62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F3EB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F3EB7"/>
    <w:pPr>
      <w:spacing w:before="480" w:after="240"/>
    </w:pPr>
  </w:style>
  <w:style w:type="paragraph" w:customStyle="1" w:styleId="PageHeading">
    <w:name w:val="PageHeading"/>
    <w:basedOn w:val="Normal"/>
    <w:rsid w:val="007F3EB7"/>
    <w:pPr>
      <w:keepNext/>
      <w:spacing w:after="480"/>
      <w:jc w:val="center"/>
    </w:pPr>
    <w:rPr>
      <w:rFonts w:ascii="Arial" w:hAnsi="Arial" w:cs="Arial"/>
      <w:b/>
    </w:rPr>
  </w:style>
  <w:style w:type="paragraph" w:customStyle="1" w:styleId="NormalBold">
    <w:name w:val="NormalBold"/>
    <w:basedOn w:val="Normal"/>
    <w:rsid w:val="007F3EB7"/>
    <w:rPr>
      <w:b/>
    </w:rPr>
  </w:style>
  <w:style w:type="paragraph" w:customStyle="1" w:styleId="NormalHanging12a">
    <w:name w:val="NormalHanging12a"/>
    <w:basedOn w:val="Normal"/>
    <w:link w:val="NormalHanging12aChar"/>
    <w:rsid w:val="007F3EB7"/>
    <w:pPr>
      <w:spacing w:after="240"/>
      <w:ind w:left="567" w:hanging="567"/>
    </w:pPr>
  </w:style>
  <w:style w:type="paragraph" w:customStyle="1" w:styleId="NormalCenter12a">
    <w:name w:val="NormalCenter12a"/>
    <w:basedOn w:val="Normal"/>
    <w:rsid w:val="007F3EB7"/>
    <w:pPr>
      <w:spacing w:after="240"/>
      <w:jc w:val="center"/>
    </w:pPr>
  </w:style>
  <w:style w:type="paragraph" w:styleId="Header">
    <w:name w:val="header"/>
    <w:basedOn w:val="Normal"/>
    <w:link w:val="HeaderChar"/>
    <w:rsid w:val="007F3EB7"/>
    <w:pPr>
      <w:tabs>
        <w:tab w:val="center" w:pos="4513"/>
        <w:tab w:val="right" w:pos="9026"/>
      </w:tabs>
    </w:pPr>
  </w:style>
  <w:style w:type="character" w:customStyle="1" w:styleId="HeaderChar">
    <w:name w:val="Header Char"/>
    <w:basedOn w:val="DefaultParagraphFont"/>
    <w:link w:val="Header"/>
    <w:rsid w:val="007F3EB7"/>
    <w:rPr>
      <w:sz w:val="24"/>
      <w:lang w:val="sv-SE"/>
    </w:rPr>
  </w:style>
  <w:style w:type="paragraph" w:customStyle="1" w:styleId="EPFooter">
    <w:name w:val="EPFooter"/>
    <w:basedOn w:val="Normal"/>
    <w:rsid w:val="007F3EB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F3EB7"/>
    <w:rPr>
      <w:sz w:val="24"/>
      <w:lang w:val="sv-SE"/>
    </w:rPr>
  </w:style>
  <w:style w:type="paragraph" w:styleId="BalloonText">
    <w:name w:val="Balloon Text"/>
    <w:basedOn w:val="Normal"/>
    <w:link w:val="BalloonTextChar"/>
    <w:rsid w:val="0085189B"/>
    <w:rPr>
      <w:rFonts w:ascii="Segoe UI" w:hAnsi="Segoe UI" w:cs="Segoe UI"/>
      <w:sz w:val="18"/>
      <w:szCs w:val="18"/>
    </w:rPr>
  </w:style>
  <w:style w:type="character" w:customStyle="1" w:styleId="BalloonTextChar">
    <w:name w:val="Balloon Text Char"/>
    <w:basedOn w:val="DefaultParagraphFont"/>
    <w:link w:val="BalloonText"/>
    <w:rsid w:val="0085189B"/>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BBFE6-4418-4CDB-B365-63F91F570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2539</Words>
  <Characters>17078</Characters>
  <Application>Microsoft Office Word</Application>
  <DocSecurity>0</DocSecurity>
  <Lines>348</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HODNE Catherine</cp:lastModifiedBy>
  <cp:revision>2</cp:revision>
  <cp:lastPrinted>2004-11-19T15:42:00Z</cp:lastPrinted>
  <dcterms:created xsi:type="dcterms:W3CDTF">2024-04-11T17:03:00Z</dcterms:created>
  <dcterms:modified xsi:type="dcterms:W3CDTF">2024-04-11T17:03:00Z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P9_TA-PROV(2024)0000_A9-0129_2024_SV_r</vt:lpwstr>
  </property>
  <property fmtid="{D5CDD505-2E9C-101B-9397-08002B2CF9AE}" pid="4" name="&lt;Type&gt;">
    <vt:lpwstr>RR</vt:lpwstr>
  </property>
</Properties>
</file>