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115F" w14:paraId="3A6205AA" w14:textId="77777777" w:rsidTr="0010095E">
        <w:trPr>
          <w:trHeight w:hRule="exact" w:val="1418"/>
        </w:trPr>
        <w:tc>
          <w:tcPr>
            <w:tcW w:w="6804" w:type="dxa"/>
            <w:shd w:val="clear" w:color="auto" w:fill="auto"/>
            <w:vAlign w:val="center"/>
          </w:tcPr>
          <w:p w14:paraId="3FA59471" w14:textId="77777777" w:rsidR="00751A4A" w:rsidRPr="007D115F" w:rsidRDefault="00CD061C" w:rsidP="0010095E">
            <w:pPr>
              <w:pStyle w:val="EPName"/>
            </w:pPr>
            <w:r w:rsidRPr="007D115F">
              <w:t>Europa-Parlamentet</w:t>
            </w:r>
          </w:p>
          <w:p w14:paraId="4E3C9AC0" w14:textId="77777777" w:rsidR="00751A4A" w:rsidRPr="007D115F" w:rsidRDefault="00817416" w:rsidP="00756632">
            <w:pPr>
              <w:pStyle w:val="EPTerm"/>
              <w:rPr>
                <w:rStyle w:val="HideTWBExt"/>
                <w:noProof w:val="0"/>
                <w:vanish w:val="0"/>
                <w:color w:val="auto"/>
              </w:rPr>
            </w:pPr>
            <w:r w:rsidRPr="007D115F">
              <w:t>2019-2024</w:t>
            </w:r>
          </w:p>
        </w:tc>
        <w:tc>
          <w:tcPr>
            <w:tcW w:w="2268" w:type="dxa"/>
            <w:shd w:val="clear" w:color="auto" w:fill="auto"/>
          </w:tcPr>
          <w:p w14:paraId="0609A094" w14:textId="77777777" w:rsidR="00751A4A" w:rsidRPr="007D115F" w:rsidRDefault="00187494" w:rsidP="0010095E">
            <w:pPr>
              <w:pStyle w:val="EPLogo"/>
            </w:pPr>
            <w:r w:rsidRPr="007D115F">
              <w:rPr>
                <w:noProof/>
                <w:lang w:val="en-GB"/>
              </w:rPr>
              <w:drawing>
                <wp:inline distT="0" distB="0" distL="0" distR="0" wp14:anchorId="0ED81F89" wp14:editId="143E8A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801190" w14:textId="77777777" w:rsidR="00D058B8" w:rsidRPr="007D115F" w:rsidRDefault="00D058B8" w:rsidP="004C5D52">
      <w:pPr>
        <w:pStyle w:val="LineTop"/>
      </w:pPr>
    </w:p>
    <w:p w14:paraId="152EB41B" w14:textId="77777777" w:rsidR="00680577" w:rsidRPr="007D115F" w:rsidRDefault="00CD061C" w:rsidP="00680577">
      <w:pPr>
        <w:pStyle w:val="EPBodyTA1"/>
      </w:pPr>
      <w:r w:rsidRPr="007D115F">
        <w:t>VEDTAGNE TEKSTER</w:t>
      </w:r>
    </w:p>
    <w:p w14:paraId="3BC02DC6" w14:textId="77777777" w:rsidR="00D058B8" w:rsidRPr="007D115F" w:rsidRDefault="00D058B8" w:rsidP="00D058B8">
      <w:pPr>
        <w:pStyle w:val="LineBottom"/>
      </w:pPr>
    </w:p>
    <w:p w14:paraId="56A8E716" w14:textId="3E469AD5" w:rsidR="00CD061C" w:rsidRPr="007D115F" w:rsidRDefault="00CD061C" w:rsidP="00CD061C">
      <w:pPr>
        <w:pStyle w:val="ATHeading1"/>
      </w:pPr>
      <w:bookmarkStart w:id="0" w:name="TANumber"/>
      <w:r w:rsidRPr="007D115F">
        <w:t>P9_</w:t>
      </w:r>
      <w:proofErr w:type="gramStart"/>
      <w:r w:rsidRPr="007D115F">
        <w:t>TA(</w:t>
      </w:r>
      <w:proofErr w:type="gramEnd"/>
      <w:r w:rsidRPr="007D115F">
        <w:t>2024)0</w:t>
      </w:r>
      <w:r w:rsidR="000815AC">
        <w:t>251</w:t>
      </w:r>
      <w:bookmarkEnd w:id="0"/>
    </w:p>
    <w:p w14:paraId="28B60EE3" w14:textId="77777777" w:rsidR="00CD061C" w:rsidRPr="007D115F" w:rsidRDefault="00CD061C" w:rsidP="00CD061C">
      <w:pPr>
        <w:pStyle w:val="ATHeading2"/>
      </w:pPr>
      <w:bookmarkStart w:id="1" w:name="title"/>
      <w:r w:rsidRPr="007D115F">
        <w:t>Decharge 2022: Det Europæiske Center for Forebyggelse af og Kontrol med Sygdomme</w:t>
      </w:r>
      <w:bookmarkEnd w:id="1"/>
    </w:p>
    <w:p w14:paraId="6B65D069" w14:textId="77777777" w:rsidR="00CD061C" w:rsidRPr="007D115F" w:rsidRDefault="00CD061C" w:rsidP="00CD061C">
      <w:pPr>
        <w:rPr>
          <w:i/>
          <w:vanish/>
        </w:rPr>
      </w:pPr>
      <w:r w:rsidRPr="007D115F">
        <w:rPr>
          <w:i/>
        </w:rPr>
        <w:fldChar w:fldCharType="begin"/>
      </w:r>
      <w:r w:rsidRPr="007D115F">
        <w:rPr>
          <w:i/>
        </w:rPr>
        <w:instrText xml:space="preserve"> TC"(</w:instrText>
      </w:r>
      <w:bookmarkStart w:id="2" w:name="DocNumber"/>
      <w:r w:rsidRPr="007D115F">
        <w:rPr>
          <w:i/>
        </w:rPr>
        <w:instrText>A9-0109/2024</w:instrText>
      </w:r>
      <w:bookmarkEnd w:id="2"/>
      <w:r w:rsidRPr="007D115F">
        <w:rPr>
          <w:i/>
        </w:rPr>
        <w:instrText xml:space="preserve"> - Ordfører: Petri Sarvamaa)"\l3 \n&gt; \* MERGEFORMAT </w:instrText>
      </w:r>
      <w:r w:rsidRPr="007D115F">
        <w:rPr>
          <w:i/>
        </w:rPr>
        <w:fldChar w:fldCharType="end"/>
      </w:r>
    </w:p>
    <w:p w14:paraId="3BF943F5" w14:textId="77777777" w:rsidR="00CD061C" w:rsidRPr="007D115F" w:rsidRDefault="00CD061C" w:rsidP="00CD061C">
      <w:pPr>
        <w:rPr>
          <w:vanish/>
        </w:rPr>
      </w:pPr>
      <w:bookmarkStart w:id="3" w:name="Commission"/>
      <w:r w:rsidRPr="007D115F">
        <w:rPr>
          <w:vanish/>
        </w:rPr>
        <w:t>Budgetkontroludvalget</w:t>
      </w:r>
      <w:bookmarkEnd w:id="3"/>
    </w:p>
    <w:p w14:paraId="64B0D290" w14:textId="77777777" w:rsidR="00CD061C" w:rsidRPr="007D115F" w:rsidRDefault="00CD061C" w:rsidP="00CD061C">
      <w:pPr>
        <w:rPr>
          <w:vanish/>
        </w:rPr>
      </w:pPr>
      <w:bookmarkStart w:id="4" w:name="PE"/>
      <w:r w:rsidRPr="007D115F">
        <w:rPr>
          <w:vanish/>
        </w:rPr>
        <w:t>PE753.515</w:t>
      </w:r>
      <w:bookmarkEnd w:id="4"/>
    </w:p>
    <w:p w14:paraId="6E8ABFDE" w14:textId="77777777" w:rsidR="00CD061C" w:rsidRPr="007D115F" w:rsidRDefault="00CD061C" w:rsidP="00CD061C">
      <w:pPr>
        <w:pStyle w:val="ATHeading3"/>
      </w:pPr>
      <w:bookmarkStart w:id="5" w:name="Sujet"/>
      <w:r w:rsidRPr="007D115F">
        <w:t>1. Europa-Parlamentets afgørelse af 11. april 2024 om decharge for gennemførelsen af budgettet for Det Europæiske Center for Forebyggelse af og Kontrol med Sygdomme for regnskabsåret 2022</w:t>
      </w:r>
      <w:bookmarkEnd w:id="5"/>
      <w:r w:rsidRPr="007D115F">
        <w:t xml:space="preserve"> </w:t>
      </w:r>
      <w:bookmarkStart w:id="6" w:name="References"/>
      <w:r w:rsidRPr="007D115F">
        <w:t>(2023/2147(DEC))</w:t>
      </w:r>
      <w:bookmarkEnd w:id="6"/>
    </w:p>
    <w:p w14:paraId="5BEF9485" w14:textId="77777777" w:rsidR="006F23C9" w:rsidRPr="007D115F" w:rsidRDefault="006F23C9" w:rsidP="006F23C9">
      <w:pPr>
        <w:pStyle w:val="EPComma"/>
      </w:pPr>
      <w:bookmarkStart w:id="7" w:name="TextBodyBegin"/>
      <w:bookmarkEnd w:id="7"/>
      <w:r w:rsidRPr="007D115F">
        <w:rPr>
          <w:i/>
        </w:rPr>
        <w:t>Europa-Parlamentet</w:t>
      </w:r>
      <w:r w:rsidRPr="007D115F">
        <w:t>,</w:t>
      </w:r>
    </w:p>
    <w:p w14:paraId="11218950" w14:textId="77777777" w:rsidR="006F23C9" w:rsidRPr="007D115F" w:rsidRDefault="006F23C9" w:rsidP="006F23C9">
      <w:pPr>
        <w:pStyle w:val="NormalHanging12a"/>
      </w:pPr>
      <w:r w:rsidRPr="007D115F">
        <w:t>–</w:t>
      </w:r>
      <w:r w:rsidRPr="007D115F">
        <w:tab/>
        <w:t>der henviser til det endelige årsregnskab for Det Europæiske Center for Forebyggelse af og Kontrol med Sygdomme for regnskabsåret 2022,</w:t>
      </w:r>
    </w:p>
    <w:p w14:paraId="4E9D711E" w14:textId="77777777" w:rsidR="006F23C9" w:rsidRPr="007D115F" w:rsidRDefault="006F23C9" w:rsidP="006F23C9">
      <w:pPr>
        <w:pStyle w:val="NormalHanging12a"/>
      </w:pPr>
      <w:r w:rsidRPr="007D115F">
        <w:t>–</w:t>
      </w:r>
      <w:r w:rsidRPr="007D115F">
        <w:tab/>
        <w:t>der henviser til Revisionsrettens årsberetning om EU-agenturerne for regnskabsåret 2022, med agenturernes svar</w:t>
      </w:r>
      <w:r w:rsidRPr="007D115F">
        <w:rPr>
          <w:rStyle w:val="FootnoteReference"/>
        </w:rPr>
        <w:footnoteReference w:id="1"/>
      </w:r>
      <w:r w:rsidRPr="007D115F">
        <w:t>,</w:t>
      </w:r>
    </w:p>
    <w:p w14:paraId="09096870" w14:textId="77777777" w:rsidR="006F23C9" w:rsidRPr="007D115F" w:rsidRDefault="006F23C9" w:rsidP="006F23C9">
      <w:pPr>
        <w:pStyle w:val="NormalHanging12a"/>
      </w:pPr>
      <w:r w:rsidRPr="007D115F">
        <w:t>–</w:t>
      </w:r>
      <w:r w:rsidRPr="007D115F">
        <w:tab/>
        <w:t>der henviser til Revisionsrettens erklæring</w:t>
      </w:r>
      <w:r w:rsidRPr="007D115F">
        <w:rPr>
          <w:rStyle w:val="FootnoteReference"/>
        </w:rPr>
        <w:footnoteReference w:id="2"/>
      </w:r>
      <w:r w:rsidRPr="007D115F">
        <w:t xml:space="preserve"> for regnskabsåret 2022 om regnskabernes rigtighed og de underliggende transaktioners lovlighed og formelle rigtighed, jf. artikel 287 i traktaten om Den Europæiske Unions funktionsmåde,</w:t>
      </w:r>
    </w:p>
    <w:p w14:paraId="48F850AD" w14:textId="4AC50F90" w:rsidR="006F23C9" w:rsidRPr="007D115F" w:rsidRDefault="006F23C9" w:rsidP="006F23C9">
      <w:pPr>
        <w:pStyle w:val="NormalHanging12a"/>
      </w:pPr>
      <w:r w:rsidRPr="007D115F">
        <w:t>–</w:t>
      </w:r>
      <w:r w:rsidRPr="007D115F">
        <w:tab/>
        <w:t>der henviser til Rådets henstilling af 22. februar 2024 om decharge til centret for gennemførelsen af budgettet for regnskabsåret 2022 (0</w:t>
      </w:r>
      <w:r w:rsidR="0061392E" w:rsidRPr="007D115F">
        <w:t>6180</w:t>
      </w:r>
      <w:r w:rsidRPr="007D115F">
        <w:t>/2024 – C9</w:t>
      </w:r>
      <w:r w:rsidRPr="007D115F">
        <w:noBreakHyphen/>
        <w:t>00</w:t>
      </w:r>
      <w:r w:rsidR="0061392E" w:rsidRPr="007D115F">
        <w:t>85</w:t>
      </w:r>
      <w:r w:rsidRPr="007D115F">
        <w:t>/2024),</w:t>
      </w:r>
    </w:p>
    <w:p w14:paraId="793BDB54" w14:textId="77777777" w:rsidR="006F23C9" w:rsidRPr="007D115F" w:rsidRDefault="006F23C9" w:rsidP="006F23C9">
      <w:pPr>
        <w:pStyle w:val="NormalHanging12a"/>
      </w:pPr>
      <w:r w:rsidRPr="007D115F">
        <w:t>–</w:t>
      </w:r>
      <w:r w:rsidRPr="007D115F">
        <w:tab/>
        <w:t>der henviser til artikel 319 i traktaten om Den Europæiske Unions funktionsmåde,</w:t>
      </w:r>
    </w:p>
    <w:p w14:paraId="085A2798" w14:textId="77777777" w:rsidR="006F23C9" w:rsidRPr="007D115F" w:rsidRDefault="006F23C9" w:rsidP="006F23C9">
      <w:pPr>
        <w:pStyle w:val="NormalHanging12a"/>
      </w:pPr>
      <w:r w:rsidRPr="007D115F">
        <w:t>–</w:t>
      </w:r>
      <w:r w:rsidRPr="007D115F">
        <w:tab/>
        <w:t xml:space="preserve">der henviser til Europa-Parlamentets og Rådets forordning (EU, </w:t>
      </w:r>
      <w:proofErr w:type="spellStart"/>
      <w:r w:rsidRPr="007D115F">
        <w:t>Euratom</w:t>
      </w:r>
      <w:proofErr w:type="spellEnd"/>
      <w:r w:rsidRPr="007D115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7D115F">
        <w:t>Euratom</w:t>
      </w:r>
      <w:proofErr w:type="spellEnd"/>
      <w:r w:rsidRPr="007D115F">
        <w:t>) nr. 966/2012</w:t>
      </w:r>
      <w:r w:rsidRPr="007D115F">
        <w:rPr>
          <w:rStyle w:val="FootnoteReference"/>
        </w:rPr>
        <w:footnoteReference w:id="3"/>
      </w:r>
      <w:r w:rsidRPr="007D115F">
        <w:t>, særlig artikel 70,</w:t>
      </w:r>
    </w:p>
    <w:p w14:paraId="05ADB249" w14:textId="77777777" w:rsidR="006F23C9" w:rsidRPr="007D115F" w:rsidRDefault="006F23C9" w:rsidP="006F23C9">
      <w:pPr>
        <w:pStyle w:val="NormalHanging12a"/>
      </w:pPr>
      <w:r w:rsidRPr="007D115F">
        <w:t>–</w:t>
      </w:r>
      <w:r w:rsidRPr="007D115F">
        <w:tab/>
        <w:t>der henviser til Europa-Parlamentets og Rådets forordning (EF) nr. 851/2004 af 21. april 2004 om oprettelse af et europæisk center for forebyggelse af og kontrol med sygdomme</w:t>
      </w:r>
      <w:r w:rsidRPr="007D115F">
        <w:rPr>
          <w:rStyle w:val="FootnoteReference"/>
        </w:rPr>
        <w:footnoteReference w:id="4"/>
      </w:r>
      <w:r w:rsidRPr="007D115F">
        <w:t>, særlig artikel 23,</w:t>
      </w:r>
    </w:p>
    <w:p w14:paraId="739D599B" w14:textId="77777777" w:rsidR="006F23C9" w:rsidRPr="007D115F" w:rsidRDefault="006F23C9" w:rsidP="006F23C9">
      <w:pPr>
        <w:pStyle w:val="NormalHanging12a"/>
      </w:pPr>
      <w:r w:rsidRPr="007D115F">
        <w:t>–</w:t>
      </w:r>
      <w:r w:rsidRPr="007D115F">
        <w:tab/>
        <w:t xml:space="preserve">der henviser til Kommissionens delegerede forordning (EU) 2019/715 af </w:t>
      </w:r>
      <w:r w:rsidRPr="007D115F">
        <w:lastRenderedPageBreak/>
        <w:t xml:space="preserve">18. december 2018 om </w:t>
      </w:r>
      <w:proofErr w:type="spellStart"/>
      <w:r w:rsidRPr="007D115F">
        <w:t>rammefinansforordningen</w:t>
      </w:r>
      <w:proofErr w:type="spellEnd"/>
      <w:r w:rsidRPr="007D115F">
        <w:t xml:space="preserve"> for de organer, der er nedsat i henhold til TEUF og </w:t>
      </w:r>
      <w:proofErr w:type="spellStart"/>
      <w:r w:rsidRPr="007D115F">
        <w:t>Euratomtraktaten</w:t>
      </w:r>
      <w:proofErr w:type="spellEnd"/>
      <w:r w:rsidRPr="007D115F">
        <w:t xml:space="preserve"> og omhandlet i artikel 70 i Europa-Parlamentets og Rådets forordning (EU, </w:t>
      </w:r>
      <w:proofErr w:type="spellStart"/>
      <w:r w:rsidRPr="007D115F">
        <w:t>Euratom</w:t>
      </w:r>
      <w:proofErr w:type="spellEnd"/>
      <w:r w:rsidRPr="007D115F">
        <w:t>) 2018/1046</w:t>
      </w:r>
      <w:r w:rsidRPr="007D115F">
        <w:rPr>
          <w:rStyle w:val="FootnoteReference"/>
        </w:rPr>
        <w:footnoteReference w:id="5"/>
      </w:r>
      <w:r w:rsidRPr="007D115F">
        <w:t>, særlig artikel 105,</w:t>
      </w:r>
    </w:p>
    <w:p w14:paraId="76838D43" w14:textId="77777777" w:rsidR="006F23C9" w:rsidRPr="007D115F" w:rsidRDefault="006F23C9" w:rsidP="006F23C9">
      <w:pPr>
        <w:pStyle w:val="NormalHanging12a"/>
      </w:pPr>
      <w:r w:rsidRPr="007D115F">
        <w:t>–</w:t>
      </w:r>
      <w:r w:rsidRPr="007D115F">
        <w:tab/>
        <w:t>der henviser til forretningsordenens artikel 100 og bilag V,</w:t>
      </w:r>
    </w:p>
    <w:p w14:paraId="2FCF2A38" w14:textId="77777777" w:rsidR="006F23C9" w:rsidRPr="007D115F" w:rsidRDefault="006F23C9" w:rsidP="006F23C9">
      <w:pPr>
        <w:pStyle w:val="NormalHanging12a"/>
      </w:pPr>
      <w:r w:rsidRPr="007D115F">
        <w:t>–</w:t>
      </w:r>
      <w:r w:rsidRPr="007D115F">
        <w:tab/>
        <w:t>der henviser til udtalelse fra Udvalget om Miljø, Folkesundhed og Fødevaresikkerhed,</w:t>
      </w:r>
    </w:p>
    <w:p w14:paraId="399368F5" w14:textId="77777777" w:rsidR="006F23C9" w:rsidRPr="007D115F" w:rsidRDefault="006F23C9" w:rsidP="006F23C9">
      <w:pPr>
        <w:pStyle w:val="NormalHanging12a"/>
      </w:pPr>
      <w:r w:rsidRPr="007D115F">
        <w:t>–</w:t>
      </w:r>
      <w:r w:rsidRPr="007D115F">
        <w:tab/>
        <w:t>der henviser til betænkning fra Budgetkontroludvalget (A9-0109/2024),</w:t>
      </w:r>
    </w:p>
    <w:p w14:paraId="672E44D6" w14:textId="77777777" w:rsidR="006F23C9" w:rsidRPr="007D115F" w:rsidRDefault="006F23C9" w:rsidP="006F23C9">
      <w:pPr>
        <w:pStyle w:val="NormalHanging12a"/>
      </w:pPr>
      <w:r w:rsidRPr="007D115F">
        <w:t>1.</w:t>
      </w:r>
      <w:r w:rsidRPr="007D115F">
        <w:tab/>
        <w:t>meddeler direktøren for Det Europæiske Center for Forebyggelse af og Kontrol med Sygdomme decharge for gennemførelsen af centrets budget for regnskabsåret 2022;</w:t>
      </w:r>
    </w:p>
    <w:p w14:paraId="7513AAAB" w14:textId="77777777" w:rsidR="006F23C9" w:rsidRPr="007D115F" w:rsidRDefault="006F23C9" w:rsidP="006F23C9">
      <w:pPr>
        <w:pStyle w:val="NormalHanging12a"/>
      </w:pPr>
      <w:r w:rsidRPr="007D115F">
        <w:t>2.</w:t>
      </w:r>
      <w:r w:rsidRPr="007D115F">
        <w:tab/>
        <w:t>fremsætter sine bemærkninger i nedenstående beslutning;</w:t>
      </w:r>
    </w:p>
    <w:p w14:paraId="0E8755AA" w14:textId="77777777" w:rsidR="006F23C9" w:rsidRPr="007D115F" w:rsidRDefault="006F23C9" w:rsidP="006F23C9">
      <w:pPr>
        <w:pStyle w:val="NormalHanging12a"/>
      </w:pPr>
      <w:r w:rsidRPr="007D115F">
        <w:t>3.</w:t>
      </w:r>
      <w:r w:rsidRPr="007D115F">
        <w:tab/>
        <w:t xml:space="preserve">pålægger sin formand at sende denne afgørelse og beslutningen, der er en integrerende del heraf, til direktøren for Det Europæiske Center for Forebyggelse af og Kontrol med Sygdomme, Rådet, Kommissionen og Revisionsretten og drage omsorg for, at de offentliggøres i </w:t>
      </w:r>
      <w:r w:rsidRPr="007D115F">
        <w:rPr>
          <w:i/>
          <w:iCs/>
        </w:rPr>
        <w:t>Den Europæiske Unions Tidende</w:t>
      </w:r>
      <w:r w:rsidRPr="007D115F">
        <w:t xml:space="preserve"> (L-udgaven).</w:t>
      </w:r>
    </w:p>
    <w:p w14:paraId="78EE11D4" w14:textId="77777777" w:rsidR="006F23C9" w:rsidRPr="007D115F" w:rsidRDefault="006F23C9" w:rsidP="006F23C9"/>
    <w:p w14:paraId="602EDF42" w14:textId="77777777" w:rsidR="006F23C9" w:rsidRPr="007D115F" w:rsidRDefault="006F23C9" w:rsidP="006F23C9">
      <w:pPr>
        <w:widowControl/>
        <w:rPr>
          <w:rFonts w:ascii="Arial" w:hAnsi="Arial" w:cs="Arial"/>
          <w:b/>
        </w:rPr>
        <w:sectPr w:rsidR="006F23C9" w:rsidRPr="007D115F" w:rsidSect="00C11AA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0137E0E4" w14:textId="77777777" w:rsidR="006F23C9" w:rsidRPr="007D115F" w:rsidRDefault="006F23C9" w:rsidP="009467EF">
      <w:pPr>
        <w:pStyle w:val="ATHeading3"/>
      </w:pPr>
      <w:bookmarkStart w:id="8" w:name="_Toc161158419"/>
      <w:bookmarkStart w:id="9" w:name="_Toc161900941"/>
      <w:r w:rsidRPr="007D115F">
        <w:lastRenderedPageBreak/>
        <w:t xml:space="preserve">2. </w:t>
      </w:r>
      <w:r w:rsidR="009467EF" w:rsidRPr="007D115F">
        <w:t>Europa-Parlamentets afgørelse</w:t>
      </w:r>
      <w:bookmarkEnd w:id="8"/>
      <w:bookmarkEnd w:id="9"/>
      <w:r w:rsidR="009467EF" w:rsidRPr="007D115F">
        <w:t xml:space="preserve"> af 11. april 2024 </w:t>
      </w:r>
      <w:r w:rsidRPr="007D115F">
        <w:t>om afslutning af regnskaberne for Det Europæiske Center for Forebyggelse af og Kontrol med Sygdomme for regnskabsåret 2022</w:t>
      </w:r>
      <w:r w:rsidR="009467EF" w:rsidRPr="007D115F">
        <w:t xml:space="preserve"> </w:t>
      </w:r>
      <w:r w:rsidRPr="007D115F">
        <w:t>(2023/2147(DEC))</w:t>
      </w:r>
    </w:p>
    <w:p w14:paraId="57BB2C3F" w14:textId="77777777" w:rsidR="006F23C9" w:rsidRPr="007D115F" w:rsidRDefault="006F23C9" w:rsidP="006F23C9">
      <w:pPr>
        <w:pStyle w:val="EPComma"/>
      </w:pPr>
      <w:r w:rsidRPr="007D115F">
        <w:rPr>
          <w:i/>
          <w:iCs/>
        </w:rPr>
        <w:t>Europa-Parlamentet,</w:t>
      </w:r>
    </w:p>
    <w:p w14:paraId="429D472D" w14:textId="77777777" w:rsidR="006F23C9" w:rsidRPr="007D115F" w:rsidRDefault="006F23C9" w:rsidP="006F23C9">
      <w:pPr>
        <w:pStyle w:val="NormalHanging12a"/>
      </w:pPr>
      <w:r w:rsidRPr="007D115F">
        <w:t>–</w:t>
      </w:r>
      <w:r w:rsidRPr="007D115F">
        <w:tab/>
        <w:t>der henviser til det endelige årsregnskab for Det Europæiske Center for Forebyggelse af og Kontrol med Sygdomme for regnskabsåret 2022,</w:t>
      </w:r>
    </w:p>
    <w:p w14:paraId="26C069EF" w14:textId="77777777" w:rsidR="006F23C9" w:rsidRPr="007D115F" w:rsidRDefault="006F23C9" w:rsidP="006F23C9">
      <w:pPr>
        <w:pStyle w:val="NormalHanging12a"/>
      </w:pPr>
      <w:r w:rsidRPr="007D115F">
        <w:t>–</w:t>
      </w:r>
      <w:r w:rsidRPr="007D115F">
        <w:tab/>
        <w:t>der henviser til Revisionsrettens årsberetning om EU-agenturerne for regnskabsåret 2022, med agenturernes svar</w:t>
      </w:r>
      <w:r w:rsidRPr="007D115F">
        <w:rPr>
          <w:rStyle w:val="FootnoteReference"/>
        </w:rPr>
        <w:footnoteReference w:id="6"/>
      </w:r>
      <w:r w:rsidRPr="007D115F">
        <w:t>,</w:t>
      </w:r>
    </w:p>
    <w:p w14:paraId="3EACAE78" w14:textId="77777777" w:rsidR="006F23C9" w:rsidRPr="007D115F" w:rsidRDefault="006F23C9" w:rsidP="006F23C9">
      <w:pPr>
        <w:pStyle w:val="NormalHanging12a"/>
      </w:pPr>
      <w:r w:rsidRPr="007D115F">
        <w:t>–</w:t>
      </w:r>
      <w:r w:rsidRPr="007D115F">
        <w:tab/>
        <w:t>der henviser til Revisionsrettens erklæring</w:t>
      </w:r>
      <w:r w:rsidRPr="007D115F">
        <w:rPr>
          <w:rStyle w:val="FootnoteReference"/>
        </w:rPr>
        <w:footnoteReference w:id="7"/>
      </w:r>
      <w:r w:rsidRPr="007D115F">
        <w:t xml:space="preserve"> for regnskabsåret 2022 om regnskabernes rigtighed og de underliggende transaktioners lovlighed og formelle rigtighed, jf. artikel 287 i traktaten om Den Europæiske Unions funktionsmåde,</w:t>
      </w:r>
    </w:p>
    <w:p w14:paraId="01AE17BA" w14:textId="31999C68" w:rsidR="006F23C9" w:rsidRPr="007D115F" w:rsidRDefault="006F23C9" w:rsidP="006F23C9">
      <w:pPr>
        <w:pStyle w:val="NormalHanging12a"/>
      </w:pPr>
      <w:r w:rsidRPr="007D115F">
        <w:t>–</w:t>
      </w:r>
      <w:r w:rsidRPr="007D115F">
        <w:tab/>
        <w:t>der henviser til Rådets henstilling af 22. februar 2024 om decharge til centret for gennemførelsen af budgettet for regnskabsåret 2022 (0</w:t>
      </w:r>
      <w:r w:rsidR="0061392E" w:rsidRPr="007D115F">
        <w:t>6180</w:t>
      </w:r>
      <w:r w:rsidRPr="007D115F">
        <w:t>/2024 – C9</w:t>
      </w:r>
      <w:r w:rsidRPr="007D115F">
        <w:noBreakHyphen/>
        <w:t>00</w:t>
      </w:r>
      <w:r w:rsidR="0061392E" w:rsidRPr="007D115F">
        <w:t>85</w:t>
      </w:r>
      <w:r w:rsidRPr="007D115F">
        <w:t>/2024),</w:t>
      </w:r>
    </w:p>
    <w:p w14:paraId="0ED0DDCA" w14:textId="77777777" w:rsidR="006F23C9" w:rsidRPr="007D115F" w:rsidRDefault="006F23C9" w:rsidP="006F23C9">
      <w:pPr>
        <w:pStyle w:val="NormalHanging12a"/>
      </w:pPr>
      <w:r w:rsidRPr="007D115F">
        <w:t>–</w:t>
      </w:r>
      <w:r w:rsidRPr="007D115F">
        <w:tab/>
        <w:t>der henviser til artikel 319 i traktaten om Den Europæiske Unions funktionsmåde,</w:t>
      </w:r>
    </w:p>
    <w:p w14:paraId="7DD95018" w14:textId="77777777" w:rsidR="006F23C9" w:rsidRPr="007D115F" w:rsidRDefault="006F23C9" w:rsidP="006F23C9">
      <w:pPr>
        <w:pStyle w:val="NormalHanging12a"/>
      </w:pPr>
      <w:r w:rsidRPr="007D115F">
        <w:t>–</w:t>
      </w:r>
      <w:r w:rsidRPr="007D115F">
        <w:tab/>
        <w:t xml:space="preserve">der henviser til Europa-Parlamentets og Rådets forordning (EU, </w:t>
      </w:r>
      <w:proofErr w:type="spellStart"/>
      <w:r w:rsidRPr="007D115F">
        <w:t>Euratom</w:t>
      </w:r>
      <w:proofErr w:type="spellEnd"/>
      <w:r w:rsidRPr="007D115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7D115F">
        <w:t>Euratom</w:t>
      </w:r>
      <w:proofErr w:type="spellEnd"/>
      <w:r w:rsidRPr="007D115F">
        <w:t>) nr. 966/2012</w:t>
      </w:r>
      <w:r w:rsidRPr="007D115F">
        <w:rPr>
          <w:rStyle w:val="FootnoteReference"/>
        </w:rPr>
        <w:footnoteReference w:id="8"/>
      </w:r>
      <w:r w:rsidRPr="007D115F">
        <w:t>, særlig artikel 70,</w:t>
      </w:r>
    </w:p>
    <w:p w14:paraId="14E2A507" w14:textId="77777777" w:rsidR="006F23C9" w:rsidRPr="007D115F" w:rsidRDefault="006F23C9" w:rsidP="006F23C9">
      <w:pPr>
        <w:pStyle w:val="NormalHanging12a"/>
      </w:pPr>
      <w:r w:rsidRPr="007D115F">
        <w:t>–</w:t>
      </w:r>
      <w:r w:rsidRPr="007D115F">
        <w:tab/>
        <w:t>der henviser til Europa-Parlamentets og Rådets forordning (EF) nr. 851/2004 af 21. april 2004 om oprettelse af et europæisk center for forebyggelse af og kontrol med sygdomme</w:t>
      </w:r>
      <w:r w:rsidRPr="007D115F">
        <w:rPr>
          <w:rStyle w:val="FootnoteReference"/>
        </w:rPr>
        <w:footnoteReference w:id="9"/>
      </w:r>
      <w:r w:rsidRPr="007D115F">
        <w:t>, særlig artikel 23,</w:t>
      </w:r>
    </w:p>
    <w:p w14:paraId="55E1BE34" w14:textId="77777777" w:rsidR="006F23C9" w:rsidRPr="007D115F" w:rsidRDefault="006F23C9" w:rsidP="006F23C9">
      <w:pPr>
        <w:pStyle w:val="NormalHanging12a"/>
      </w:pPr>
      <w:r w:rsidRPr="007D115F">
        <w:t>–</w:t>
      </w:r>
      <w:r w:rsidRPr="007D115F">
        <w:tab/>
        <w:t xml:space="preserve">der henviser til Kommissionens delegerede forordning (EU) 2019/715 af 18. december 2018 om </w:t>
      </w:r>
      <w:proofErr w:type="spellStart"/>
      <w:r w:rsidRPr="007D115F">
        <w:t>rammefinansforordningen</w:t>
      </w:r>
      <w:proofErr w:type="spellEnd"/>
      <w:r w:rsidRPr="007D115F">
        <w:t xml:space="preserve"> for de organer, der er nedsat i henhold til TEUF og </w:t>
      </w:r>
      <w:proofErr w:type="spellStart"/>
      <w:r w:rsidRPr="007D115F">
        <w:t>Euratomtraktaten</w:t>
      </w:r>
      <w:proofErr w:type="spellEnd"/>
      <w:r w:rsidRPr="007D115F">
        <w:t xml:space="preserve"> og omhandlet i artikel 70 i Europa-Parlamentets og Rådets forordning (EU, </w:t>
      </w:r>
      <w:proofErr w:type="spellStart"/>
      <w:r w:rsidRPr="007D115F">
        <w:t>Euratom</w:t>
      </w:r>
      <w:proofErr w:type="spellEnd"/>
      <w:r w:rsidRPr="007D115F">
        <w:t>) 2018/1046</w:t>
      </w:r>
      <w:r w:rsidRPr="007D115F">
        <w:rPr>
          <w:rStyle w:val="FootnoteReference"/>
        </w:rPr>
        <w:footnoteReference w:id="10"/>
      </w:r>
      <w:r w:rsidRPr="007D115F">
        <w:t>, særlig artikel 105,</w:t>
      </w:r>
    </w:p>
    <w:p w14:paraId="504AC7BA" w14:textId="77777777" w:rsidR="006F23C9" w:rsidRPr="007D115F" w:rsidRDefault="006F23C9" w:rsidP="006F23C9">
      <w:pPr>
        <w:pStyle w:val="NormalHanging12a"/>
      </w:pPr>
      <w:r w:rsidRPr="007D115F">
        <w:t>–</w:t>
      </w:r>
      <w:r w:rsidRPr="007D115F">
        <w:tab/>
        <w:t>der henviser til forretningsordenens artikel 100 og bilag V,</w:t>
      </w:r>
    </w:p>
    <w:p w14:paraId="5FDD078E" w14:textId="77777777" w:rsidR="006F23C9" w:rsidRPr="007D115F" w:rsidRDefault="006F23C9" w:rsidP="006F23C9">
      <w:pPr>
        <w:pStyle w:val="NormalHanging12a"/>
      </w:pPr>
      <w:r w:rsidRPr="007D115F">
        <w:t>–</w:t>
      </w:r>
      <w:r w:rsidRPr="007D115F">
        <w:tab/>
        <w:t>der henviser til udtalelse fra Udvalget om Miljø, Folkesundhed og Fødevaresikkerhed,</w:t>
      </w:r>
    </w:p>
    <w:p w14:paraId="3D77BC63" w14:textId="77777777" w:rsidR="006F23C9" w:rsidRPr="007D115F" w:rsidRDefault="006F23C9" w:rsidP="006F23C9">
      <w:pPr>
        <w:pStyle w:val="NormalHanging12a"/>
      </w:pPr>
      <w:r w:rsidRPr="007D115F">
        <w:t>–</w:t>
      </w:r>
      <w:r w:rsidRPr="007D115F">
        <w:tab/>
        <w:t>der henviser til betænkning fra Budgetkontroludvalget (A9-0109/2024),</w:t>
      </w:r>
    </w:p>
    <w:p w14:paraId="3582E7B9" w14:textId="77777777" w:rsidR="006F23C9" w:rsidRPr="007D115F" w:rsidRDefault="006F23C9" w:rsidP="006F23C9">
      <w:pPr>
        <w:pStyle w:val="NormalHanging12a"/>
      </w:pPr>
      <w:r w:rsidRPr="007D115F">
        <w:t>1.</w:t>
      </w:r>
      <w:r w:rsidRPr="007D115F">
        <w:tab/>
        <w:t>godkender afslutningen af regnskaberne for Det Europæiske Center for Forebyggelse af og Kontrol med Sygdomme for regnskabsåret 2022;</w:t>
      </w:r>
    </w:p>
    <w:p w14:paraId="7A00822A" w14:textId="77777777" w:rsidR="006F23C9" w:rsidRPr="007D115F" w:rsidRDefault="006F23C9" w:rsidP="006F23C9">
      <w:pPr>
        <w:pStyle w:val="NormalHanging12a"/>
      </w:pPr>
      <w:r w:rsidRPr="007D115F">
        <w:lastRenderedPageBreak/>
        <w:t>2.</w:t>
      </w:r>
      <w:r w:rsidRPr="007D115F">
        <w:tab/>
        <w:t xml:space="preserve">pålægger sin formand at sende denne afgørelse til direktøren for Det Europæiske Center for Forebyggelse af og Kontrol med Sygdomme, Rådet, Kommissionen og Revisionsretten og drage omsorg for, at den offentliggøres i </w:t>
      </w:r>
      <w:r w:rsidRPr="007D115F">
        <w:rPr>
          <w:i/>
          <w:iCs/>
        </w:rPr>
        <w:t>Den Europæiske Unions Tidende</w:t>
      </w:r>
      <w:r w:rsidRPr="007D115F">
        <w:t xml:space="preserve"> (L-udgaven).</w:t>
      </w:r>
    </w:p>
    <w:p w14:paraId="008E7CEC" w14:textId="77777777" w:rsidR="006F23C9" w:rsidRPr="007D115F" w:rsidRDefault="006F23C9" w:rsidP="006F23C9"/>
    <w:p w14:paraId="755B205B" w14:textId="77777777" w:rsidR="006F23C9" w:rsidRPr="007D115F" w:rsidRDefault="006F23C9" w:rsidP="006F23C9">
      <w:pPr>
        <w:widowControl/>
        <w:rPr>
          <w:rFonts w:ascii="Arial" w:hAnsi="Arial" w:cs="Arial"/>
          <w:b/>
        </w:rPr>
        <w:sectPr w:rsidR="006F23C9" w:rsidRPr="007D115F" w:rsidSect="00C11AAB">
          <w:footnotePr>
            <w:numRestart w:val="eachPage"/>
          </w:footnotePr>
          <w:endnotePr>
            <w:numFmt w:val="decimal"/>
          </w:endnotePr>
          <w:pgSz w:w="11906" w:h="16838"/>
          <w:pgMar w:top="1134" w:right="1418" w:bottom="1418" w:left="1418" w:header="567" w:footer="567" w:gutter="0"/>
          <w:cols w:space="720"/>
          <w:docGrid w:linePitch="326"/>
        </w:sectPr>
      </w:pPr>
    </w:p>
    <w:p w14:paraId="43F52CDC" w14:textId="77777777" w:rsidR="006F23C9" w:rsidRPr="007D115F" w:rsidRDefault="006F23C9" w:rsidP="009467EF">
      <w:pPr>
        <w:pStyle w:val="ATHeading3"/>
      </w:pPr>
      <w:bookmarkStart w:id="11" w:name="_Toc161158420"/>
      <w:bookmarkStart w:id="12" w:name="_Toc161900942"/>
      <w:r w:rsidRPr="007D115F">
        <w:lastRenderedPageBreak/>
        <w:t xml:space="preserve">3. </w:t>
      </w:r>
      <w:r w:rsidR="009467EF" w:rsidRPr="007D115F">
        <w:t>Europa-Parlamentets beslutning</w:t>
      </w:r>
      <w:bookmarkEnd w:id="11"/>
      <w:bookmarkEnd w:id="12"/>
      <w:r w:rsidR="009467EF" w:rsidRPr="007D115F">
        <w:t xml:space="preserve"> af 11. april 2024 </w:t>
      </w:r>
      <w:r w:rsidRPr="007D115F">
        <w:t>med bemærkningerne, der er en integrerende del af afgørelsen om decharge for gennemførelsen af budgettet for Det Europæiske Center for Forebyggelse af og Kontrol med Sygdomme for regnskabsåret 2022</w:t>
      </w:r>
      <w:r w:rsidR="009467EF" w:rsidRPr="007D115F">
        <w:t xml:space="preserve"> </w:t>
      </w:r>
      <w:r w:rsidRPr="007D115F">
        <w:t>(2023/2147(DEC))</w:t>
      </w:r>
    </w:p>
    <w:p w14:paraId="2FC6C538" w14:textId="77777777" w:rsidR="006F23C9" w:rsidRPr="007D115F" w:rsidRDefault="006F23C9" w:rsidP="006F23C9">
      <w:pPr>
        <w:pStyle w:val="EPComma"/>
      </w:pPr>
      <w:r w:rsidRPr="007D115F">
        <w:rPr>
          <w:i/>
          <w:iCs/>
        </w:rPr>
        <w:t>Europa-Parlamentet,</w:t>
      </w:r>
    </w:p>
    <w:p w14:paraId="7788D240" w14:textId="77777777" w:rsidR="006F23C9" w:rsidRPr="007D115F" w:rsidRDefault="006F23C9" w:rsidP="006F23C9">
      <w:pPr>
        <w:pStyle w:val="NormalHanging12a"/>
      </w:pPr>
      <w:r w:rsidRPr="007D115F">
        <w:t>–</w:t>
      </w:r>
      <w:r w:rsidRPr="007D115F">
        <w:tab/>
        <w:t>der henviser til sin afgørelse om decharge for gennemførelsen af budgettet for Det Europæiske Center for Forebyggelse af og Kontrol med Sygdomme for regnskabsåret 2022,</w:t>
      </w:r>
    </w:p>
    <w:p w14:paraId="56F6EA71" w14:textId="77777777" w:rsidR="006F23C9" w:rsidRPr="007D115F" w:rsidRDefault="006F23C9" w:rsidP="006F23C9">
      <w:pPr>
        <w:pStyle w:val="NormalHanging12a"/>
      </w:pPr>
      <w:r w:rsidRPr="007D115F">
        <w:t>–</w:t>
      </w:r>
      <w:r w:rsidRPr="007D115F">
        <w:tab/>
        <w:t>der henviser til forretningsordenens artikel 100 og bilag V,</w:t>
      </w:r>
    </w:p>
    <w:p w14:paraId="598CE15E" w14:textId="77777777" w:rsidR="006F23C9" w:rsidRPr="007D115F" w:rsidRDefault="006F23C9" w:rsidP="006F23C9">
      <w:pPr>
        <w:pStyle w:val="NormalHanging12a"/>
      </w:pPr>
      <w:r w:rsidRPr="007D115F">
        <w:t>–</w:t>
      </w:r>
      <w:r w:rsidRPr="007D115F">
        <w:tab/>
        <w:t>der henviser til udtalelse fra Udvalget om Miljø, Folkesundhed og Fødevaresikkerhed,</w:t>
      </w:r>
    </w:p>
    <w:p w14:paraId="0CAEB7B5" w14:textId="77777777" w:rsidR="006F23C9" w:rsidRPr="007D115F" w:rsidRDefault="006F23C9" w:rsidP="006F23C9">
      <w:pPr>
        <w:pStyle w:val="NormalHanging12a"/>
      </w:pPr>
      <w:r w:rsidRPr="007D115F">
        <w:t>–</w:t>
      </w:r>
      <w:r w:rsidRPr="007D115F">
        <w:tab/>
        <w:t>der henviser til betænkning fra Budgetkontroludvalget (A9-0109/2024),</w:t>
      </w:r>
    </w:p>
    <w:p w14:paraId="25CA4517" w14:textId="77777777" w:rsidR="006F23C9" w:rsidRPr="007D115F" w:rsidRDefault="006F23C9" w:rsidP="006F23C9">
      <w:pPr>
        <w:widowControl/>
        <w:spacing w:after="240"/>
        <w:ind w:left="567" w:hanging="567"/>
        <w:rPr>
          <w:szCs w:val="24"/>
        </w:rPr>
      </w:pPr>
      <w:r w:rsidRPr="007D115F">
        <w:t>A.</w:t>
      </w:r>
      <w:r w:rsidRPr="007D115F">
        <w:tab/>
        <w:t>der henviser til, at det endelige budget for Det Europæiske Center for Forebyggelse af og Kontrol med Sygdomme ("centret") for regnskabsåret 2022 ifølge dets oversigt over indtægter og udgifter</w:t>
      </w:r>
      <w:r w:rsidRPr="007D115F">
        <w:rPr>
          <w:rStyle w:val="FootnoteReference"/>
          <w:szCs w:val="24"/>
        </w:rPr>
        <w:footnoteReference w:id="11"/>
      </w:r>
      <w:r w:rsidRPr="007D115F">
        <w:t xml:space="preserve"> var på 99 872 000 EUR, hvilket svarer til et fald på 40,59 % i forhold til 2021 som følge af ændringer i tilskuddene fra Myndigheden for Kriseberedskab og -indsats på Sundhedsområdet (HERA); der henviser til, at centrets budget primært stammer fra Unionens budget;</w:t>
      </w:r>
    </w:p>
    <w:p w14:paraId="5BC94EE2" w14:textId="77777777" w:rsidR="006F23C9" w:rsidRPr="007D115F" w:rsidRDefault="006F23C9" w:rsidP="006F23C9">
      <w:pPr>
        <w:widowControl/>
        <w:spacing w:after="240"/>
        <w:ind w:left="567" w:hanging="567"/>
        <w:rPr>
          <w:szCs w:val="24"/>
        </w:rPr>
      </w:pPr>
      <w:r w:rsidRPr="007D115F">
        <w:t>B.</w:t>
      </w:r>
      <w:r w:rsidRPr="007D115F">
        <w:tab/>
        <w:t>der henviser til, at Revisionsretten i sin beretning om centrets årsregnskab for regnskabsåret 2022 ("Revisionsrettens beretning") fastslår, at den har fået rimelig sikkerhed for, at centrets årsregnskab er rigtigt, og at de underliggende transaktioner for så vidt angår indtægter er lovlige og formelt rigtige; der henviser til, at Revisionsretten reviderede fire tilskudsaftaler til en samlet værdi af 7,9 mio. EUR og konstaterede, at tre af disse medtog moms til en værdi af 0,6 mio. EUR (8,1 %) blandt de støtteberettigede omkostninger; der henviser til, at støttemodtagerne udøvede virksomhed som offentlige myndigheder, hvorfor moms ikke er en støtteberettiget omkostning i henhold til finansforordningens artikel 186, stk. 4, litra c); der henviser til, at det anslåede samlede beløb af udgifter, som ikke var i overensstemmelse med reglerne baseret på momssatsen og -beløbet i ovennævnte stikprøve, udgør 2,8 % af de samlede betalingsbevillinger, der var tilgængelige i 2022, hvilket overstiger den væsentlighedstærskel, der er fastsat for revisionen, og derfor resulterede i en erklæring med forbehold om lovligheden og den formelle rigtighed af de betalinger, der ligger til grund for centrets regnskaber; der henviser til, at Revisionsretten – når der ses bort fra det, der forklares ovenfor – konkluderede, at de transaktioner for så vidt angår indtægter og betalinger, der ligger til grund for centrets regnskaber for det regnskabsår, der afsluttedes den 31. december 2022, i alt væsentligt er lovlige og formelt rigtige;</w:t>
      </w:r>
    </w:p>
    <w:p w14:paraId="54E41189" w14:textId="77777777" w:rsidR="006F23C9" w:rsidRPr="007D115F" w:rsidRDefault="006F23C9" w:rsidP="006F23C9">
      <w:pPr>
        <w:widowControl/>
        <w:spacing w:after="240"/>
        <w:ind w:left="567" w:hanging="567"/>
        <w:rPr>
          <w:szCs w:val="24"/>
        </w:rPr>
      </w:pPr>
      <w:r w:rsidRPr="007D115F">
        <w:t>C.</w:t>
      </w:r>
      <w:r w:rsidRPr="007D115F">
        <w:tab/>
        <w:t>der henviser til, at der med hensyn til centrets udbudsafdeling ikke blev indberettet nogen problemer, der nødvendiggjorde korrigerende foranstaltninger for 2022, og at der heller ikke er igangværende eller udestående korrigerende foranstaltninger fra tidligere års revisioner og vurderinger;</w:t>
      </w:r>
    </w:p>
    <w:p w14:paraId="4C81A204" w14:textId="77777777" w:rsidR="006F23C9" w:rsidRPr="007D115F" w:rsidRDefault="006F23C9" w:rsidP="006F23C9">
      <w:pPr>
        <w:pStyle w:val="ListParagraph"/>
        <w:spacing w:after="240"/>
        <w:ind w:left="567" w:hanging="567"/>
        <w:contextualSpacing w:val="0"/>
        <w:jc w:val="left"/>
        <w:rPr>
          <w:rFonts w:eastAsia="Times New Roman"/>
          <w:b/>
          <w:i/>
        </w:rPr>
      </w:pPr>
      <w:r w:rsidRPr="007D115F">
        <w:rPr>
          <w:b/>
          <w:i/>
        </w:rPr>
        <w:lastRenderedPageBreak/>
        <w:t>Budgetmæssig og økonomisk forvaltning</w:t>
      </w:r>
    </w:p>
    <w:p w14:paraId="243146DA" w14:textId="77777777" w:rsidR="006F23C9" w:rsidRPr="007D115F" w:rsidRDefault="006F23C9" w:rsidP="006F23C9">
      <w:pPr>
        <w:pStyle w:val="ListParagraph"/>
        <w:spacing w:after="240"/>
        <w:ind w:left="567" w:hanging="567"/>
        <w:contextualSpacing w:val="0"/>
        <w:jc w:val="left"/>
      </w:pPr>
      <w:r w:rsidRPr="007D115F">
        <w:t>1.</w:t>
      </w:r>
      <w:r w:rsidRPr="007D115F">
        <w:tab/>
        <w:t>bemærker med tilfredshed, at budgetovervågningsindsatsen i regnskabsåret 2022 resulterede i en budgetgennemførelsesgrad for forpligtelsesbevillingerne for det pågældende år på 98,86 %, hvilket svarer til en stigning på 0,49 % i forhold til 2021; bemærker, at udnyttelsesgraden for betalingsbevillingerne var på 73,61 %, hvilket svarer til en stigning på 9,53 % i forhold til året før;</w:t>
      </w:r>
    </w:p>
    <w:p w14:paraId="1177D30B" w14:textId="1F6CF25C" w:rsidR="006F23C9" w:rsidRPr="007D115F" w:rsidRDefault="006F23C9" w:rsidP="006F23C9">
      <w:pPr>
        <w:pStyle w:val="NormalHanging12a"/>
      </w:pPr>
      <w:r w:rsidRPr="007D115F">
        <w:t>2.</w:t>
      </w:r>
      <w:r w:rsidRPr="007D115F">
        <w:tab/>
        <w:t>opfordrer Kommissionen til at tildele centret de nødvendige ressourcer til at opfylde målene i strategien for 2021-2027 og til at gennemføre centrets reviderede mandat i henhold til forordning (E</w:t>
      </w:r>
      <w:r w:rsidR="00AD1A5B">
        <w:t>U</w:t>
      </w:r>
      <w:r w:rsidRPr="007D115F">
        <w:t>) 2022/2370</w:t>
      </w:r>
      <w:r w:rsidRPr="007D115F">
        <w:rPr>
          <w:rStyle w:val="FootnoteReference"/>
        </w:rPr>
        <w:footnoteReference w:id="12"/>
      </w:r>
      <w:r w:rsidRPr="007D115F">
        <w:t>;</w:t>
      </w:r>
    </w:p>
    <w:p w14:paraId="3CE8092A" w14:textId="77777777" w:rsidR="006F23C9" w:rsidRPr="007D115F" w:rsidRDefault="006F23C9" w:rsidP="006F23C9">
      <w:pPr>
        <w:widowControl/>
        <w:spacing w:after="240"/>
        <w:ind w:left="567" w:hanging="567"/>
        <w:rPr>
          <w:i/>
          <w:szCs w:val="24"/>
        </w:rPr>
      </w:pPr>
      <w:r w:rsidRPr="007D115F">
        <w:rPr>
          <w:b/>
          <w:i/>
        </w:rPr>
        <w:t>Performance</w:t>
      </w:r>
    </w:p>
    <w:p w14:paraId="2CB464A1" w14:textId="77777777" w:rsidR="006F23C9" w:rsidRPr="007D115F" w:rsidRDefault="006F23C9" w:rsidP="006F23C9">
      <w:pPr>
        <w:pStyle w:val="NormalHanging12a"/>
      </w:pPr>
      <w:r w:rsidRPr="007D115F">
        <w:t>3.</w:t>
      </w:r>
      <w:r w:rsidRPr="007D115F">
        <w:tab/>
        <w:t>minder om, at centret har til opgave at identificere, vurdere og formidle oplysninger om nuværende og nye trusler mod menneskers sundhed som følge af smitsomme sygdomme, og at det arbejder inden for følgende seks områder: overvågning, støtte til beredskab og reaktion på udbrud, videnskabelig rådgivning, mikrobiologisk overvågning, uddannelse i folkesundhed og kommunikation;</w:t>
      </w:r>
    </w:p>
    <w:p w14:paraId="1F853C32" w14:textId="77777777" w:rsidR="006F23C9" w:rsidRPr="007D115F" w:rsidRDefault="006F23C9" w:rsidP="006F23C9">
      <w:pPr>
        <w:pStyle w:val="NormalHanging12a"/>
      </w:pPr>
      <w:r w:rsidRPr="007D115F">
        <w:t>4.</w:t>
      </w:r>
      <w:r w:rsidRPr="007D115F">
        <w:tab/>
        <w:t>bemærker, at centret leverede 89 % af de output, der var planlagt i dets samlede programmeringsdokument for 2022-2024; bemærker, at 8 % af de planlagte output blev udsat, mens 3 % blev forsinket eller annulleret ved årets udgang; noterer sig, at de fleste af de output, der blev udsat eller forsinket, afhang af vedtagelsen og offentliggørelsen af centrets reviderede mandat, som fandt sted i november 2022; opfordrer centret til at analysere de udsatte output og rapportere tilbage til dechargemyndigheden om sin plan for at levere dem;</w:t>
      </w:r>
    </w:p>
    <w:p w14:paraId="55631D7C" w14:textId="77777777" w:rsidR="006F23C9" w:rsidRPr="007D115F" w:rsidRDefault="006F23C9" w:rsidP="006F23C9">
      <w:pPr>
        <w:pStyle w:val="NormalHanging12a"/>
      </w:pPr>
      <w:r w:rsidRPr="007D115F">
        <w:t>5.</w:t>
      </w:r>
      <w:r w:rsidRPr="007D115F">
        <w:tab/>
        <w:t>bemærker, at centret i hele 2022 for tredje år i træk opretholdt sin folkesundhedsmæssige kriseplan som reaktion på den fortsatte covid-19-pandemi; noterer sig, at det folkesundhedsmæssige kriseniveau i juni gradvist blev nedjusteret fra niveau 2 (akut fase) til niveau 1 (opretholdelsesfase); er af den opfattelse, at centret handlede hurtigt og effektivt under hele pandemiperioden; mener, at centret kan spille en større rolle i udformningen af fremtidens europæiske kriseresponsdagsorden;</w:t>
      </w:r>
    </w:p>
    <w:p w14:paraId="566EF749" w14:textId="77777777" w:rsidR="006F23C9" w:rsidRPr="007D115F" w:rsidRDefault="006F23C9" w:rsidP="006F23C9">
      <w:pPr>
        <w:widowControl/>
        <w:spacing w:after="240"/>
        <w:ind w:left="567" w:hanging="567"/>
        <w:rPr>
          <w:szCs w:val="24"/>
        </w:rPr>
      </w:pPr>
      <w:r w:rsidRPr="007D115F">
        <w:t>6.</w:t>
      </w:r>
      <w:r w:rsidRPr="007D115F">
        <w:tab/>
        <w:t>bemærker, at centret – efter Ruslands angreb på Ukraine og tilstrømningen af flygtninge fra Ukraine – samarbejdede med myndighederne i de fem lande, som grænser op til Ukraine, om at levere tekniske og operationelle indsatsforanstaltninger inden for sit ansvarsområde på grundlag af de behov, der var blevet identificeret; noterer sig, at fokus i anden halvdel af året skiftede fra operationel indsats til strategiske indsatsforanstaltninger på mellemlang og lang sigt, og at centrets eksperter blev udsendt til Polen og Rumænien til støtte for de nationale myndigheder og Verdenssundhedsorganisationen, som bistod fordrevne ukrainske flygtningegrupper;</w:t>
      </w:r>
    </w:p>
    <w:p w14:paraId="7A11922B" w14:textId="77777777" w:rsidR="006F23C9" w:rsidRPr="007D115F" w:rsidRDefault="006F23C9" w:rsidP="006F23C9">
      <w:pPr>
        <w:widowControl/>
        <w:spacing w:after="240"/>
        <w:ind w:left="567" w:hanging="567"/>
        <w:rPr>
          <w:szCs w:val="24"/>
        </w:rPr>
      </w:pPr>
      <w:r w:rsidRPr="007D115F">
        <w:t>7.</w:t>
      </w:r>
      <w:r w:rsidRPr="007D115F">
        <w:tab/>
        <w:t xml:space="preserve">bemærker, at centret i løbet af foråret og sommeren 2022 samtidig ydede støtte i forbindelse med tre igangværende folkesundhedskriser, nemlig covid-19, abekopper og hepatitis af ukendt oprindelse hos børn; bemærker med tilfredshed, at denne erfaring var </w:t>
      </w:r>
      <w:r w:rsidRPr="007D115F">
        <w:lastRenderedPageBreak/>
        <w:t>unik for centret og testede grænserne for centrets kapacitet til at udarbejde risikovurderinger og retningslinjer for flere forskellige sundhedstrusler;</w:t>
      </w:r>
    </w:p>
    <w:p w14:paraId="0F2175FB" w14:textId="77777777" w:rsidR="006F23C9" w:rsidRPr="007D115F" w:rsidRDefault="006F23C9" w:rsidP="006F23C9">
      <w:pPr>
        <w:pStyle w:val="NormalHanging12a"/>
      </w:pPr>
      <w:r w:rsidRPr="007D115F">
        <w:t>8.</w:t>
      </w:r>
      <w:r w:rsidRPr="007D115F">
        <w:tab/>
        <w:t>glæder sig over centrets retningslinjer for gennemførelsen af dets styrkede mandat, som trådte i kraft i december 2022, samt omstillingsprogrammet ASPIRE (</w:t>
      </w:r>
      <w:proofErr w:type="spellStart"/>
      <w:r w:rsidRPr="007D115F">
        <w:t>Anticipate</w:t>
      </w:r>
      <w:proofErr w:type="spellEnd"/>
      <w:r w:rsidRPr="007D115F">
        <w:t xml:space="preserve">, Support, </w:t>
      </w:r>
      <w:proofErr w:type="spellStart"/>
      <w:r w:rsidRPr="007D115F">
        <w:t>Prepare</w:t>
      </w:r>
      <w:proofErr w:type="spellEnd"/>
      <w:r w:rsidRPr="007D115F">
        <w:t xml:space="preserve">, </w:t>
      </w:r>
      <w:proofErr w:type="spellStart"/>
      <w:r w:rsidRPr="007D115F">
        <w:t>Inform</w:t>
      </w:r>
      <w:proofErr w:type="spellEnd"/>
      <w:r w:rsidRPr="007D115F">
        <w:t xml:space="preserve">, </w:t>
      </w:r>
      <w:proofErr w:type="spellStart"/>
      <w:r w:rsidRPr="007D115F">
        <w:t>Respond</w:t>
      </w:r>
      <w:proofErr w:type="spellEnd"/>
      <w:r w:rsidRPr="007D115F">
        <w:t xml:space="preserve"> and </w:t>
      </w:r>
      <w:proofErr w:type="spellStart"/>
      <w:r w:rsidRPr="007D115F">
        <w:t>Empower</w:t>
      </w:r>
      <w:proofErr w:type="spellEnd"/>
      <w:r w:rsidRPr="007D115F">
        <w:t>), der er udviklet til at støtte gennemførelsen;</w:t>
      </w:r>
    </w:p>
    <w:p w14:paraId="11B7E97D" w14:textId="77777777" w:rsidR="006F23C9" w:rsidRPr="007D115F" w:rsidRDefault="006F23C9" w:rsidP="006F23C9">
      <w:pPr>
        <w:pStyle w:val="NormalHanging12a"/>
        <w:widowControl/>
        <w:rPr>
          <w:b/>
          <w:i/>
        </w:rPr>
      </w:pPr>
      <w:r w:rsidRPr="007D115F">
        <w:rPr>
          <w:b/>
          <w:i/>
        </w:rPr>
        <w:t>Effektivitet og gevinster</w:t>
      </w:r>
    </w:p>
    <w:p w14:paraId="578528F1" w14:textId="6D12091C" w:rsidR="006F23C9" w:rsidRPr="007D115F" w:rsidRDefault="006F23C9" w:rsidP="006F23C9">
      <w:pPr>
        <w:pStyle w:val="NormalHanging12a"/>
      </w:pPr>
      <w:r w:rsidRPr="007D115F">
        <w:t>9.</w:t>
      </w:r>
      <w:r w:rsidRPr="007D115F">
        <w:tab/>
        <w:t xml:space="preserve">minder om betydningen af at øge centrets digitalisering for så vidt angår dets interne drift og forvaltning, men også med henblik på at fremskynde digitaliseringen af procedurer; understreger nødvendigheden af, at centret fortsat er proaktivt i denne henseende med henblik på at undgå en digital kløft mellem agenturerne; gør imidlertid opmærksom på behovet for at træffe alle de nødvendige forholdsregler for at undgå enhver risiko med hensyn til onlinesikkerheden af de behandlede oplysninger og insisterer på </w:t>
      </w:r>
      <w:r w:rsidR="0061392E" w:rsidRPr="007D115F">
        <w:t xml:space="preserve">behovet for </w:t>
      </w:r>
      <w:r w:rsidRPr="007D115F">
        <w:t xml:space="preserve">at øge indsatsen imod </w:t>
      </w:r>
      <w:proofErr w:type="spellStart"/>
      <w:r w:rsidRPr="007D115F">
        <w:t>cyberangreb</w:t>
      </w:r>
      <w:proofErr w:type="spellEnd"/>
      <w:r w:rsidRPr="007D115F">
        <w:t xml:space="preserve"> eller forsøg på infiltration, navnlig</w:t>
      </w:r>
      <w:r w:rsidR="0061392E" w:rsidRPr="007D115F">
        <w:t xml:space="preserve"> dem,</w:t>
      </w:r>
      <w:r w:rsidRPr="007D115F">
        <w:t xml:space="preserve"> stammer fra Rusland eller Kina;</w:t>
      </w:r>
    </w:p>
    <w:p w14:paraId="2A8078CC" w14:textId="77777777" w:rsidR="006F23C9" w:rsidRPr="007D115F" w:rsidRDefault="006F23C9" w:rsidP="006F23C9">
      <w:pPr>
        <w:pStyle w:val="NormalHanging12a"/>
        <w:widowControl/>
      </w:pPr>
      <w:r w:rsidRPr="007D115F">
        <w:t>10.</w:t>
      </w:r>
      <w:r w:rsidRPr="007D115F">
        <w:tab/>
        <w:t>glæder sig over, at centret fortsatte sine bestræbelser på at opnå effektivitetsgevinster ved at indføre nye metoder, herunder automatisering af støtteprocesser og operationelle processer; bemærker, at fire nye administrative procedurer i løbet af året blev automatiseret gennem elektroniske arbejdsgange, og at der også blev indført en ny omkostningseffektiv løsning for platformen for elektroniske arbejdsgange til erstatning af K2; bemærker, at en samlet analyse af anvendelsen af elektroniske arbejdsgange allerede viser, at et betydeligt antal brugere har indført dem, og at de har reduceret behandlingstiden markant som følge af afskaffelsen af unødvendige trin, samtidig med at det sikres, at lovgivningen overholdes;</w:t>
      </w:r>
    </w:p>
    <w:p w14:paraId="1DA6FC62" w14:textId="77777777" w:rsidR="006F23C9" w:rsidRPr="007D115F" w:rsidRDefault="006F23C9" w:rsidP="006F23C9">
      <w:pPr>
        <w:widowControl/>
        <w:spacing w:after="240"/>
        <w:ind w:left="567" w:hanging="567"/>
        <w:rPr>
          <w:b/>
          <w:i/>
          <w:szCs w:val="24"/>
        </w:rPr>
      </w:pPr>
      <w:r w:rsidRPr="007D115F">
        <w:rPr>
          <w:b/>
          <w:i/>
        </w:rPr>
        <w:t>Personalepolitik</w:t>
      </w:r>
    </w:p>
    <w:p w14:paraId="2A2D0003" w14:textId="77777777" w:rsidR="006F23C9" w:rsidRPr="007D115F" w:rsidRDefault="006F23C9" w:rsidP="006F23C9">
      <w:pPr>
        <w:widowControl/>
        <w:spacing w:after="240"/>
        <w:ind w:left="567" w:hanging="567"/>
        <w:rPr>
          <w:szCs w:val="24"/>
        </w:rPr>
      </w:pPr>
      <w:r w:rsidRPr="007D115F">
        <w:t>11.</w:t>
      </w:r>
      <w:r w:rsidRPr="007D115F">
        <w:tab/>
        <w:t>bemærker, at stillingsfortegnelsen pr. 31. december 2022 bestod af 215 midlertidigt ansatte, som var godkendt i henhold til Unionens budget (sammenlignet med 208 godkendte stillinger i 2021); bemærker, at der derudover arbejdede 112 kontraktansatte og fem udstationerede nationale eksperter for centret i 2022;</w:t>
      </w:r>
    </w:p>
    <w:p w14:paraId="1B6646B6" w14:textId="77777777" w:rsidR="006F23C9" w:rsidRPr="007D115F" w:rsidRDefault="006F23C9" w:rsidP="006F23C9">
      <w:pPr>
        <w:pStyle w:val="NormalHanging12a"/>
      </w:pPr>
      <w:r w:rsidRPr="007D115F">
        <w:t>12.</w:t>
      </w:r>
      <w:r w:rsidRPr="007D115F">
        <w:tab/>
        <w:t>bemærker med bekymring den manglende balance mellem kønnene i centrets øverste ledelse og blandt dets mellemledere, idet fire ud af seks (66,67 %) er mænd; bemærker kønsfordelingen blandt centrets samlede personale, hvor 198 ud af 331 (60 %) er kvinder, og 133 ud af 331 (40 %) er mænd; glæder sig over, at centret er i gang med at vedtage chartret om mangfoldighed og inklusion, og at det vil være i kraft senest i fjerde kvartal af 2023; minder om betydningen af at sikre kønsbalance og opfordrer centret til at tage dette aspekt i betragtning i forbindelse med fremtidig ansættelse af personale og udnævnelser inden for den øverste ledelse og på mellemlederniveau; anmoder Kommissionen og medlemsstaterne om at tage hensyn til betydningen af at sikre kønsbalance, når de indstiller deres medlemmer til udnævnelse til centrets bestyrelse;</w:t>
      </w:r>
    </w:p>
    <w:p w14:paraId="3DB382DE" w14:textId="77777777" w:rsidR="006F23C9" w:rsidRPr="007D115F" w:rsidRDefault="006F23C9" w:rsidP="006F23C9">
      <w:pPr>
        <w:pStyle w:val="NormalHanging12a"/>
      </w:pPr>
      <w:r w:rsidRPr="007D115F">
        <w:t>13.</w:t>
      </w:r>
      <w:r w:rsidRPr="007D115F">
        <w:tab/>
        <w:t>udtrykker bekymring over den geografiske balance i centrets øverste ledelse og på mellemlederniveau; opfordrer centeret til at rapportere tilbage herom til dechargemyndigheden;</w:t>
      </w:r>
    </w:p>
    <w:p w14:paraId="2AB054D1" w14:textId="77777777" w:rsidR="006F23C9" w:rsidRPr="007D115F" w:rsidRDefault="006F23C9" w:rsidP="006F23C9">
      <w:pPr>
        <w:pStyle w:val="NormalHanging12a"/>
      </w:pPr>
      <w:r w:rsidRPr="007D115F">
        <w:lastRenderedPageBreak/>
        <w:t>14.</w:t>
      </w:r>
      <w:r w:rsidRPr="007D115F">
        <w:tab/>
        <w:t xml:space="preserve">bemærker, at det første udkast til personalestrategien "People </w:t>
      </w:r>
      <w:proofErr w:type="spellStart"/>
      <w:r w:rsidRPr="007D115F">
        <w:t>Strategy</w:t>
      </w:r>
      <w:proofErr w:type="spellEnd"/>
      <w:r w:rsidRPr="007D115F">
        <w:t>" blev udarbejdet i 2022, og at den har til formål at styre moderniseringen og konsolideringen af centrets HR-forvaltningstjenester; bemærker endvidere, at individuelle strategiprojekter såsom e-rekrutteringsværktøjet og onlineintroduktionsprogrammet blev afsluttet i 2022, mens andre er i gang; opfordrer centret til at aflægge rapport til dechargemyndigheden om enhver udvikling i den forbindelse; noterer sig, at centret yderligere øgede sin støtte til personalets uddannelse og udvikling ved at øge godtgørelsen for individuel uddannelse og lette personalets adgang til e-læringsplatforme (EU Learn, LinkedIn Learning og centrets virtuelle akademi);</w:t>
      </w:r>
    </w:p>
    <w:p w14:paraId="49B2AB6B" w14:textId="77777777" w:rsidR="006F23C9" w:rsidRPr="007D115F" w:rsidRDefault="006F23C9" w:rsidP="006F23C9">
      <w:pPr>
        <w:pStyle w:val="NormalHanging12a"/>
      </w:pPr>
      <w:r w:rsidRPr="007D115F">
        <w:t>15.</w:t>
      </w:r>
      <w:r w:rsidRPr="007D115F">
        <w:tab/>
        <w:t xml:space="preserve">bemærker, at centret har en politik for beskyttelse af personers værdighed og forebyggelse af psykisk og seksuel chikane, og at centret deltager i agenturernes </w:t>
      </w:r>
      <w:proofErr w:type="spellStart"/>
      <w:r w:rsidRPr="007D115F">
        <w:t>taskforce</w:t>
      </w:r>
      <w:proofErr w:type="spellEnd"/>
      <w:r w:rsidRPr="007D115F">
        <w:t xml:space="preserve"> af fortrolige rådgivere; ser frem til at modtage deres rapport og anbefalinger; bemærker, at der ikke blev indberettet nogen tilfælde af chikane i 2022, og opfordrer centret til at videreudvikle dette arbejde for også at forebygge tilfælde i fremtiden;</w:t>
      </w:r>
    </w:p>
    <w:p w14:paraId="66670B60" w14:textId="77777777" w:rsidR="006F23C9" w:rsidRPr="007D115F" w:rsidRDefault="006F23C9" w:rsidP="006F23C9">
      <w:pPr>
        <w:pStyle w:val="NormalHanging12a"/>
      </w:pPr>
      <w:r w:rsidRPr="007D115F">
        <w:t>16.</w:t>
      </w:r>
      <w:r w:rsidRPr="007D115F">
        <w:tab/>
        <w:t xml:space="preserve">bemærker, at de yderligere stillinger, der blev tildelt centret efter udvidelsen af dets mandat, blev besat i 2022; understreger, at tilføjelsen af nye opgaver og dets stigende arbejdsbyrde skal ledsages af tilsvarende forøgelser af centrets personale og ressourcer, og at en sådan mangel på personale sætter </w:t>
      </w:r>
      <w:proofErr w:type="spellStart"/>
      <w:r w:rsidRPr="007D115F">
        <w:t>driftkontinuiteten</w:t>
      </w:r>
      <w:proofErr w:type="spellEnd"/>
      <w:r w:rsidRPr="007D115F">
        <w:t xml:space="preserve"> under et betydeligt pres og truer kvaliteten af centrets arbejde;</w:t>
      </w:r>
    </w:p>
    <w:p w14:paraId="1A2C441C" w14:textId="77777777" w:rsidR="006F23C9" w:rsidRPr="007D115F" w:rsidRDefault="006F23C9" w:rsidP="006F23C9">
      <w:pPr>
        <w:pStyle w:val="NormalHanging12a"/>
      </w:pPr>
      <w:r w:rsidRPr="007D115F">
        <w:t>17.</w:t>
      </w:r>
      <w:r w:rsidRPr="007D115F">
        <w:tab/>
        <w:t xml:space="preserve">bemærker med bekymring overlapningen af centrets og </w:t>
      </w:r>
      <w:proofErr w:type="spellStart"/>
      <w:r w:rsidRPr="007D115F">
        <w:t>HERA's</w:t>
      </w:r>
      <w:proofErr w:type="spellEnd"/>
      <w:r w:rsidRPr="007D115F">
        <w:t xml:space="preserve"> mandater og opfordrer til at reducere dobbeltarbejdet mellem de to enheder og til at sikre en klar opgavefordeling;</w:t>
      </w:r>
    </w:p>
    <w:p w14:paraId="2F3D9EAB" w14:textId="77777777" w:rsidR="006F23C9" w:rsidRPr="007D115F" w:rsidRDefault="006F23C9" w:rsidP="006F23C9">
      <w:pPr>
        <w:widowControl/>
        <w:spacing w:after="240"/>
        <w:ind w:left="567" w:hanging="567"/>
        <w:rPr>
          <w:b/>
          <w:i/>
          <w:szCs w:val="24"/>
        </w:rPr>
      </w:pPr>
      <w:r w:rsidRPr="007D115F">
        <w:rPr>
          <w:b/>
          <w:i/>
        </w:rPr>
        <w:t>Forebyggelse og håndtering af interessekonflikter samt gennemsigtighed</w:t>
      </w:r>
    </w:p>
    <w:p w14:paraId="69FCDE4F" w14:textId="77777777" w:rsidR="006F23C9" w:rsidRPr="007D115F" w:rsidRDefault="006F23C9" w:rsidP="006F23C9">
      <w:pPr>
        <w:widowControl/>
        <w:spacing w:after="240"/>
        <w:ind w:left="567" w:hanging="567"/>
        <w:rPr>
          <w:szCs w:val="24"/>
        </w:rPr>
      </w:pPr>
      <w:r w:rsidRPr="007D115F">
        <w:t>18.</w:t>
      </w:r>
      <w:r w:rsidRPr="007D115F">
        <w:tab/>
        <w:t>bemærker, at centret fortsatte med at anvende og styrke sin uafhængighedspolitik for ikke-ansatte og ansatte; bemærker, at centret i 2022 manglede en lille procentdel af interesseerklæringerne; bemærker endvidere, at alle eksterne eksperter, der var blevet hørt i forbindelse med udarbejdelsen af hurtige risikovurderinger, havde indgivet deres interesseerklæringer inden offentliggørelsen; bemærker, at alle medlemmer af bestyrelsen og det rådgivende forum, der deltog i møderne og dermed bidrog til drøftelserne, havde gyldige årlige interesseerklæringer, og at direktøren og kontorcheferne havde udfyldt deres årlige interesseerklæringer, ligesom 99 % af de eksterne eksperter, der deltog i centrets møder, hvor der er krav om kontrol af interessekonflikter, havde indgivet en årlig interesseerklæring;</w:t>
      </w:r>
    </w:p>
    <w:p w14:paraId="24E974E3" w14:textId="77777777" w:rsidR="006F23C9" w:rsidRPr="007D115F" w:rsidRDefault="006F23C9" w:rsidP="006F23C9">
      <w:pPr>
        <w:pStyle w:val="NormalHanging12a"/>
      </w:pPr>
      <w:r w:rsidRPr="007D115F">
        <w:t>19.</w:t>
      </w:r>
      <w:r w:rsidRPr="007D115F">
        <w:tab/>
        <w:t>opfordrer centret til at sikre, at alle bestyrelsesmedlemmer, medlemmer af det rådgivende forum og deres suppleanter på behørig vis har indgivet de krævede årlige interesseerklæringer; opfordrer centret til at sikre, at der inddrages relevante eksperter i centrets arbejde i alle dets aktiviteter, og at der opretholdes en høj grad af overholdelse af reglerne om interessekonflikter;</w:t>
      </w:r>
    </w:p>
    <w:p w14:paraId="2B35E96E" w14:textId="77777777" w:rsidR="006F23C9" w:rsidRPr="007D115F" w:rsidRDefault="006F23C9" w:rsidP="006F23C9">
      <w:pPr>
        <w:widowControl/>
        <w:spacing w:after="240"/>
        <w:ind w:left="567" w:hanging="567"/>
        <w:rPr>
          <w:szCs w:val="24"/>
        </w:rPr>
      </w:pPr>
      <w:r w:rsidRPr="007D115F">
        <w:t>20.</w:t>
      </w:r>
      <w:r w:rsidRPr="007D115F">
        <w:tab/>
        <w:t xml:space="preserve">noterer sig, at centrets uafhængighedspolitik for ikke-ansatte indeholder bestemmelser om den procedure, der skal følges for at identificere og undgå potentielle interessekonflikter; bemærker, at denne kort sagt indebærer indsamling af interesseerklæringer under særlige omstændigheder, f.eks. når der vil blive produceret videnskabelige resultater, som derefter vurderes af centrets medarbejder med ansvar for </w:t>
      </w:r>
      <w:r w:rsidRPr="007D115F">
        <w:lastRenderedPageBreak/>
        <w:t xml:space="preserve">den relevante aktivitet, med støtte fra centrets </w:t>
      </w:r>
      <w:proofErr w:type="spellStart"/>
      <w:r w:rsidRPr="007D115F">
        <w:t>compliancemedarbejder</w:t>
      </w:r>
      <w:proofErr w:type="spellEnd"/>
      <w:r w:rsidRPr="007D115F">
        <w:t>; bemærker, at der i 2022 ikke blev indberettet nogen egentlig interessekonflikt;</w:t>
      </w:r>
    </w:p>
    <w:p w14:paraId="4E48E6F2" w14:textId="77777777" w:rsidR="006F23C9" w:rsidRPr="007D115F" w:rsidRDefault="006F23C9" w:rsidP="006F23C9">
      <w:pPr>
        <w:widowControl/>
        <w:spacing w:after="240"/>
        <w:ind w:left="567" w:hanging="567"/>
        <w:rPr>
          <w:szCs w:val="24"/>
        </w:rPr>
      </w:pPr>
      <w:r w:rsidRPr="007D115F">
        <w:t>21.</w:t>
      </w:r>
      <w:r w:rsidRPr="007D115F">
        <w:tab/>
        <w:t>bemærker, at den interne procedure for centrets møder med kommercielle organisationer, der er aktive inden for rammerne af centrets mandat, blev udviklet i 2022 og formelt sat i kraft i januar 2023; bemærker endvidere, at centret imidlertid ikke afholdt sådanne møder i 2022;</w:t>
      </w:r>
    </w:p>
    <w:p w14:paraId="5DD09E6A" w14:textId="77777777" w:rsidR="006F23C9" w:rsidRPr="007D115F" w:rsidRDefault="006F23C9" w:rsidP="006F23C9">
      <w:pPr>
        <w:widowControl/>
        <w:spacing w:after="240"/>
        <w:ind w:left="567" w:hanging="567"/>
      </w:pPr>
      <w:r w:rsidRPr="007D115F">
        <w:t>22.</w:t>
      </w:r>
      <w:r w:rsidRPr="007D115F">
        <w:tab/>
        <w:t>anerkender den synlighed, som centret har udviklet under pandemien; mener, at der stadig er plads til større synlighed i medierne, på internettet og på de sociale medier for at gøre Unionens borgere bekendt med centrets arbejde;</w:t>
      </w:r>
    </w:p>
    <w:p w14:paraId="275A33CF" w14:textId="77777777" w:rsidR="006F23C9" w:rsidRPr="007D115F" w:rsidRDefault="006F23C9" w:rsidP="006F23C9">
      <w:pPr>
        <w:pStyle w:val="NormalHanging12a"/>
      </w:pPr>
      <w:r w:rsidRPr="007D115F">
        <w:t>23.</w:t>
      </w:r>
      <w:r w:rsidRPr="007D115F">
        <w:tab/>
        <w:t>opfordrer centret til at sikre fuld gennemsigtighed i offentliggørelsen af videnskabelige undersøgelser og til at forbedre sin eksterne kommunikationskapacitet over for den brede offentlighed ved at sikre, at alle centrale oplysninger, navnlig vedrørende folkesundhedskriser, er tilgængelige på alle EU-sprog, og at de er let tilgængelige og forståelige for EU-borgere;</w:t>
      </w:r>
    </w:p>
    <w:p w14:paraId="4A8243DF" w14:textId="77777777" w:rsidR="006F23C9" w:rsidRPr="007D115F" w:rsidRDefault="006F23C9" w:rsidP="006F23C9">
      <w:pPr>
        <w:widowControl/>
        <w:spacing w:after="240"/>
        <w:ind w:left="567" w:hanging="567"/>
        <w:rPr>
          <w:b/>
          <w:i/>
          <w:szCs w:val="24"/>
        </w:rPr>
      </w:pPr>
      <w:r w:rsidRPr="007D115F">
        <w:rPr>
          <w:b/>
          <w:i/>
        </w:rPr>
        <w:t>Intern kontrol</w:t>
      </w:r>
    </w:p>
    <w:p w14:paraId="02729A48" w14:textId="77777777" w:rsidR="006F23C9" w:rsidRPr="007D115F" w:rsidRDefault="006F23C9" w:rsidP="006F23C9">
      <w:pPr>
        <w:widowControl/>
        <w:spacing w:after="240"/>
        <w:ind w:left="567" w:hanging="567"/>
        <w:rPr>
          <w:szCs w:val="24"/>
        </w:rPr>
      </w:pPr>
      <w:r w:rsidRPr="007D115F">
        <w:t>24.</w:t>
      </w:r>
      <w:r w:rsidRPr="007D115F">
        <w:tab/>
        <w:t>fremhæver Revisionsrettens revisionserklæring med forbehold om lovligheden og den formelle rigtighed af betalinger som følge af medtagelsen af moms som en støtteberettiget omkostning i forbindelse med tilskudsaftaler, hvis støttemodtagere bedriver virksomhed som offentlige myndigheder, hvilket svarer til 2,8 % af de betalingsbevillinger, der var til rådighed i 2022; minder om, at centret ved forvaltning af tilskud bør sikre overholdelse af de gældende regler, navnlig vedrørende momsgodtgørelse til støttemodtagere, som er offentlige myndigheder;</w:t>
      </w:r>
    </w:p>
    <w:p w14:paraId="01956E96" w14:textId="77777777" w:rsidR="006F23C9" w:rsidRPr="007D115F" w:rsidRDefault="006F23C9" w:rsidP="006F23C9">
      <w:pPr>
        <w:widowControl/>
        <w:spacing w:after="240"/>
        <w:ind w:left="567" w:hanging="567"/>
        <w:rPr>
          <w:szCs w:val="24"/>
        </w:rPr>
      </w:pPr>
      <w:r w:rsidRPr="007D115F">
        <w:t>25.</w:t>
      </w:r>
      <w:r w:rsidRPr="007D115F">
        <w:tab/>
        <w:t>noterer sig, at centret mindst én gang om året vurderer det interne kontrolsystems effektivitet ved at vurdere gennemførelsen af rammen for intern kontrol, herunder gennemførelsen af de definerede indikatorer, og ved at evaluere de vigtigste mangler, som centret selv har konstateret, eller som er blevet rapporteret af andre, herunder Den Interne Revisionstjeneste og Revisionsretten; bemærker endvidere, at der i 2022 blev foretaget en række forbedringer af rammerne for intern kontrol, f.eks. en forbedret kontrolstrategi med nye indikatorer, et forbedret katalog over informationsaktiver og udvikling af en ny intern kommunikationspolitik;</w:t>
      </w:r>
    </w:p>
    <w:p w14:paraId="5CC02D56" w14:textId="77777777" w:rsidR="006F23C9" w:rsidRPr="007D115F" w:rsidRDefault="006F23C9" w:rsidP="006F23C9">
      <w:pPr>
        <w:widowControl/>
        <w:spacing w:after="240"/>
        <w:ind w:left="567" w:hanging="567"/>
        <w:rPr>
          <w:b/>
          <w:i/>
          <w:szCs w:val="24"/>
        </w:rPr>
      </w:pPr>
      <w:r w:rsidRPr="007D115F">
        <w:rPr>
          <w:b/>
          <w:i/>
        </w:rPr>
        <w:t>Øvrige bemærkninger</w:t>
      </w:r>
    </w:p>
    <w:p w14:paraId="53981999" w14:textId="77777777" w:rsidR="006F23C9" w:rsidRPr="007D115F" w:rsidRDefault="006F23C9" w:rsidP="006F23C9">
      <w:pPr>
        <w:widowControl/>
        <w:spacing w:after="240"/>
        <w:ind w:left="567" w:hanging="567"/>
        <w:rPr>
          <w:szCs w:val="24"/>
        </w:rPr>
      </w:pPr>
      <w:r w:rsidRPr="007D115F">
        <w:t>26.</w:t>
      </w:r>
      <w:r w:rsidRPr="007D115F">
        <w:tab/>
        <w:t>glæder sig over, at centret sigter mod at blive EMAS-registreret i 2023 og planlægger et projekt vedrørende CO</w:t>
      </w:r>
      <w:r w:rsidRPr="007D115F">
        <w:rPr>
          <w:vertAlign w:val="subscript"/>
        </w:rPr>
        <w:t>2</w:t>
      </w:r>
      <w:r w:rsidRPr="007D115F">
        <w:t>-kompensation (der skal påbegyndes i første kvartal af 2024), som vil omfatte foranstaltninger til beregning af CO</w:t>
      </w:r>
      <w:r w:rsidRPr="007D115F">
        <w:rPr>
          <w:vertAlign w:val="subscript"/>
        </w:rPr>
        <w:t>2</w:t>
      </w:r>
      <w:r w:rsidRPr="007D115F">
        <w:t>-påvirkningen, og hvordan denne kan minimeres; noterer sig, at gennemførelsen af EMAS begynder i 2024 og vil omfatte specifikke mål;</w:t>
      </w:r>
    </w:p>
    <w:p w14:paraId="0D1AD5C2" w14:textId="77777777" w:rsidR="006F23C9" w:rsidRPr="007D115F" w:rsidRDefault="006F23C9" w:rsidP="006F23C9">
      <w:pPr>
        <w:pStyle w:val="NormalCenter12a"/>
        <w:widowControl/>
        <w:ind w:left="567" w:hanging="567"/>
        <w:jc w:val="left"/>
        <w:rPr>
          <w:bCs/>
          <w:szCs w:val="24"/>
        </w:rPr>
      </w:pPr>
      <w:r w:rsidRPr="007D115F">
        <w:t>27.</w:t>
      </w:r>
      <w:r w:rsidRPr="007D115F">
        <w:tab/>
        <w:t xml:space="preserve">roser centret for i 2022 at have bevæget sig mere i retning af at anvende elektroniske værktøjer i udbudsprocedurer; bemærker, at centret nu anvender Kommissionens værktøj til forvaltning af offentlige udbud (PPMT) til registrering og offentliggørelse af alle udbudsprocedurer, herunder forudgående publikationer; bemærker, at PPMT-systemet er knyttet til e-udbud, hvor både offentliggørelsen samt spørgsmål og svar under offentliggørelsen håndteres; bemærker endvidere, at centret også anvender en </w:t>
      </w:r>
      <w:r w:rsidRPr="007D115F">
        <w:lastRenderedPageBreak/>
        <w:t xml:space="preserve">intern </w:t>
      </w:r>
      <w:proofErr w:type="spellStart"/>
      <w:r w:rsidRPr="007D115F">
        <w:t>eWorkflow</w:t>
      </w:r>
      <w:proofErr w:type="spellEnd"/>
      <w:r w:rsidRPr="007D115F">
        <w:t xml:space="preserve"> til indkøb i henhold til rammekontrakter og til revisionen inden offentliggørelsen;</w:t>
      </w:r>
    </w:p>
    <w:p w14:paraId="5987186A" w14:textId="77777777" w:rsidR="006F23C9" w:rsidRPr="007D115F" w:rsidRDefault="006F23C9" w:rsidP="006F23C9">
      <w:pPr>
        <w:pStyle w:val="NormalHanging12a"/>
      </w:pPr>
      <w:r w:rsidRPr="007D115F">
        <w:t>28.</w:t>
      </w:r>
      <w:r w:rsidRPr="007D115F">
        <w:tab/>
        <w:t>glæder sig over, at interessenternes generelle tilfredshed med centrets arbejde nåede op på 86 % i 2022;</w:t>
      </w:r>
    </w:p>
    <w:p w14:paraId="2EC08967" w14:textId="77777777" w:rsidR="006F23C9" w:rsidRPr="007D115F" w:rsidRDefault="006F23C9" w:rsidP="006F23C9">
      <w:pPr>
        <w:pStyle w:val="NormalCenter12a"/>
        <w:rPr>
          <w:szCs w:val="24"/>
        </w:rPr>
      </w:pPr>
      <w:r w:rsidRPr="007D115F">
        <w:t>°</w:t>
      </w:r>
    </w:p>
    <w:p w14:paraId="2B6407AA" w14:textId="77777777" w:rsidR="006F23C9" w:rsidRPr="007D115F" w:rsidRDefault="006F23C9" w:rsidP="006F23C9">
      <w:pPr>
        <w:pStyle w:val="NormalCenter12a"/>
        <w:rPr>
          <w:szCs w:val="24"/>
        </w:rPr>
      </w:pPr>
      <w:r w:rsidRPr="007D115F">
        <w:t>°</w:t>
      </w:r>
      <w:r w:rsidRPr="007D115F">
        <w:tab/>
        <w:t>°</w:t>
      </w:r>
    </w:p>
    <w:p w14:paraId="3786D708" w14:textId="67F47460" w:rsidR="006F23C9" w:rsidRPr="007D115F" w:rsidRDefault="006F23C9" w:rsidP="006F23C9">
      <w:pPr>
        <w:pStyle w:val="NormalCenter12a"/>
        <w:widowControl/>
        <w:ind w:left="567" w:hanging="567"/>
        <w:jc w:val="left"/>
      </w:pPr>
      <w:r w:rsidRPr="007D115F">
        <w:t>29.</w:t>
      </w:r>
      <w:r w:rsidRPr="007D115F">
        <w:tab/>
        <w:t xml:space="preserve">henviser med hensyn til de øvrige bemærkninger, der ledsager dechargeafgørelsen, og som er af horisontal karakter, til sin beslutning af </w:t>
      </w:r>
      <w:r w:rsidR="009467EF" w:rsidRPr="007D115F">
        <w:t>11. april 2024</w:t>
      </w:r>
      <w:r w:rsidRPr="007D115F">
        <w:rPr>
          <w:vertAlign w:val="superscript"/>
        </w:rPr>
        <w:footnoteReference w:id="13"/>
      </w:r>
      <w:r w:rsidRPr="007D115F">
        <w:t xml:space="preserve"> om agenturernes resultater, økonomiske forvaltning og kontrol.</w:t>
      </w:r>
    </w:p>
    <w:sectPr w:rsidR="006F23C9" w:rsidRPr="007D115F" w:rsidSect="00C11AA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20174" w14:textId="77777777" w:rsidR="00CD061C" w:rsidRPr="00C11AAB" w:rsidRDefault="00CD061C">
      <w:r w:rsidRPr="00C11AAB">
        <w:separator/>
      </w:r>
    </w:p>
  </w:endnote>
  <w:endnote w:type="continuationSeparator" w:id="0">
    <w:p w14:paraId="7DF86DB9" w14:textId="77777777" w:rsidR="00CD061C" w:rsidRPr="00C11AAB" w:rsidRDefault="00CD061C">
      <w:r w:rsidRPr="00C11A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56134" w14:textId="77777777" w:rsidR="006F23C9" w:rsidRPr="00C11AAB" w:rsidRDefault="006F23C9" w:rsidP="000A1EBB">
    <w:pPr>
      <w:pStyle w:val="EPFooter"/>
    </w:pPr>
    <w:r w:rsidRPr="00C11AAB">
      <w:t>PE</w:t>
    </w:r>
    <w:r w:rsidRPr="00C11AAB">
      <w:rPr>
        <w:rStyle w:val="HideTWBExt"/>
      </w:rPr>
      <w:t>&lt;NoPE&gt;</w:t>
    </w:r>
    <w:r w:rsidRPr="00C11AAB">
      <w:t>753.515</w:t>
    </w:r>
    <w:r w:rsidRPr="00C11AAB">
      <w:rPr>
        <w:rStyle w:val="HideTWBExt"/>
      </w:rPr>
      <w:t>&lt;/NoPE&gt;&lt;Version&gt;</w:t>
    </w:r>
    <w:r w:rsidRPr="00C11AAB">
      <w:t>v02-00</w:t>
    </w:r>
    <w:r w:rsidRPr="00C11AAB">
      <w:rPr>
        <w:rStyle w:val="HideTWBExt"/>
      </w:rPr>
      <w:t>&lt;/Version&gt;</w:t>
    </w:r>
    <w:r w:rsidRPr="00C11AAB">
      <w:tab/>
    </w:r>
    <w:r w:rsidRPr="00C11AAB">
      <w:fldChar w:fldCharType="begin"/>
    </w:r>
    <w:r w:rsidRPr="00C11AAB">
      <w:instrText xml:space="preserve"> PAGE  \* MERGEFORMAT </w:instrText>
    </w:r>
    <w:r w:rsidRPr="00C11AAB">
      <w:fldChar w:fldCharType="separate"/>
    </w:r>
    <w:r w:rsidRPr="00C11AAB">
      <w:rPr>
        <w:noProof/>
      </w:rPr>
      <w:t>10</w:t>
    </w:r>
    <w:r w:rsidRPr="00C11AAB">
      <w:fldChar w:fldCharType="end"/>
    </w:r>
    <w:r w:rsidRPr="00C11AAB">
      <w:t>/</w:t>
    </w:r>
    <w:r w:rsidR="006D4478">
      <w:fldChar w:fldCharType="begin"/>
    </w:r>
    <w:r w:rsidR="006D4478">
      <w:instrText xml:space="preserve"> NUMPAGES  \* MERGEFORMAT </w:instrText>
    </w:r>
    <w:r w:rsidR="006D4478">
      <w:fldChar w:fldCharType="separate"/>
    </w:r>
    <w:r w:rsidRPr="00C11AAB">
      <w:rPr>
        <w:noProof/>
      </w:rPr>
      <w:t>10</w:t>
    </w:r>
    <w:r w:rsidR="006D4478">
      <w:rPr>
        <w:noProof/>
      </w:rPr>
      <w:fldChar w:fldCharType="end"/>
    </w:r>
    <w:r w:rsidRPr="00C11AAB">
      <w:tab/>
    </w:r>
    <w:r w:rsidRPr="00C11AAB">
      <w:rPr>
        <w:rStyle w:val="HideTWBExt"/>
      </w:rPr>
      <w:t>&lt;PathFdR&gt;</w:t>
    </w:r>
    <w:r w:rsidRPr="00C11AAB">
      <w:t>RR\1298834DA.docx</w:t>
    </w:r>
    <w:r w:rsidRPr="00C11AAB">
      <w:rPr>
        <w:rStyle w:val="HideTWBExt"/>
      </w:rPr>
      <w:t>&lt;/PathFdR&gt;</w:t>
    </w:r>
  </w:p>
  <w:p w14:paraId="7A3EDE0E" w14:textId="77777777" w:rsidR="006F23C9" w:rsidRPr="00C11AAB" w:rsidRDefault="006F23C9" w:rsidP="000A1EBB">
    <w:pPr>
      <w:pStyle w:val="EPFooter2"/>
    </w:pPr>
    <w:r w:rsidRPr="00C11AA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59322" w14:textId="77777777" w:rsidR="006F23C9" w:rsidRPr="00C11AAB" w:rsidRDefault="006F23C9" w:rsidP="000A1EBB">
    <w:pPr>
      <w:pStyle w:val="EPFooter"/>
    </w:pPr>
    <w:r w:rsidRPr="00C11AAB">
      <w:rPr>
        <w:rStyle w:val="HideTWBExt"/>
      </w:rPr>
      <w:t>&lt;PathFdR&gt;</w:t>
    </w:r>
    <w:r w:rsidRPr="00C11AAB">
      <w:t>RR\1298834DA.docx</w:t>
    </w:r>
    <w:r w:rsidRPr="00C11AAB">
      <w:rPr>
        <w:rStyle w:val="HideTWBExt"/>
      </w:rPr>
      <w:t>&lt;/PathFdR&gt;</w:t>
    </w:r>
    <w:r w:rsidRPr="00C11AAB">
      <w:tab/>
    </w:r>
    <w:r w:rsidRPr="00C11AAB">
      <w:tab/>
      <w:t>PE</w:t>
    </w:r>
    <w:r w:rsidRPr="00C11AAB">
      <w:rPr>
        <w:rStyle w:val="HideTWBExt"/>
      </w:rPr>
      <w:t>&lt;NoPE&gt;</w:t>
    </w:r>
    <w:r w:rsidRPr="00C11AAB">
      <w:t>753.515</w:t>
    </w:r>
    <w:r w:rsidRPr="00C11AAB">
      <w:rPr>
        <w:rStyle w:val="HideTWBExt"/>
      </w:rPr>
      <w:t>&lt;/NoPE&gt;&lt;Version&gt;</w:t>
    </w:r>
    <w:r w:rsidRPr="00C11AAB">
      <w:t>v02-00</w:t>
    </w:r>
    <w:r w:rsidRPr="00C11AAB">
      <w:rPr>
        <w:rStyle w:val="HideTWBExt"/>
      </w:rPr>
      <w:t>&lt;/Version&gt;</w:t>
    </w:r>
  </w:p>
  <w:p w14:paraId="094A4231" w14:textId="77777777" w:rsidR="006F23C9" w:rsidRPr="00C11AAB" w:rsidRDefault="006F23C9" w:rsidP="000A1EBB">
    <w:pPr>
      <w:pStyle w:val="EPFooter2"/>
    </w:pPr>
    <w:r w:rsidRPr="00C11AAB">
      <w:t>DA</w:t>
    </w:r>
    <w:r w:rsidRPr="00C11AAB">
      <w:tab/>
    </w:r>
    <w:r w:rsidRPr="00C11AAB">
      <w:rPr>
        <w:b w:val="0"/>
        <w:i/>
        <w:color w:val="C0C0C0"/>
        <w:sz w:val="22"/>
      </w:rPr>
      <w:t>Forenet i mangfoldighed</w:t>
    </w:r>
    <w:r w:rsidRPr="00C11AA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847C2" w14:textId="77777777" w:rsidR="00064002" w:rsidRPr="00C11AA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CA7F8" w14:textId="77777777" w:rsidR="00064002" w:rsidRPr="00C11AA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33F69" w14:textId="77777777" w:rsidR="00064002" w:rsidRPr="00C11A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4DD19" w14:textId="77777777" w:rsidR="00CD061C" w:rsidRPr="00C11AAB" w:rsidRDefault="00CD061C">
      <w:r w:rsidRPr="00C11AAB">
        <w:separator/>
      </w:r>
    </w:p>
  </w:footnote>
  <w:footnote w:type="continuationSeparator" w:id="0">
    <w:p w14:paraId="19414485" w14:textId="77777777" w:rsidR="00CD061C" w:rsidRPr="00C11AAB" w:rsidRDefault="00CD061C">
      <w:r w:rsidRPr="00C11AAB">
        <w:continuationSeparator/>
      </w:r>
    </w:p>
  </w:footnote>
  <w:footnote w:id="1">
    <w:p w14:paraId="08D49DB5" w14:textId="77777777" w:rsidR="006F23C9" w:rsidRPr="007D115F" w:rsidRDefault="006F23C9" w:rsidP="00C11AAB">
      <w:pPr>
        <w:pStyle w:val="FootnoteText"/>
        <w:ind w:left="567" w:hanging="567"/>
        <w:rPr>
          <w:sz w:val="24"/>
        </w:rPr>
      </w:pPr>
      <w:r w:rsidRPr="00C11AAB">
        <w:rPr>
          <w:rStyle w:val="FootnoteReference"/>
          <w:sz w:val="24"/>
          <w:lang w:val="da-DK"/>
        </w:rPr>
        <w:footnoteRef/>
      </w:r>
      <w:r w:rsidR="00C11AAB" w:rsidRPr="007D115F">
        <w:rPr>
          <w:sz w:val="24"/>
        </w:rPr>
        <w:t xml:space="preserve"> </w:t>
      </w:r>
      <w:r w:rsidR="00C11AAB" w:rsidRPr="007D115F">
        <w:rPr>
          <w:sz w:val="24"/>
        </w:rPr>
        <w:tab/>
      </w:r>
      <w:r w:rsidRPr="007D115F">
        <w:rPr>
          <w:sz w:val="24"/>
        </w:rPr>
        <w:t>EUT C, C/2023/594, 27.10.2023.</w:t>
      </w:r>
    </w:p>
  </w:footnote>
  <w:footnote w:id="2">
    <w:p w14:paraId="5FB2E1D9" w14:textId="282174CC" w:rsidR="006F23C9" w:rsidRPr="007D115F" w:rsidRDefault="006F23C9" w:rsidP="00C11AAB">
      <w:pPr>
        <w:pStyle w:val="FootnoteText"/>
        <w:ind w:left="567" w:hanging="567"/>
        <w:rPr>
          <w:sz w:val="24"/>
        </w:rPr>
      </w:pPr>
      <w:r w:rsidRPr="00C11AAB">
        <w:rPr>
          <w:rStyle w:val="FootnoteReference"/>
          <w:sz w:val="24"/>
          <w:lang w:val="da-DK"/>
        </w:rPr>
        <w:footnoteRef/>
      </w:r>
      <w:r w:rsidR="00C11AAB" w:rsidRPr="007D115F">
        <w:rPr>
          <w:sz w:val="24"/>
        </w:rPr>
        <w:t xml:space="preserve"> </w:t>
      </w:r>
      <w:r w:rsidR="00C11AAB" w:rsidRPr="007D115F">
        <w:rPr>
          <w:sz w:val="24"/>
        </w:rPr>
        <w:tab/>
      </w:r>
      <w:r w:rsidRPr="007D115F">
        <w:rPr>
          <w:sz w:val="24"/>
        </w:rPr>
        <w:t>EUT C/2023/112, 12.10</w:t>
      </w:r>
      <w:r w:rsidR="0061392E" w:rsidRPr="007D115F">
        <w:rPr>
          <w:sz w:val="24"/>
        </w:rPr>
        <w:t>.</w:t>
      </w:r>
      <w:r w:rsidRPr="007D115F">
        <w:rPr>
          <w:sz w:val="24"/>
        </w:rPr>
        <w:t>2023.</w:t>
      </w:r>
    </w:p>
  </w:footnote>
  <w:footnote w:id="3">
    <w:p w14:paraId="6C8F2B67" w14:textId="51A4DEDE" w:rsidR="006F23C9" w:rsidRPr="007D115F" w:rsidRDefault="006F23C9" w:rsidP="00C11AAB">
      <w:pPr>
        <w:pStyle w:val="FootnoteText"/>
        <w:ind w:left="567" w:hanging="567"/>
        <w:rPr>
          <w:sz w:val="24"/>
        </w:rPr>
      </w:pPr>
      <w:r w:rsidRPr="00C11AAB">
        <w:rPr>
          <w:rStyle w:val="FootnoteReference"/>
          <w:sz w:val="24"/>
          <w:lang w:val="da-DK"/>
        </w:rPr>
        <w:footnoteRef/>
      </w:r>
      <w:r w:rsidR="00C11AAB" w:rsidRPr="007D115F">
        <w:rPr>
          <w:sz w:val="24"/>
        </w:rPr>
        <w:t xml:space="preserve"> </w:t>
      </w:r>
      <w:r w:rsidR="00C11AAB" w:rsidRPr="007D115F">
        <w:rPr>
          <w:sz w:val="24"/>
        </w:rPr>
        <w:tab/>
      </w:r>
      <w:r w:rsidRPr="007D115F">
        <w:rPr>
          <w:sz w:val="24"/>
        </w:rPr>
        <w:t xml:space="preserve">EUT L 193 </w:t>
      </w:r>
      <w:proofErr w:type="spellStart"/>
      <w:r w:rsidRPr="007D115F">
        <w:rPr>
          <w:sz w:val="24"/>
        </w:rPr>
        <w:t>af</w:t>
      </w:r>
      <w:proofErr w:type="spellEnd"/>
      <w:r w:rsidRPr="007D115F">
        <w:rPr>
          <w:sz w:val="24"/>
        </w:rPr>
        <w:t xml:space="preserve"> 30.7.2018, </w:t>
      </w:r>
      <w:r w:rsidR="00AD1A5B">
        <w:rPr>
          <w:sz w:val="24"/>
        </w:rPr>
        <w:t>s</w:t>
      </w:r>
      <w:r w:rsidRPr="007D115F">
        <w:rPr>
          <w:sz w:val="24"/>
        </w:rPr>
        <w:t>. 1.</w:t>
      </w:r>
    </w:p>
  </w:footnote>
  <w:footnote w:id="4">
    <w:p w14:paraId="4B810BFF" w14:textId="77777777" w:rsidR="006F23C9" w:rsidRPr="00C11AAB" w:rsidRDefault="006F23C9" w:rsidP="00C11AAB">
      <w:pPr>
        <w:pStyle w:val="FootnoteText"/>
        <w:ind w:left="567" w:hanging="567"/>
        <w:rPr>
          <w:sz w:val="24"/>
          <w:lang w:val="da-DK"/>
        </w:rPr>
      </w:pPr>
      <w:r w:rsidRPr="00C11AAB">
        <w:rPr>
          <w:rStyle w:val="FootnoteReference"/>
          <w:sz w:val="24"/>
          <w:lang w:val="da-DK"/>
        </w:rPr>
        <w:footnoteRef/>
      </w:r>
      <w:r w:rsidR="00C11AAB" w:rsidRPr="00C11AAB">
        <w:rPr>
          <w:sz w:val="24"/>
          <w:lang w:val="da-DK"/>
        </w:rPr>
        <w:t xml:space="preserve"> </w:t>
      </w:r>
      <w:r w:rsidR="00C11AAB" w:rsidRPr="00C11AAB">
        <w:rPr>
          <w:sz w:val="24"/>
          <w:lang w:val="da-DK"/>
        </w:rPr>
        <w:tab/>
      </w:r>
      <w:r w:rsidRPr="00C11AAB">
        <w:rPr>
          <w:sz w:val="24"/>
          <w:lang w:val="da-DK"/>
        </w:rPr>
        <w:t>EUT L 142 af 30.4.2004, s. 1.</w:t>
      </w:r>
    </w:p>
  </w:footnote>
  <w:footnote w:id="5">
    <w:p w14:paraId="30B61FF6" w14:textId="77777777" w:rsidR="006F23C9" w:rsidRPr="00C11AAB" w:rsidRDefault="006F23C9" w:rsidP="00C11AAB">
      <w:pPr>
        <w:pStyle w:val="FootnoteText"/>
        <w:ind w:left="567" w:hanging="567"/>
        <w:rPr>
          <w:sz w:val="24"/>
          <w:szCs w:val="24"/>
          <w:lang w:val="da-DK"/>
        </w:rPr>
      </w:pPr>
      <w:r w:rsidRPr="00C11AAB">
        <w:rPr>
          <w:rStyle w:val="FootnoteReference"/>
          <w:sz w:val="24"/>
          <w:lang w:val="da-DK"/>
        </w:rPr>
        <w:footnoteRef/>
      </w:r>
      <w:r w:rsidR="00C11AAB" w:rsidRPr="00C11AAB">
        <w:rPr>
          <w:sz w:val="24"/>
          <w:lang w:val="da-DK"/>
        </w:rPr>
        <w:t xml:space="preserve"> </w:t>
      </w:r>
      <w:r w:rsidR="00C11AAB" w:rsidRPr="00C11AAB">
        <w:rPr>
          <w:sz w:val="24"/>
          <w:lang w:val="da-DK"/>
        </w:rPr>
        <w:tab/>
      </w:r>
      <w:r w:rsidRPr="00C11AAB">
        <w:rPr>
          <w:sz w:val="24"/>
          <w:lang w:val="da-DK"/>
        </w:rPr>
        <w:t>EUT L 122 af 10.5.2019, s. 1.</w:t>
      </w:r>
    </w:p>
  </w:footnote>
  <w:footnote w:id="6">
    <w:p w14:paraId="55F4F08A" w14:textId="77777777" w:rsidR="006F23C9" w:rsidRPr="007D115F" w:rsidRDefault="006F23C9" w:rsidP="00C11AAB">
      <w:pPr>
        <w:pStyle w:val="FootnoteText"/>
        <w:ind w:left="567" w:hanging="567"/>
        <w:rPr>
          <w:sz w:val="24"/>
        </w:rPr>
      </w:pPr>
      <w:r w:rsidRPr="00C11AAB">
        <w:rPr>
          <w:rStyle w:val="FootnoteReference"/>
          <w:sz w:val="24"/>
          <w:lang w:val="da-DK"/>
        </w:rPr>
        <w:footnoteRef/>
      </w:r>
      <w:r w:rsidR="00C11AAB" w:rsidRPr="007D115F">
        <w:rPr>
          <w:sz w:val="24"/>
        </w:rPr>
        <w:t xml:space="preserve"> </w:t>
      </w:r>
      <w:r w:rsidR="00C11AAB" w:rsidRPr="007D115F">
        <w:rPr>
          <w:sz w:val="24"/>
        </w:rPr>
        <w:tab/>
      </w:r>
      <w:r w:rsidRPr="007D115F">
        <w:rPr>
          <w:sz w:val="24"/>
        </w:rPr>
        <w:t>EUT C, C/2023/594, 27.10.2023.</w:t>
      </w:r>
    </w:p>
  </w:footnote>
  <w:footnote w:id="7">
    <w:p w14:paraId="30BCC59C" w14:textId="24DF920D" w:rsidR="006F23C9" w:rsidRPr="006D4478" w:rsidRDefault="006F23C9" w:rsidP="00C11AAB">
      <w:pPr>
        <w:pStyle w:val="FootnoteText"/>
        <w:ind w:left="567" w:hanging="567"/>
        <w:rPr>
          <w:sz w:val="24"/>
          <w:lang w:val="da-DK"/>
        </w:rPr>
      </w:pPr>
      <w:r w:rsidRPr="00C11AAB">
        <w:rPr>
          <w:rStyle w:val="FootnoteReference"/>
          <w:sz w:val="24"/>
          <w:lang w:val="da-DK"/>
        </w:rPr>
        <w:footnoteRef/>
      </w:r>
      <w:r w:rsidR="00C11AAB" w:rsidRPr="007D115F">
        <w:rPr>
          <w:sz w:val="24"/>
        </w:rPr>
        <w:t xml:space="preserve"> </w:t>
      </w:r>
      <w:r w:rsidR="00C11AAB" w:rsidRPr="007D115F">
        <w:rPr>
          <w:sz w:val="24"/>
        </w:rPr>
        <w:tab/>
      </w:r>
      <w:r w:rsidRPr="007D115F">
        <w:rPr>
          <w:sz w:val="24"/>
        </w:rPr>
        <w:t xml:space="preserve">EUT </w:t>
      </w:r>
      <w:r w:rsidR="006D4478">
        <w:rPr>
          <w:sz w:val="24"/>
        </w:rPr>
        <w:t xml:space="preserve">C, </w:t>
      </w:r>
      <w:bookmarkStart w:id="10" w:name="_GoBack"/>
      <w:bookmarkEnd w:id="10"/>
      <w:r w:rsidRPr="007D115F">
        <w:rPr>
          <w:sz w:val="24"/>
        </w:rPr>
        <w:t>C/2023/112, 12.10</w:t>
      </w:r>
      <w:r w:rsidR="0061392E" w:rsidRPr="007D115F">
        <w:rPr>
          <w:sz w:val="24"/>
        </w:rPr>
        <w:t>.</w:t>
      </w:r>
      <w:r w:rsidRPr="007D115F">
        <w:rPr>
          <w:sz w:val="24"/>
        </w:rPr>
        <w:t>2023.</w:t>
      </w:r>
    </w:p>
  </w:footnote>
  <w:footnote w:id="8">
    <w:p w14:paraId="54F5C597" w14:textId="4978AC64" w:rsidR="006F23C9" w:rsidRPr="006D4478" w:rsidRDefault="006F23C9" w:rsidP="00C11AAB">
      <w:pPr>
        <w:pStyle w:val="FootnoteText"/>
        <w:ind w:left="567" w:hanging="567"/>
        <w:rPr>
          <w:sz w:val="24"/>
          <w:lang w:val="da-DK"/>
        </w:rPr>
      </w:pPr>
      <w:r w:rsidRPr="00C11AAB">
        <w:rPr>
          <w:rStyle w:val="FootnoteReference"/>
          <w:sz w:val="24"/>
          <w:lang w:val="da-DK"/>
        </w:rPr>
        <w:footnoteRef/>
      </w:r>
      <w:r w:rsidR="00C11AAB" w:rsidRPr="006D4478">
        <w:rPr>
          <w:sz w:val="24"/>
          <w:lang w:val="da-DK"/>
        </w:rPr>
        <w:t xml:space="preserve"> </w:t>
      </w:r>
      <w:r w:rsidR="00C11AAB" w:rsidRPr="006D4478">
        <w:rPr>
          <w:sz w:val="24"/>
          <w:lang w:val="da-DK"/>
        </w:rPr>
        <w:tab/>
      </w:r>
      <w:r w:rsidRPr="006D4478">
        <w:rPr>
          <w:sz w:val="24"/>
          <w:lang w:val="da-DK"/>
        </w:rPr>
        <w:t xml:space="preserve">EUT L 193 af 30.7.2018, </w:t>
      </w:r>
      <w:r w:rsidR="00AD1A5B" w:rsidRPr="006D4478">
        <w:rPr>
          <w:sz w:val="24"/>
          <w:lang w:val="da-DK"/>
        </w:rPr>
        <w:t>s</w:t>
      </w:r>
      <w:r w:rsidRPr="006D4478">
        <w:rPr>
          <w:sz w:val="24"/>
          <w:lang w:val="da-DK"/>
        </w:rPr>
        <w:t>. 1.</w:t>
      </w:r>
    </w:p>
  </w:footnote>
  <w:footnote w:id="9">
    <w:p w14:paraId="73AA1C7A" w14:textId="77777777" w:rsidR="006F23C9" w:rsidRPr="00C11AAB" w:rsidRDefault="006F23C9" w:rsidP="00C11AAB">
      <w:pPr>
        <w:pStyle w:val="FootnoteText"/>
        <w:ind w:left="567" w:hanging="567"/>
        <w:rPr>
          <w:sz w:val="24"/>
          <w:lang w:val="da-DK"/>
        </w:rPr>
      </w:pPr>
      <w:r w:rsidRPr="00C11AAB">
        <w:rPr>
          <w:rStyle w:val="FootnoteReference"/>
          <w:sz w:val="24"/>
          <w:lang w:val="da-DK"/>
        </w:rPr>
        <w:footnoteRef/>
      </w:r>
      <w:r w:rsidR="00C11AAB" w:rsidRPr="00C11AAB">
        <w:rPr>
          <w:sz w:val="24"/>
          <w:lang w:val="da-DK"/>
        </w:rPr>
        <w:t xml:space="preserve"> </w:t>
      </w:r>
      <w:r w:rsidR="00C11AAB" w:rsidRPr="00C11AAB">
        <w:rPr>
          <w:sz w:val="24"/>
          <w:lang w:val="da-DK"/>
        </w:rPr>
        <w:tab/>
      </w:r>
      <w:r w:rsidRPr="00C11AAB">
        <w:rPr>
          <w:sz w:val="24"/>
          <w:lang w:val="da-DK"/>
        </w:rPr>
        <w:t>EUT L 142 af 30.4.2004, s. 1.</w:t>
      </w:r>
    </w:p>
  </w:footnote>
  <w:footnote w:id="10">
    <w:p w14:paraId="6013605E" w14:textId="77777777" w:rsidR="006F23C9" w:rsidRPr="00C11AAB" w:rsidRDefault="006F23C9" w:rsidP="00C11AAB">
      <w:pPr>
        <w:pStyle w:val="FootnoteText"/>
        <w:ind w:left="567" w:hanging="567"/>
        <w:rPr>
          <w:sz w:val="24"/>
          <w:szCs w:val="24"/>
          <w:lang w:val="da-DK"/>
        </w:rPr>
      </w:pPr>
      <w:r w:rsidRPr="00C11AAB">
        <w:rPr>
          <w:rStyle w:val="FootnoteReference"/>
          <w:sz w:val="24"/>
          <w:lang w:val="da-DK"/>
        </w:rPr>
        <w:footnoteRef/>
      </w:r>
      <w:r w:rsidR="00C11AAB" w:rsidRPr="00C11AAB">
        <w:rPr>
          <w:sz w:val="24"/>
          <w:lang w:val="da-DK"/>
        </w:rPr>
        <w:t xml:space="preserve"> </w:t>
      </w:r>
      <w:r w:rsidR="00C11AAB" w:rsidRPr="00C11AAB">
        <w:rPr>
          <w:sz w:val="24"/>
          <w:lang w:val="da-DK"/>
        </w:rPr>
        <w:tab/>
      </w:r>
      <w:r w:rsidRPr="00C11AAB">
        <w:rPr>
          <w:sz w:val="24"/>
          <w:lang w:val="da-DK"/>
        </w:rPr>
        <w:t>EUT L 122 af 10.5.2019, s. 1.</w:t>
      </w:r>
    </w:p>
  </w:footnote>
  <w:footnote w:id="11">
    <w:p w14:paraId="6264CD4A" w14:textId="77777777" w:rsidR="006F23C9" w:rsidRPr="00C11AAB" w:rsidRDefault="006F23C9" w:rsidP="00C11AAB">
      <w:pPr>
        <w:pStyle w:val="FootnoteText"/>
        <w:ind w:left="567" w:hanging="567"/>
        <w:rPr>
          <w:sz w:val="24"/>
          <w:lang w:val="da-DK"/>
        </w:rPr>
      </w:pPr>
      <w:r w:rsidRPr="00C11AAB">
        <w:rPr>
          <w:rStyle w:val="FootnoteReference"/>
          <w:sz w:val="24"/>
          <w:lang w:val="da-DK"/>
        </w:rPr>
        <w:footnoteRef/>
      </w:r>
      <w:r w:rsidR="00C11AAB" w:rsidRPr="00C11AAB">
        <w:rPr>
          <w:sz w:val="24"/>
          <w:lang w:val="da-DK"/>
        </w:rPr>
        <w:t xml:space="preserve"> </w:t>
      </w:r>
      <w:r w:rsidR="00C11AAB" w:rsidRPr="00C11AAB">
        <w:rPr>
          <w:sz w:val="24"/>
          <w:lang w:val="da-DK"/>
        </w:rPr>
        <w:tab/>
      </w:r>
      <w:r w:rsidRPr="00C11AAB">
        <w:rPr>
          <w:sz w:val="24"/>
          <w:lang w:val="da-DK"/>
        </w:rPr>
        <w:t>EUT C 38 af 31.1.2023, s. 24.</w:t>
      </w:r>
    </w:p>
  </w:footnote>
  <w:footnote w:id="12">
    <w:p w14:paraId="5024733D" w14:textId="77777777" w:rsidR="006F23C9" w:rsidRPr="00C11AAB" w:rsidRDefault="006F23C9" w:rsidP="00C11AAB">
      <w:pPr>
        <w:pStyle w:val="FootnoteText"/>
        <w:ind w:left="567" w:hanging="567"/>
        <w:rPr>
          <w:sz w:val="24"/>
          <w:lang w:val="da-DK"/>
        </w:rPr>
      </w:pPr>
      <w:r w:rsidRPr="00C11AAB">
        <w:rPr>
          <w:rStyle w:val="FootnoteReference"/>
          <w:sz w:val="24"/>
          <w:lang w:val="da-DK"/>
        </w:rPr>
        <w:footnoteRef/>
      </w:r>
      <w:r w:rsidR="00C11AAB" w:rsidRPr="00C11AAB">
        <w:rPr>
          <w:sz w:val="24"/>
          <w:lang w:val="da-DK"/>
        </w:rPr>
        <w:t xml:space="preserve"> </w:t>
      </w:r>
      <w:r w:rsidR="00C11AAB" w:rsidRPr="00C11AAB">
        <w:rPr>
          <w:sz w:val="24"/>
          <w:lang w:val="da-DK"/>
        </w:rPr>
        <w:tab/>
      </w:r>
      <w:r w:rsidRPr="00C11AAB">
        <w:rPr>
          <w:sz w:val="24"/>
          <w:lang w:val="da-DK"/>
        </w:rPr>
        <w:t>Europa-Parlamentets og Rådets forordning (EU) 2022/2370 af 23. november 2022 om ændring af forordning (EF) nr. 851/2004 om oprettelse af et europæisk center for forebyggelse af og kontrol med sygdomme (EUT L 314 af 6.12.2022, s. 1).</w:t>
      </w:r>
    </w:p>
  </w:footnote>
  <w:footnote w:id="13">
    <w:p w14:paraId="2165BF75" w14:textId="71454B7B" w:rsidR="006F23C9" w:rsidRPr="00C11AAB" w:rsidRDefault="006F23C9" w:rsidP="00C11AAB">
      <w:pPr>
        <w:pStyle w:val="FootnoteText"/>
        <w:ind w:left="567" w:hanging="567"/>
        <w:rPr>
          <w:sz w:val="24"/>
          <w:lang w:val="da-DK"/>
        </w:rPr>
      </w:pPr>
      <w:r w:rsidRPr="00C11AAB">
        <w:rPr>
          <w:rStyle w:val="FootnoteReference"/>
          <w:sz w:val="24"/>
          <w:lang w:val="da-DK"/>
        </w:rPr>
        <w:footnoteRef/>
      </w:r>
      <w:r w:rsidR="00C11AAB" w:rsidRPr="00C11AAB">
        <w:rPr>
          <w:sz w:val="24"/>
          <w:lang w:val="da-DK"/>
        </w:rPr>
        <w:t xml:space="preserve"> </w:t>
      </w:r>
      <w:r w:rsidR="00C11AAB" w:rsidRPr="00C11AAB">
        <w:rPr>
          <w:sz w:val="24"/>
          <w:lang w:val="da-DK"/>
        </w:rPr>
        <w:tab/>
      </w:r>
      <w:r w:rsidRPr="00C11AAB">
        <w:rPr>
          <w:sz w:val="24"/>
          <w:lang w:val="da-DK"/>
        </w:rPr>
        <w:t>Vedtagne tekster, P9_</w:t>
      </w:r>
      <w:proofErr w:type="gramStart"/>
      <w:r w:rsidRPr="00C11AAB">
        <w:rPr>
          <w:sz w:val="24"/>
          <w:lang w:val="da-DK"/>
        </w:rPr>
        <w:t>TA(</w:t>
      </w:r>
      <w:proofErr w:type="gramEnd"/>
      <w:r w:rsidRPr="00C11AAB">
        <w:rPr>
          <w:sz w:val="24"/>
          <w:lang w:val="da-DK"/>
        </w:rPr>
        <w:t>2024)</w:t>
      </w:r>
      <w:r w:rsidR="000815AC">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BC4EA" w14:textId="77777777" w:rsidR="00064002" w:rsidRPr="00C11A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79BE3" w14:textId="77777777" w:rsidR="00064002" w:rsidRPr="00C11A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C097" w14:textId="77777777" w:rsidR="00064002" w:rsidRPr="00C11A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DA"/>
    <w:docVar w:name="dvnumam" w:val="0"/>
    <w:docVar w:name="dvpe" w:val="753.515"/>
    <w:docVar w:name="dvrapporteur" w:val="Ordfører: "/>
    <w:docVar w:name="dvtitre" w:val="1. Europa-Parlamentets afgørelse af 11. april 2024 om decharge for gennemførelsen af budgettet for Det Europæiske Center for Forebyggelse af og Kontrol med Sygdomme for regnskabsåret 2022(2023/2147(DEC))"/>
  </w:docVars>
  <w:rsids>
    <w:rsidRoot w:val="00CD061C"/>
    <w:rsid w:val="00002272"/>
    <w:rsid w:val="00064002"/>
    <w:rsid w:val="000677B9"/>
    <w:rsid w:val="000815AC"/>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392E"/>
    <w:rsid w:val="006631B6"/>
    <w:rsid w:val="00680577"/>
    <w:rsid w:val="006D4478"/>
    <w:rsid w:val="006F23C9"/>
    <w:rsid w:val="006F74FA"/>
    <w:rsid w:val="00731ADD"/>
    <w:rsid w:val="00734777"/>
    <w:rsid w:val="00747932"/>
    <w:rsid w:val="00751A4A"/>
    <w:rsid w:val="00756632"/>
    <w:rsid w:val="00762C74"/>
    <w:rsid w:val="00786EC0"/>
    <w:rsid w:val="007D115F"/>
    <w:rsid w:val="007D1690"/>
    <w:rsid w:val="007E22AD"/>
    <w:rsid w:val="00817416"/>
    <w:rsid w:val="00842779"/>
    <w:rsid w:val="00865F67"/>
    <w:rsid w:val="00881A7B"/>
    <w:rsid w:val="008840E5"/>
    <w:rsid w:val="00887B3E"/>
    <w:rsid w:val="008C2AC6"/>
    <w:rsid w:val="00930C23"/>
    <w:rsid w:val="0093193B"/>
    <w:rsid w:val="009467EF"/>
    <w:rsid w:val="009509D8"/>
    <w:rsid w:val="00950B64"/>
    <w:rsid w:val="00981893"/>
    <w:rsid w:val="00A1687D"/>
    <w:rsid w:val="00A43E52"/>
    <w:rsid w:val="00A4678D"/>
    <w:rsid w:val="00A778C7"/>
    <w:rsid w:val="00AB441E"/>
    <w:rsid w:val="00AB6293"/>
    <w:rsid w:val="00AD1A5B"/>
    <w:rsid w:val="00AE0928"/>
    <w:rsid w:val="00AF3B82"/>
    <w:rsid w:val="00B12E95"/>
    <w:rsid w:val="00B22876"/>
    <w:rsid w:val="00B558F0"/>
    <w:rsid w:val="00BD48FE"/>
    <w:rsid w:val="00BD7BD8"/>
    <w:rsid w:val="00BE6ADC"/>
    <w:rsid w:val="00C05BFE"/>
    <w:rsid w:val="00C11AAB"/>
    <w:rsid w:val="00C23CD4"/>
    <w:rsid w:val="00C61C0C"/>
    <w:rsid w:val="00C941CB"/>
    <w:rsid w:val="00CC2357"/>
    <w:rsid w:val="00CD061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48156"/>
  <w15:chartTrackingRefBased/>
  <w15:docId w15:val="{E8ED4B46-8656-48C3-8079-703F4D01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F23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23C9"/>
    <w:pPr>
      <w:spacing w:before="480" w:after="240"/>
    </w:pPr>
  </w:style>
  <w:style w:type="paragraph" w:customStyle="1" w:styleId="PageHeading">
    <w:name w:val="PageHeading"/>
    <w:basedOn w:val="Normal"/>
    <w:rsid w:val="006F23C9"/>
    <w:pPr>
      <w:keepNext/>
      <w:spacing w:after="480"/>
      <w:jc w:val="center"/>
    </w:pPr>
    <w:rPr>
      <w:rFonts w:ascii="Arial" w:hAnsi="Arial" w:cs="Arial"/>
      <w:b/>
    </w:rPr>
  </w:style>
  <w:style w:type="paragraph" w:customStyle="1" w:styleId="NormalBold">
    <w:name w:val="NormalBold"/>
    <w:basedOn w:val="Normal"/>
    <w:rsid w:val="006F23C9"/>
    <w:rPr>
      <w:b/>
    </w:rPr>
  </w:style>
  <w:style w:type="paragraph" w:customStyle="1" w:styleId="NormalHanging12a">
    <w:name w:val="NormalHanging12a"/>
    <w:basedOn w:val="Normal"/>
    <w:link w:val="NormalHanging12aChar"/>
    <w:rsid w:val="006F23C9"/>
    <w:pPr>
      <w:spacing w:after="240"/>
      <w:ind w:left="567" w:hanging="567"/>
    </w:pPr>
  </w:style>
  <w:style w:type="paragraph" w:customStyle="1" w:styleId="NormalCenter12a">
    <w:name w:val="NormalCenter12a"/>
    <w:basedOn w:val="Normal"/>
    <w:rsid w:val="006F23C9"/>
    <w:pPr>
      <w:spacing w:after="240"/>
      <w:jc w:val="center"/>
    </w:pPr>
  </w:style>
  <w:style w:type="paragraph" w:styleId="Header">
    <w:name w:val="header"/>
    <w:basedOn w:val="Normal"/>
    <w:link w:val="HeaderChar"/>
    <w:rsid w:val="006F23C9"/>
    <w:pPr>
      <w:tabs>
        <w:tab w:val="center" w:pos="4513"/>
        <w:tab w:val="right" w:pos="9026"/>
      </w:tabs>
    </w:pPr>
  </w:style>
  <w:style w:type="character" w:customStyle="1" w:styleId="HeaderChar">
    <w:name w:val="Header Char"/>
    <w:basedOn w:val="DefaultParagraphFont"/>
    <w:link w:val="Header"/>
    <w:rsid w:val="006F23C9"/>
    <w:rPr>
      <w:sz w:val="24"/>
      <w:lang w:val="da-DK"/>
    </w:rPr>
  </w:style>
  <w:style w:type="paragraph" w:customStyle="1" w:styleId="EPFooter">
    <w:name w:val="EPFooter"/>
    <w:basedOn w:val="Normal"/>
    <w:rsid w:val="006F23C9"/>
    <w:pPr>
      <w:tabs>
        <w:tab w:val="center" w:pos="4535"/>
        <w:tab w:val="right" w:pos="9071"/>
      </w:tabs>
      <w:spacing w:before="240" w:after="240"/>
    </w:pPr>
    <w:rPr>
      <w:color w:val="010000"/>
      <w:sz w:val="22"/>
    </w:rPr>
  </w:style>
  <w:style w:type="paragraph" w:styleId="ListParagraph">
    <w:name w:val="List Paragraph"/>
    <w:basedOn w:val="Normal"/>
    <w:uiPriority w:val="34"/>
    <w:qFormat/>
    <w:rsid w:val="006F23C9"/>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6F23C9"/>
    <w:rPr>
      <w:sz w:val="24"/>
      <w:lang w:val="da-DK"/>
    </w:rPr>
  </w:style>
  <w:style w:type="paragraph" w:customStyle="1" w:styleId="Normal24a">
    <w:name w:val="Normal24a"/>
    <w:basedOn w:val="Normal"/>
    <w:rsid w:val="006F23C9"/>
    <w:pPr>
      <w:spacing w:after="480"/>
    </w:pPr>
  </w:style>
  <w:style w:type="paragraph" w:customStyle="1" w:styleId="Normal12a">
    <w:name w:val="Normal12a"/>
    <w:basedOn w:val="Normal"/>
    <w:rsid w:val="006F23C9"/>
    <w:pPr>
      <w:spacing w:after="240"/>
    </w:pPr>
  </w:style>
  <w:style w:type="paragraph" w:customStyle="1" w:styleId="PageHeadingNotTOC">
    <w:name w:val="PageHeadingNotTOC"/>
    <w:basedOn w:val="Normal"/>
    <w:rsid w:val="006F23C9"/>
    <w:pPr>
      <w:keepNext/>
      <w:spacing w:after="480"/>
      <w:jc w:val="center"/>
    </w:pPr>
    <w:rPr>
      <w:rFonts w:ascii="Arial" w:hAnsi="Arial" w:cs="Arial"/>
      <w:b/>
    </w:rPr>
  </w:style>
  <w:style w:type="paragraph" w:styleId="Footer">
    <w:name w:val="footer"/>
    <w:basedOn w:val="Normal"/>
    <w:link w:val="FooterChar"/>
    <w:rsid w:val="009467EF"/>
    <w:pPr>
      <w:tabs>
        <w:tab w:val="center" w:pos="4513"/>
        <w:tab w:val="right" w:pos="9026"/>
      </w:tabs>
    </w:pPr>
  </w:style>
  <w:style w:type="character" w:customStyle="1" w:styleId="FooterChar">
    <w:name w:val="Footer Char"/>
    <w:basedOn w:val="DefaultParagraphFont"/>
    <w:link w:val="Footer"/>
    <w:rsid w:val="009467EF"/>
    <w:rPr>
      <w:sz w:val="24"/>
      <w:lang w:val="da-DK"/>
    </w:rPr>
  </w:style>
  <w:style w:type="character" w:styleId="CommentReference">
    <w:name w:val="annotation reference"/>
    <w:basedOn w:val="DefaultParagraphFont"/>
    <w:rsid w:val="009467EF"/>
    <w:rPr>
      <w:sz w:val="16"/>
      <w:szCs w:val="16"/>
    </w:rPr>
  </w:style>
  <w:style w:type="paragraph" w:styleId="CommentText">
    <w:name w:val="annotation text"/>
    <w:basedOn w:val="Normal"/>
    <w:link w:val="CommentTextChar"/>
    <w:rsid w:val="009467EF"/>
    <w:rPr>
      <w:sz w:val="20"/>
    </w:rPr>
  </w:style>
  <w:style w:type="character" w:customStyle="1" w:styleId="CommentTextChar">
    <w:name w:val="Comment Text Char"/>
    <w:basedOn w:val="DefaultParagraphFont"/>
    <w:link w:val="CommentText"/>
    <w:rsid w:val="009467EF"/>
    <w:rPr>
      <w:lang w:val="da-DK"/>
    </w:rPr>
  </w:style>
  <w:style w:type="paragraph" w:styleId="CommentSubject">
    <w:name w:val="annotation subject"/>
    <w:basedOn w:val="CommentText"/>
    <w:next w:val="CommentText"/>
    <w:link w:val="CommentSubjectChar"/>
    <w:rsid w:val="009467EF"/>
    <w:rPr>
      <w:b/>
      <w:bCs/>
    </w:rPr>
  </w:style>
  <w:style w:type="character" w:customStyle="1" w:styleId="CommentSubjectChar">
    <w:name w:val="Comment Subject Char"/>
    <w:basedOn w:val="CommentTextChar"/>
    <w:link w:val="CommentSubject"/>
    <w:rsid w:val="009467EF"/>
    <w:rPr>
      <w:b/>
      <w:bCs/>
      <w:lang w:val="da-DK"/>
    </w:rPr>
  </w:style>
  <w:style w:type="paragraph" w:styleId="BalloonText">
    <w:name w:val="Balloon Text"/>
    <w:basedOn w:val="Normal"/>
    <w:link w:val="BalloonTextChar"/>
    <w:rsid w:val="009467EF"/>
    <w:rPr>
      <w:rFonts w:ascii="Segoe UI" w:hAnsi="Segoe UI" w:cs="Segoe UI"/>
      <w:sz w:val="18"/>
      <w:szCs w:val="18"/>
    </w:rPr>
  </w:style>
  <w:style w:type="character" w:customStyle="1" w:styleId="BalloonTextChar">
    <w:name w:val="Balloon Text Char"/>
    <w:basedOn w:val="DefaultParagraphFont"/>
    <w:link w:val="BalloonText"/>
    <w:rsid w:val="009467E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2EA5E-866D-470F-939B-5F998C83E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3026</Words>
  <Characters>18542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Karina Pesa</cp:lastModifiedBy>
  <cp:revision>3</cp:revision>
  <cp:lastPrinted>2004-11-19T15:42:00Z</cp:lastPrinted>
  <dcterms:created xsi:type="dcterms:W3CDTF">2024-05-21T14:15:00Z</dcterms:created>
  <dcterms:modified xsi:type="dcterms:W3CDTF">2024-10-30T16:19:00Z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P9_TA(2024)0251_</vt:lpwstr>
  </property>
  <property fmtid="{D5CDD505-2E9C-101B-9397-08002B2CF9AE}" pid="4" name="&lt;Type&gt;">
    <vt:lpwstr>RR</vt:lpwstr>
  </property>
</Properties>
</file>