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5AF1" w:rsidTr="0010095E">
        <w:trPr>
          <w:trHeight w:hRule="exact" w:val="1418"/>
        </w:trPr>
        <w:tc>
          <w:tcPr>
            <w:tcW w:w="6804" w:type="dxa"/>
            <w:shd w:val="clear" w:color="auto" w:fill="auto"/>
            <w:vAlign w:val="center"/>
          </w:tcPr>
          <w:p w:rsidR="00751A4A" w:rsidRPr="00075AF1" w:rsidRDefault="004232CC" w:rsidP="0010095E">
            <w:pPr>
              <w:pStyle w:val="EPName"/>
            </w:pPr>
            <w:r w:rsidRPr="00075AF1">
              <w:t>Ευρωπαϊκό Κοινοβούλιο</w:t>
            </w:r>
          </w:p>
          <w:p w:rsidR="00751A4A" w:rsidRPr="00075AF1" w:rsidRDefault="00817416" w:rsidP="00756632">
            <w:pPr>
              <w:pStyle w:val="EPTerm"/>
              <w:rPr>
                <w:rStyle w:val="HideTWBExt"/>
                <w:noProof w:val="0"/>
                <w:vanish w:val="0"/>
                <w:color w:val="auto"/>
              </w:rPr>
            </w:pPr>
            <w:r w:rsidRPr="00075AF1">
              <w:t>2019-2024</w:t>
            </w:r>
          </w:p>
        </w:tc>
        <w:tc>
          <w:tcPr>
            <w:tcW w:w="2268" w:type="dxa"/>
            <w:shd w:val="clear" w:color="auto" w:fill="auto"/>
          </w:tcPr>
          <w:p w:rsidR="00751A4A" w:rsidRPr="00075AF1" w:rsidRDefault="00187494" w:rsidP="0010095E">
            <w:pPr>
              <w:pStyle w:val="EPLogo"/>
            </w:pPr>
            <w:r w:rsidRPr="00075AF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75AF1" w:rsidRDefault="00D058B8" w:rsidP="004C5D52">
      <w:pPr>
        <w:pStyle w:val="LineTop"/>
      </w:pPr>
    </w:p>
    <w:p w:rsidR="00680577" w:rsidRPr="00075AF1" w:rsidRDefault="004232CC" w:rsidP="00680577">
      <w:pPr>
        <w:pStyle w:val="EPBodyTA1"/>
      </w:pPr>
      <w:r w:rsidRPr="00075AF1">
        <w:t>ΚΕΙΜΕΝΑ ΠΟΥ ΕΓΚΡΙΘΗΚΑΝ</w:t>
      </w:r>
    </w:p>
    <w:p w:rsidR="00D058B8" w:rsidRPr="00075AF1" w:rsidRDefault="00D058B8" w:rsidP="00D058B8">
      <w:pPr>
        <w:pStyle w:val="LineBottom"/>
      </w:pPr>
    </w:p>
    <w:p w:rsidR="004232CC" w:rsidRPr="00075AF1" w:rsidRDefault="004232CC" w:rsidP="004232CC">
      <w:pPr>
        <w:pStyle w:val="ATHeading1"/>
      </w:pPr>
      <w:bookmarkStart w:id="0" w:name="TANumber"/>
      <w:r w:rsidRPr="00075AF1">
        <w:t>P9_TA(2024)</w:t>
      </w:r>
      <w:bookmarkEnd w:id="0"/>
      <w:r w:rsidR="00254C0B" w:rsidRPr="00075AF1">
        <w:t>0</w:t>
      </w:r>
      <w:r w:rsidR="00254C0B">
        <w:t>251</w:t>
      </w:r>
    </w:p>
    <w:p w:rsidR="004232CC" w:rsidRPr="00075AF1" w:rsidRDefault="004232CC" w:rsidP="004232CC">
      <w:pPr>
        <w:pStyle w:val="ATHeading2"/>
      </w:pPr>
      <w:bookmarkStart w:id="1" w:name="title"/>
      <w:r w:rsidRPr="00075AF1">
        <w:t>Απαλλαγή 2022: Ευρωπαϊκό Κέντρο Πρόληψης και Ελέγχου Νόσων</w:t>
      </w:r>
      <w:bookmarkEnd w:id="1"/>
    </w:p>
    <w:p w:rsidR="004232CC" w:rsidRPr="00075AF1" w:rsidRDefault="004232CC" w:rsidP="004232CC">
      <w:pPr>
        <w:rPr>
          <w:i/>
          <w:vanish/>
        </w:rPr>
      </w:pPr>
      <w:r w:rsidRPr="00075AF1">
        <w:rPr>
          <w:i/>
        </w:rPr>
        <w:fldChar w:fldCharType="begin"/>
      </w:r>
      <w:r w:rsidRPr="00075AF1">
        <w:rPr>
          <w:i/>
        </w:rPr>
        <w:instrText xml:space="preserve"> TC"(</w:instrText>
      </w:r>
      <w:bookmarkStart w:id="2" w:name="DocNumber"/>
      <w:r w:rsidRPr="00075AF1">
        <w:rPr>
          <w:i/>
        </w:rPr>
        <w:instrText>A9-0109/2024</w:instrText>
      </w:r>
      <w:bookmarkEnd w:id="2"/>
      <w:r w:rsidRPr="00075AF1">
        <w:rPr>
          <w:i/>
        </w:rPr>
        <w:instrText xml:space="preserve"> - Εισηγητής: </w:instrText>
      </w:r>
      <w:proofErr w:type="spellStart"/>
      <w:r w:rsidRPr="00075AF1">
        <w:rPr>
          <w:i/>
        </w:rPr>
        <w:instrText>Petri</w:instrText>
      </w:r>
      <w:proofErr w:type="spellEnd"/>
      <w:r w:rsidRPr="00075AF1">
        <w:rPr>
          <w:i/>
        </w:rPr>
        <w:instrText xml:space="preserve"> </w:instrText>
      </w:r>
      <w:proofErr w:type="spellStart"/>
      <w:r w:rsidRPr="00075AF1">
        <w:rPr>
          <w:i/>
        </w:rPr>
        <w:instrText>Sarvamaa</w:instrText>
      </w:r>
      <w:proofErr w:type="spellEnd"/>
      <w:r w:rsidRPr="00075AF1">
        <w:rPr>
          <w:i/>
        </w:rPr>
        <w:instrText xml:space="preserve">)"\l3 \n&gt; \* MERGEFORMAT </w:instrText>
      </w:r>
      <w:r w:rsidRPr="00075AF1">
        <w:rPr>
          <w:i/>
        </w:rPr>
        <w:fldChar w:fldCharType="end"/>
      </w:r>
    </w:p>
    <w:p w:rsidR="004232CC" w:rsidRPr="00075AF1" w:rsidRDefault="004232CC" w:rsidP="004232CC">
      <w:pPr>
        <w:rPr>
          <w:vanish/>
        </w:rPr>
      </w:pPr>
      <w:bookmarkStart w:id="3" w:name="Commission"/>
      <w:r w:rsidRPr="00075AF1">
        <w:rPr>
          <w:vanish/>
        </w:rPr>
        <w:t>Επιτροπή Ελέγχου του Προϋπολογισμού</w:t>
      </w:r>
      <w:bookmarkEnd w:id="3"/>
    </w:p>
    <w:p w:rsidR="004232CC" w:rsidRPr="00075AF1" w:rsidRDefault="004232CC" w:rsidP="004232CC">
      <w:pPr>
        <w:rPr>
          <w:vanish/>
        </w:rPr>
      </w:pPr>
      <w:bookmarkStart w:id="4" w:name="PE"/>
      <w:r w:rsidRPr="00075AF1">
        <w:rPr>
          <w:vanish/>
        </w:rPr>
        <w:t>PE753.515</w:t>
      </w:r>
      <w:bookmarkEnd w:id="4"/>
    </w:p>
    <w:p w:rsidR="004232CC" w:rsidRPr="00075AF1" w:rsidRDefault="00ED2DCF" w:rsidP="004232CC">
      <w:pPr>
        <w:pStyle w:val="ATHeading3"/>
      </w:pPr>
      <w:bookmarkStart w:id="5" w:name="Sujet"/>
      <w:r>
        <w:t xml:space="preserve">1. </w:t>
      </w:r>
      <w:r w:rsidR="004232CC" w:rsidRPr="00075AF1">
        <w:t xml:space="preserve">Απόφαση του Ευρωπαϊκού Κοινοβουλίου </w:t>
      </w:r>
      <w:r w:rsidR="00B72643">
        <w:t xml:space="preserve">της 11ης Απριλίου 2024 </w:t>
      </w:r>
      <w:r w:rsidR="004232CC" w:rsidRPr="00075AF1">
        <w:t>σχετικά με την απαλλαγή όσον αφορά την εκτέλεση του προϋπολογισμού του Ευρωπαϊκού Κέντρου Πρόληψης και Ελέγχου Νόσων για το οικονομικό έτος 2022</w:t>
      </w:r>
      <w:bookmarkEnd w:id="5"/>
      <w:r w:rsidR="004232CC" w:rsidRPr="00075AF1">
        <w:t xml:space="preserve"> </w:t>
      </w:r>
      <w:bookmarkStart w:id="6" w:name="References"/>
      <w:r w:rsidR="004232CC" w:rsidRPr="00075AF1">
        <w:t>(2023/2147(DEC))</w:t>
      </w:r>
      <w:bookmarkEnd w:id="6"/>
    </w:p>
    <w:p w:rsidR="00A93A34" w:rsidRPr="00075AF1" w:rsidRDefault="00A93A34" w:rsidP="00A93A34">
      <w:pPr>
        <w:pStyle w:val="EPComma"/>
      </w:pPr>
      <w:bookmarkStart w:id="7" w:name="TextBodyBegin"/>
      <w:bookmarkEnd w:id="7"/>
      <w:r w:rsidRPr="00075AF1">
        <w:rPr>
          <w:i/>
        </w:rPr>
        <w:t>Το Ευρωπαϊκό Κοινοβούλιο</w:t>
      </w:r>
      <w:r w:rsidRPr="00075AF1">
        <w:t>,</w:t>
      </w:r>
    </w:p>
    <w:p w:rsidR="00A93A34" w:rsidRPr="00075AF1" w:rsidRDefault="00A93A34" w:rsidP="00A93A34">
      <w:pPr>
        <w:pStyle w:val="NormalHanging12a"/>
      </w:pPr>
      <w:r w:rsidRPr="00075AF1">
        <w:t>–</w:t>
      </w:r>
      <w:r w:rsidRPr="00075AF1">
        <w:tab/>
        <w:t>έχοντας υπόψη τους οριστικούς ετήσιους λογαριασμούς του Ευρωπαϊκού Κέντρου Πρόληψης και Ελέγχου Νόσων για το οικονομικό</w:t>
      </w:r>
      <w:bookmarkStart w:id="8" w:name="_GoBack"/>
      <w:bookmarkEnd w:id="8"/>
      <w:r w:rsidRPr="00075AF1">
        <w:t xml:space="preserve"> έτος 2022,</w:t>
      </w:r>
    </w:p>
    <w:p w:rsidR="00A93A34" w:rsidRPr="00075AF1" w:rsidRDefault="00A93A34" w:rsidP="00A93A34">
      <w:pPr>
        <w:pStyle w:val="NormalHanging12a"/>
      </w:pPr>
      <w:r w:rsidRPr="00075AF1">
        <w:t>–</w:t>
      </w:r>
      <w:r w:rsidRPr="00075AF1">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075AF1">
        <w:rPr>
          <w:rStyle w:val="FootnoteReference"/>
        </w:rPr>
        <w:footnoteReference w:id="1"/>
      </w:r>
      <w:r w:rsidRPr="00075AF1">
        <w:t>,</w:t>
      </w:r>
    </w:p>
    <w:p w:rsidR="00A93A34" w:rsidRPr="00075AF1" w:rsidRDefault="00A93A34" w:rsidP="00A93A34">
      <w:pPr>
        <w:pStyle w:val="NormalHanging12a"/>
      </w:pPr>
      <w:r w:rsidRPr="00075AF1">
        <w:t>–</w:t>
      </w:r>
      <w:r w:rsidRPr="00075AF1">
        <w:tab/>
        <w:t>έχοντας υπόψη τη δήλωση αξιοπιστίας</w:t>
      </w:r>
      <w:r w:rsidRPr="00075AF1">
        <w:rPr>
          <w:rStyle w:val="FootnoteReference"/>
        </w:rPr>
        <w:footnoteReference w:id="2"/>
      </w:r>
      <w:r w:rsidRPr="00075AF1">
        <w:t xml:space="preserve"> η οποία βεβαιώνει την ακρίβεια των λογαριασμών και τη νομιμότητα και κανονικότητα των σχετικών πράξεων, την οποία </w:t>
      </w:r>
      <w:proofErr w:type="spellStart"/>
      <w:r w:rsidRPr="00075AF1">
        <w:t>ενεχείρισε</w:t>
      </w:r>
      <w:proofErr w:type="spellEnd"/>
      <w:r w:rsidRPr="00075AF1">
        <w:t xml:space="preserve"> το Ελεγκτικό Συνέδριο για το οικονομικό έτος 2022, σύμφωνα με το άρθρο 287 της Συνθήκης για τη λειτουργία της Ευρωπαϊκής Ένωσης,</w:t>
      </w:r>
    </w:p>
    <w:p w:rsidR="00A93A34" w:rsidRPr="00075AF1" w:rsidRDefault="00A93A34" w:rsidP="00A93A34">
      <w:pPr>
        <w:pStyle w:val="NormalHanging12a"/>
      </w:pPr>
      <w:r w:rsidRPr="00075AF1">
        <w:t>–</w:t>
      </w:r>
      <w:r w:rsidRPr="00075AF1">
        <w:tab/>
        <w:t>έχοντας υπόψη τη σύσταση του Συμβουλίου, της 22ας Φεβρουαρίου 2024, σχετικά με τη χορήγηση απαλλαγής στο Κέντρο όσον αφορά την εκτέλεση του προϋπολογισμού για το οικονομικό έτος 2022 (</w:t>
      </w:r>
      <w:r w:rsidR="00B72643" w:rsidRPr="00075AF1">
        <w:t>0</w:t>
      </w:r>
      <w:r w:rsidR="00B72643">
        <w:t>6180</w:t>
      </w:r>
      <w:r w:rsidRPr="00075AF1">
        <w:t>/2024 – C9</w:t>
      </w:r>
      <w:r w:rsidRPr="00075AF1">
        <w:noBreakHyphen/>
      </w:r>
      <w:r w:rsidR="00B72643" w:rsidRPr="00075AF1">
        <w:t>00</w:t>
      </w:r>
      <w:r w:rsidR="00B72643">
        <w:t>85</w:t>
      </w:r>
      <w:r w:rsidRPr="00075AF1">
        <w:t>/2024),</w:t>
      </w:r>
    </w:p>
    <w:p w:rsidR="00A93A34" w:rsidRPr="00075AF1" w:rsidRDefault="00A93A34" w:rsidP="00A93A34">
      <w:pPr>
        <w:pStyle w:val="NormalHanging12a"/>
      </w:pPr>
      <w:r w:rsidRPr="00075AF1">
        <w:t>–</w:t>
      </w:r>
      <w:r w:rsidRPr="00075AF1">
        <w:tab/>
        <w:t>έχοντας υπόψη το άρθρο 319 της Συνθήκης για τη λειτουργία της Ευρωπαϊκής Ένωσης,</w:t>
      </w:r>
    </w:p>
    <w:p w:rsidR="00A93A34" w:rsidRPr="00075AF1" w:rsidRDefault="00A93A34" w:rsidP="00A93A34">
      <w:pPr>
        <w:pStyle w:val="NormalHanging12a"/>
      </w:pPr>
      <w:r w:rsidRPr="00075AF1">
        <w:t>–</w:t>
      </w:r>
      <w:r w:rsidRPr="00075AF1">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w:t>
      </w:r>
      <w:r w:rsidRPr="00075AF1">
        <w:lastRenderedPageBreak/>
        <w:t>αριθ. 966/2012</w:t>
      </w:r>
      <w:r w:rsidRPr="00075AF1">
        <w:rPr>
          <w:rStyle w:val="FootnoteReference"/>
        </w:rPr>
        <w:footnoteReference w:id="3"/>
      </w:r>
      <w:r w:rsidRPr="00075AF1">
        <w:t>, και ιδίως το άρθρο 70,</w:t>
      </w:r>
    </w:p>
    <w:p w:rsidR="00A93A34" w:rsidRPr="00075AF1" w:rsidRDefault="00A93A34" w:rsidP="00A93A34">
      <w:pPr>
        <w:pStyle w:val="NormalHanging12a"/>
      </w:pPr>
      <w:r w:rsidRPr="00075AF1">
        <w:t>–</w:t>
      </w:r>
      <w:r w:rsidRPr="00075AF1">
        <w:tab/>
        <w:t>έχοντας υπόψη τον κανονισμό (ΕΚ) αριθ. 851/2004 του Ευρωπαϊκού Κοινοβουλίου και του Συμβουλίου, της 21ης Απριλίου 2004, για την ίδρυση του Ευρωπαϊκού Κέντρου Πρόληψης και Ελέγχου Νόσων</w:t>
      </w:r>
      <w:r w:rsidRPr="00075AF1">
        <w:rPr>
          <w:rStyle w:val="FootnoteReference"/>
        </w:rPr>
        <w:footnoteReference w:id="4"/>
      </w:r>
      <w:r w:rsidRPr="00075AF1">
        <w:t>, και ιδίως το άρθρο 23,</w:t>
      </w:r>
    </w:p>
    <w:p w:rsidR="00A93A34" w:rsidRPr="00075AF1" w:rsidRDefault="00A93A34" w:rsidP="00A93A34">
      <w:pPr>
        <w:pStyle w:val="NormalHanging12a"/>
      </w:pPr>
      <w:r w:rsidRPr="00075AF1">
        <w:t>–</w:t>
      </w:r>
      <w:r w:rsidRPr="00075AF1">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075AF1">
        <w:rPr>
          <w:rStyle w:val="FootnoteReference"/>
        </w:rPr>
        <w:footnoteReference w:id="5"/>
      </w:r>
      <w:r w:rsidRPr="00075AF1">
        <w:t>, και ιδίως το άρθρο 105,</w:t>
      </w:r>
    </w:p>
    <w:p w:rsidR="00A93A34" w:rsidRPr="00075AF1" w:rsidRDefault="00A93A34" w:rsidP="00A93A34">
      <w:pPr>
        <w:pStyle w:val="NormalHanging12a"/>
      </w:pPr>
      <w:r w:rsidRPr="00075AF1">
        <w:t>–</w:t>
      </w:r>
      <w:r w:rsidRPr="00075AF1">
        <w:tab/>
        <w:t>έχοντας υπόψη το άρθρο 100 και το παράρτημα V του Κανονισμού του,</w:t>
      </w:r>
    </w:p>
    <w:p w:rsidR="00A93A34" w:rsidRPr="00075AF1" w:rsidRDefault="00A93A34" w:rsidP="00A93A34">
      <w:pPr>
        <w:pStyle w:val="NormalHanging12a"/>
      </w:pPr>
      <w:r w:rsidRPr="00075AF1">
        <w:t>–</w:t>
      </w:r>
      <w:r w:rsidRPr="00075AF1">
        <w:tab/>
        <w:t>έχοντας υπόψη τη γνωμοδότηση της Επιτροπής Περιβάλλοντος, Δημόσιας Υγείας και Ασφάλειας των Τροφίμων,</w:t>
      </w:r>
    </w:p>
    <w:p w:rsidR="00A93A34" w:rsidRPr="00075AF1" w:rsidRDefault="00A93A34" w:rsidP="00A93A34">
      <w:pPr>
        <w:pStyle w:val="NormalHanging12a"/>
      </w:pPr>
      <w:r w:rsidRPr="00075AF1">
        <w:t>–</w:t>
      </w:r>
      <w:r w:rsidRPr="00075AF1">
        <w:tab/>
        <w:t>έχοντας υπόψη την έκθεση της Επιτροπής Ελέγχου του Προϋπολογισμού (A9‑0109/2024),</w:t>
      </w:r>
    </w:p>
    <w:p w:rsidR="00A93A34" w:rsidRPr="00075AF1" w:rsidRDefault="00254C0B" w:rsidP="00254C0B">
      <w:pPr>
        <w:pStyle w:val="NormalHanging12a"/>
        <w:ind w:hanging="570"/>
      </w:pPr>
      <w:r w:rsidRPr="00075AF1">
        <w:t>1.</w:t>
      </w:r>
      <w:r w:rsidRPr="00075AF1">
        <w:tab/>
      </w:r>
      <w:r w:rsidR="00A93A34" w:rsidRPr="00075AF1">
        <w:t>χορηγεί απαλλαγή στη διευθύντρια του Ευρωπαϊκού Κέντρου Πρόληψης και Ελέγχου Νόσων όσον αφορά την εκτέλεση του προϋπολογισμού του Κέντρου για το οικονομικό έτος 2022·</w:t>
      </w:r>
    </w:p>
    <w:p w:rsidR="00A93A34" w:rsidRPr="00075AF1" w:rsidRDefault="00254C0B" w:rsidP="00254C0B">
      <w:pPr>
        <w:pStyle w:val="NormalHanging12a"/>
        <w:ind w:hanging="570"/>
      </w:pPr>
      <w:r w:rsidRPr="00075AF1">
        <w:t>2.</w:t>
      </w:r>
      <w:r w:rsidRPr="00075AF1">
        <w:tab/>
      </w:r>
      <w:r w:rsidR="00A93A34" w:rsidRPr="00075AF1">
        <w:t>εκθέτει τις παρατηρήσεις του στο ψήφισμα που ακολουθεί·</w:t>
      </w:r>
    </w:p>
    <w:p w:rsidR="00A93A34" w:rsidRPr="00075AF1" w:rsidRDefault="00254C0B" w:rsidP="00254C0B">
      <w:pPr>
        <w:pStyle w:val="NormalHanging12a"/>
        <w:ind w:hanging="570"/>
      </w:pPr>
      <w:r w:rsidRPr="00075AF1">
        <w:t>3.</w:t>
      </w:r>
      <w:r w:rsidRPr="00075AF1">
        <w:tab/>
      </w:r>
      <w:r w:rsidR="00A93A34" w:rsidRPr="00075AF1">
        <w:t>αναθέτει στην Πρόεδρό του να διαβιβάσει την παρούσα απόφαση και το ψήφισμα που αποτελεί αναπόσπαστο μέρος της στη διευθύντρια του Ευρωπαϊκού Κέντρου Πρόληψης και Ελέγχου Νόσων, στο Συμβούλιο, στην Επιτροπή και στο Ελεγκτικό Συνέδριο, και να μεριμνήσει για τη δημοσίευσή τους στην Επίσημη Εφημερίδα της Ευρωπαϊκής Ένωσης (σειρά L).</w:t>
      </w:r>
    </w:p>
    <w:p w:rsidR="00A93A34" w:rsidRPr="00075AF1" w:rsidRDefault="00A93A34" w:rsidP="00A93A34"/>
    <w:p w:rsidR="00A93A34" w:rsidRPr="00075AF1" w:rsidRDefault="00A93A34" w:rsidP="00A93A34">
      <w:pPr>
        <w:widowControl/>
        <w:rPr>
          <w:rFonts w:ascii="Arial" w:hAnsi="Arial" w:cs="Arial"/>
          <w:b/>
        </w:rPr>
        <w:sectPr w:rsidR="00A93A34" w:rsidRPr="00075AF1" w:rsidSect="00075AF1">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A93A34" w:rsidRPr="00075AF1" w:rsidRDefault="00DD1013" w:rsidP="00DD1013">
      <w:pPr>
        <w:pStyle w:val="ATHeading3"/>
      </w:pPr>
      <w:r>
        <w:t>2. Απόφαση του Ευρωπαϊκού Κοινοβουλίου</w:t>
      </w:r>
      <w:r w:rsidR="00B72643">
        <w:t xml:space="preserve"> της 11ης Απριλίου 2024</w:t>
      </w:r>
      <w:r>
        <w:t xml:space="preserve"> </w:t>
      </w:r>
      <w:r w:rsidR="00A93A34" w:rsidRPr="00075AF1">
        <w:t>σχετικά με το κλείσιμο των λογαριασμών του Ευρωπαϊκού Κέντρου Πρόληψης και Ελέγχου Νόσων για το οικονομικό έτος 2022</w:t>
      </w:r>
      <w:r w:rsidR="00ED2DCF">
        <w:t xml:space="preserve"> </w:t>
      </w:r>
      <w:r w:rsidR="00A93A34" w:rsidRPr="00075AF1">
        <w:t>(2023/2147(DEC))</w:t>
      </w:r>
    </w:p>
    <w:p w:rsidR="00A93A34" w:rsidRPr="00075AF1" w:rsidRDefault="00A93A34" w:rsidP="00A93A34">
      <w:pPr>
        <w:pStyle w:val="EPComma"/>
      </w:pPr>
      <w:r w:rsidRPr="00075AF1">
        <w:rPr>
          <w:i/>
        </w:rPr>
        <w:t>Το Ευρωπαϊκό Κοινοβούλιο</w:t>
      </w:r>
      <w:r w:rsidRPr="00075AF1">
        <w:t>,</w:t>
      </w:r>
    </w:p>
    <w:p w:rsidR="00A93A34" w:rsidRPr="00075AF1" w:rsidRDefault="00A93A34" w:rsidP="00A93A34">
      <w:pPr>
        <w:pStyle w:val="NormalHanging12a"/>
      </w:pPr>
      <w:r w:rsidRPr="00075AF1">
        <w:t>–</w:t>
      </w:r>
      <w:r w:rsidRPr="00075AF1">
        <w:tab/>
        <w:t>έχοντας υπόψη τους οριστικούς ετήσιους λογαριασμούς του Ευρωπαϊκού Κέντρου Πρόληψης και Ελέγχου Νόσων για το οικονομικό έτος 2022,</w:t>
      </w:r>
    </w:p>
    <w:p w:rsidR="00A93A34" w:rsidRPr="00075AF1" w:rsidRDefault="00A93A34" w:rsidP="00A93A34">
      <w:pPr>
        <w:pStyle w:val="NormalHanging12a"/>
      </w:pPr>
      <w:r w:rsidRPr="00075AF1">
        <w:t>–</w:t>
      </w:r>
      <w:r w:rsidRPr="00075AF1">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075AF1">
        <w:rPr>
          <w:rStyle w:val="FootnoteReference"/>
        </w:rPr>
        <w:footnoteReference w:id="6"/>
      </w:r>
      <w:r w:rsidRPr="00075AF1">
        <w:t>,</w:t>
      </w:r>
    </w:p>
    <w:p w:rsidR="00A93A34" w:rsidRPr="00075AF1" w:rsidRDefault="00A93A34" w:rsidP="00A93A34">
      <w:pPr>
        <w:pStyle w:val="NormalHanging12a"/>
      </w:pPr>
      <w:r w:rsidRPr="00075AF1">
        <w:t>–</w:t>
      </w:r>
      <w:r w:rsidRPr="00075AF1">
        <w:tab/>
        <w:t>έχοντας υπόψη τη δήλωση αξιοπιστίας</w:t>
      </w:r>
      <w:r w:rsidRPr="00075AF1">
        <w:rPr>
          <w:rStyle w:val="FootnoteReference"/>
        </w:rPr>
        <w:footnoteReference w:id="7"/>
      </w:r>
      <w:r w:rsidRPr="00075AF1">
        <w:t xml:space="preserve"> η οποία βεβαιώνει την ακρίβεια των λογαριασμών και τη νομιμότητα και κανονικότητα των σχετικών πράξεων, την οποία </w:t>
      </w:r>
      <w:proofErr w:type="spellStart"/>
      <w:r w:rsidRPr="00075AF1">
        <w:t>ενεχείρισε</w:t>
      </w:r>
      <w:proofErr w:type="spellEnd"/>
      <w:r w:rsidRPr="00075AF1">
        <w:t xml:space="preserve"> το Ελεγκτικό Συνέδριο για το οικονομικό έτος 2022, σύμφωνα με το άρθρο 287 της Συνθήκης για τη λειτουργία της Ευρωπαϊκής Ένωσης,</w:t>
      </w:r>
    </w:p>
    <w:p w:rsidR="00A93A34" w:rsidRPr="00075AF1" w:rsidRDefault="00A93A34" w:rsidP="00A93A34">
      <w:pPr>
        <w:pStyle w:val="NormalHanging12a"/>
      </w:pPr>
      <w:r w:rsidRPr="00075AF1">
        <w:t>–</w:t>
      </w:r>
      <w:r w:rsidRPr="00075AF1">
        <w:tab/>
        <w:t>έχοντας υπόψη τη σύσταση του Συμβουλίου, της 22ας Φεβρουαρίου 2024, σχετικά με τη χορήγηση απαλλαγής στο Κέντρο όσον αφορά την εκτέλεση του προϋπολογισμού για το οικονομικό έτος 2022 (</w:t>
      </w:r>
      <w:r w:rsidR="00B72643" w:rsidRPr="00075AF1">
        <w:t>0</w:t>
      </w:r>
      <w:r w:rsidR="00B72643">
        <w:t>6180</w:t>
      </w:r>
      <w:r w:rsidRPr="00075AF1">
        <w:t>/2024 – C9</w:t>
      </w:r>
      <w:r w:rsidRPr="00075AF1">
        <w:noBreakHyphen/>
        <w:t>00</w:t>
      </w:r>
      <w:r w:rsidR="00B72643">
        <w:t>85</w:t>
      </w:r>
      <w:r w:rsidRPr="00075AF1">
        <w:t>/2024),</w:t>
      </w:r>
    </w:p>
    <w:p w:rsidR="00A93A34" w:rsidRPr="00075AF1" w:rsidRDefault="00A93A34" w:rsidP="00A93A34">
      <w:pPr>
        <w:pStyle w:val="NormalHanging12a"/>
      </w:pPr>
      <w:r w:rsidRPr="00075AF1">
        <w:t>–</w:t>
      </w:r>
      <w:r w:rsidRPr="00075AF1">
        <w:tab/>
        <w:t>έχοντας υπόψη το άρθρο 319 της Συνθήκης για τη λειτουργία της Ευρωπαϊκής Ένωσης,</w:t>
      </w:r>
    </w:p>
    <w:p w:rsidR="00A93A34" w:rsidRPr="00075AF1" w:rsidRDefault="00A93A34" w:rsidP="00A93A34">
      <w:pPr>
        <w:pStyle w:val="NormalHanging12a"/>
      </w:pPr>
      <w:r w:rsidRPr="00075AF1">
        <w:t>–</w:t>
      </w:r>
      <w:r w:rsidRPr="00075AF1">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075AF1">
        <w:rPr>
          <w:rStyle w:val="FootnoteReference"/>
        </w:rPr>
        <w:footnoteReference w:id="8"/>
      </w:r>
      <w:r w:rsidRPr="00075AF1">
        <w:t>, και ιδίως το άρθρο 70,</w:t>
      </w:r>
    </w:p>
    <w:p w:rsidR="00A93A34" w:rsidRPr="00075AF1" w:rsidRDefault="00A93A34" w:rsidP="00A93A34">
      <w:pPr>
        <w:pStyle w:val="NormalHanging12a"/>
      </w:pPr>
      <w:r w:rsidRPr="00075AF1">
        <w:t>–</w:t>
      </w:r>
      <w:r w:rsidRPr="00075AF1">
        <w:tab/>
        <w:t>έχοντας υπόψη τον κανονισμό (ΕΚ) αριθ. 851/2004 του Ευρωπαϊκού Κοινοβουλίου και του Συμβουλίου, της 21ης Απριλίου 2004, για την ίδρυση του Ευρωπαϊκού Κέντρου Πρόληψης και Ελέγχου Νόσων</w:t>
      </w:r>
      <w:r w:rsidRPr="00075AF1">
        <w:rPr>
          <w:rStyle w:val="FootnoteReference"/>
        </w:rPr>
        <w:footnoteReference w:id="9"/>
      </w:r>
      <w:r w:rsidRPr="00075AF1">
        <w:t>, και ιδίως το άρθρο 23,</w:t>
      </w:r>
    </w:p>
    <w:p w:rsidR="00A93A34" w:rsidRPr="00075AF1" w:rsidRDefault="00A93A34" w:rsidP="00A93A34">
      <w:pPr>
        <w:pStyle w:val="NormalHanging12a"/>
      </w:pPr>
      <w:r w:rsidRPr="00075AF1">
        <w:t>–</w:t>
      </w:r>
      <w:r w:rsidRPr="00075AF1">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075AF1">
        <w:rPr>
          <w:rStyle w:val="FootnoteReference"/>
        </w:rPr>
        <w:footnoteReference w:id="10"/>
      </w:r>
      <w:r w:rsidRPr="00075AF1">
        <w:t>, και ιδίως το άρθρο 105,</w:t>
      </w:r>
    </w:p>
    <w:p w:rsidR="00A93A34" w:rsidRPr="00075AF1" w:rsidRDefault="00A93A34" w:rsidP="00A93A34">
      <w:pPr>
        <w:pStyle w:val="NormalHanging12a"/>
      </w:pPr>
      <w:r w:rsidRPr="00075AF1">
        <w:t>–</w:t>
      </w:r>
      <w:r w:rsidRPr="00075AF1">
        <w:tab/>
        <w:t>έχοντας υπόψη το άρθρο 100 και το παράρτημα V του Κανονισμού του,</w:t>
      </w:r>
    </w:p>
    <w:p w:rsidR="00A93A34" w:rsidRPr="00075AF1" w:rsidRDefault="00A93A34" w:rsidP="00A93A34">
      <w:pPr>
        <w:pStyle w:val="NormalHanging12a"/>
      </w:pPr>
      <w:r w:rsidRPr="00075AF1">
        <w:t>–</w:t>
      </w:r>
      <w:r w:rsidRPr="00075AF1">
        <w:tab/>
        <w:t>έχοντας υπόψη τη γνωμοδότηση της Επιτροπής Περιβάλλοντος, Δημόσιας Υγείας και Ασφάλειας των Τροφίμων,</w:t>
      </w:r>
    </w:p>
    <w:p w:rsidR="00A93A34" w:rsidRPr="00075AF1" w:rsidRDefault="00A93A34" w:rsidP="00A93A34">
      <w:pPr>
        <w:pStyle w:val="NormalHanging12a"/>
      </w:pPr>
      <w:r w:rsidRPr="00075AF1">
        <w:t>–</w:t>
      </w:r>
      <w:r w:rsidRPr="00075AF1">
        <w:tab/>
        <w:t>έχοντας υπόψη την έκθεση της Επιτροπής Ελέγχου του Προϋπολογισμού (A9‑0109/2024),</w:t>
      </w:r>
    </w:p>
    <w:p w:rsidR="00A93A34" w:rsidRPr="00075AF1" w:rsidRDefault="00254C0B" w:rsidP="00254C0B">
      <w:pPr>
        <w:pStyle w:val="NormalHanging12a"/>
        <w:ind w:hanging="570"/>
      </w:pPr>
      <w:r w:rsidRPr="00075AF1">
        <w:t>1.</w:t>
      </w:r>
      <w:r w:rsidRPr="00075AF1">
        <w:tab/>
      </w:r>
      <w:r w:rsidR="00A93A34" w:rsidRPr="00075AF1">
        <w:t>εγκρίνει το κλείσιμο των λογαριασμών του Ευρωπαϊκού Κέντρου Πρόληψης και Ελέγχου Νόσων για το οικονομικό έτος 2022·</w:t>
      </w:r>
    </w:p>
    <w:p w:rsidR="00A93A34" w:rsidRPr="00075AF1" w:rsidRDefault="00254C0B" w:rsidP="00254C0B">
      <w:pPr>
        <w:pStyle w:val="NormalHanging12a"/>
        <w:ind w:hanging="570"/>
      </w:pPr>
      <w:r w:rsidRPr="00075AF1">
        <w:t>2.</w:t>
      </w:r>
      <w:r w:rsidRPr="00075AF1">
        <w:tab/>
      </w:r>
      <w:r w:rsidR="00A93A34" w:rsidRPr="00075AF1">
        <w:t>αναθέτει στην Πρόεδρό του να διαβιβάσει την παρούσα απόφαση στη διευθύντρια του Ευρωπαϊκού Κέντρου Πρόληψης και Ελέγχου Νόσων, στο Συμβούλιο, στην Επιτροπή και στο Ελεγκτικό Συνέδριο, και να μεριμνήσει για τη δημοσίευσή της στην Επίσημη Εφημερίδα της Ευρωπαϊκής Ένωσης (σειρά L).</w:t>
      </w:r>
    </w:p>
    <w:p w:rsidR="00A93A34" w:rsidRPr="00075AF1" w:rsidRDefault="00A93A34" w:rsidP="00A93A34"/>
    <w:p w:rsidR="00A93A34" w:rsidRPr="00075AF1" w:rsidRDefault="00A93A34" w:rsidP="00A93A34">
      <w:pPr>
        <w:widowControl/>
        <w:rPr>
          <w:rFonts w:ascii="Arial" w:hAnsi="Arial" w:cs="Arial"/>
          <w:b/>
        </w:rPr>
        <w:sectPr w:rsidR="00A93A34" w:rsidRPr="00075AF1" w:rsidSect="00075AF1">
          <w:footnotePr>
            <w:numRestart w:val="eachPage"/>
          </w:footnotePr>
          <w:endnotePr>
            <w:numFmt w:val="decimal"/>
          </w:endnotePr>
          <w:pgSz w:w="11906" w:h="16838"/>
          <w:pgMar w:top="1134" w:right="1418" w:bottom="1418" w:left="1418" w:header="567" w:footer="567" w:gutter="0"/>
          <w:cols w:space="720"/>
          <w:docGrid w:linePitch="326"/>
        </w:sectPr>
      </w:pPr>
    </w:p>
    <w:p w:rsidR="00A93A34" w:rsidRPr="00075AF1" w:rsidRDefault="00DD1013" w:rsidP="00DD1013">
      <w:pPr>
        <w:pStyle w:val="ATHeading3"/>
      </w:pPr>
      <w:r>
        <w:t xml:space="preserve">3. Ψήφισμα του Ευρωπαϊκού Κοινοβουλίου </w:t>
      </w:r>
      <w:r w:rsidR="00B72643">
        <w:t xml:space="preserve">της 11ης Απριλίου 2024 </w:t>
      </w:r>
      <w:r w:rsidR="00A93A34" w:rsidRPr="00075AF1">
        <w:t>με τις παρατηρήσεις που αποτελούν αναπόσπαστο μέρος της απόφασης σχετικά με την απαλλαγή όσον αφορά την εκτέλεση του προϋπολογισμού του Ευρωπαϊκού Κέντρου Πρόληψης και Ελέγχου Νόσων για το οικονομικό έτος 2022</w:t>
      </w:r>
      <w:r w:rsidR="00ED2DCF">
        <w:t xml:space="preserve"> </w:t>
      </w:r>
      <w:r w:rsidR="00A93A34" w:rsidRPr="00075AF1">
        <w:t>(2023/2147(DEC))</w:t>
      </w:r>
    </w:p>
    <w:p w:rsidR="00A93A34" w:rsidRPr="00075AF1" w:rsidRDefault="00A93A34" w:rsidP="00A93A34">
      <w:pPr>
        <w:pStyle w:val="EPComma"/>
      </w:pPr>
      <w:r w:rsidRPr="00075AF1">
        <w:rPr>
          <w:i/>
        </w:rPr>
        <w:t>Το Ευρωπαϊκό Κοινοβούλιο</w:t>
      </w:r>
      <w:r w:rsidRPr="00075AF1">
        <w:t>,</w:t>
      </w:r>
    </w:p>
    <w:p w:rsidR="00A93A34" w:rsidRPr="00075AF1" w:rsidRDefault="00A93A34" w:rsidP="00A93A34">
      <w:pPr>
        <w:pStyle w:val="NormalHanging12a"/>
      </w:pPr>
      <w:r w:rsidRPr="00075AF1">
        <w:t>–</w:t>
      </w:r>
      <w:r w:rsidRPr="00075AF1">
        <w:tab/>
        <w:t>έχοντας υπόψη την απόφασή του σχετικά με την απαλλαγή όσον αφορά την εκτέλεση του προϋπολογισμού του Ευρωπαϊκού Κέντρου Πρόληψης και Ελέγχου Νόσων για το οικονομικό έτος 2022,</w:t>
      </w:r>
    </w:p>
    <w:p w:rsidR="00A93A34" w:rsidRPr="00075AF1" w:rsidRDefault="00A93A34" w:rsidP="00A93A34">
      <w:pPr>
        <w:pStyle w:val="NormalHanging12a"/>
      </w:pPr>
      <w:r w:rsidRPr="00075AF1">
        <w:t>–</w:t>
      </w:r>
      <w:r w:rsidRPr="00075AF1">
        <w:tab/>
        <w:t>έχοντας υπόψη το άρθρο 100 και το παράρτημα V του Κανονισμού του,</w:t>
      </w:r>
    </w:p>
    <w:p w:rsidR="00A93A34" w:rsidRPr="00075AF1" w:rsidRDefault="00A93A34" w:rsidP="00A93A34">
      <w:pPr>
        <w:pStyle w:val="NormalHanging12a"/>
      </w:pPr>
      <w:r w:rsidRPr="00075AF1">
        <w:t>–</w:t>
      </w:r>
      <w:r w:rsidRPr="00075AF1">
        <w:tab/>
        <w:t>έχοντας υπόψη τη γνωμοδότηση της Επιτροπής Περιβάλλοντος, Δημόσιας Υγείας και Ασφάλειας των Τροφίμων,</w:t>
      </w:r>
    </w:p>
    <w:p w:rsidR="00A93A34" w:rsidRPr="00075AF1" w:rsidRDefault="00A93A34" w:rsidP="00A93A34">
      <w:pPr>
        <w:pStyle w:val="NormalHanging12a"/>
      </w:pPr>
      <w:r w:rsidRPr="00075AF1">
        <w:t>–</w:t>
      </w:r>
      <w:r w:rsidRPr="00075AF1">
        <w:tab/>
        <w:t>έχοντας υπόψη την έκθεση της Επιτροπής Ελέγχου του Προϋπολογισμού (A9-0109/2024),</w:t>
      </w:r>
    </w:p>
    <w:p w:rsidR="00A93A34" w:rsidRPr="00075AF1" w:rsidRDefault="00A93A34" w:rsidP="00A93A34">
      <w:pPr>
        <w:widowControl/>
        <w:spacing w:after="240"/>
        <w:ind w:left="567" w:hanging="567"/>
        <w:rPr>
          <w:szCs w:val="24"/>
        </w:rPr>
      </w:pPr>
      <w:r w:rsidRPr="00075AF1">
        <w:t>Α.</w:t>
      </w:r>
      <w:r w:rsidRPr="00075AF1">
        <w:tab/>
        <w:t>λαμβάνοντας υπόψη ότι, σύμφωνα με την κατάσταση εσόδων και δαπανών του</w:t>
      </w:r>
      <w:r w:rsidRPr="00075AF1">
        <w:rPr>
          <w:rStyle w:val="FootnoteReference"/>
          <w:szCs w:val="24"/>
        </w:rPr>
        <w:footnoteReference w:id="11"/>
      </w:r>
      <w:r w:rsidRPr="00075AF1">
        <w:t xml:space="preserve">, ο οριστικός προϋπολογισμός του Ευρωπαϊκού Κέντρου Πρόληψης και Ελέγχου Νόσων (το </w:t>
      </w:r>
      <w:r w:rsidR="00B72643">
        <w:t>«</w:t>
      </w:r>
      <w:r w:rsidRPr="00075AF1">
        <w:t>Κέντρο») για το οικονομικό έτος 2022 ήταν 99 872 000 EUR, ποσό που συνιστά μείωση κατά 40,59 % σε σύγκριση με το 2021, λόγω των αλλαγών που έγιναν στις επιχορηγήσεις της Ευρωπαϊκής Αρχής Ετοιμότητας και Αντιμετώπισης Καταστάσεων Έκτακτης Υγειονομικής Ανάγκης (HERA)· λαμβάνοντας υπόψη ότι ο προϋπολογισμός του Κέντρου προέρχεται κυρίως από τον προϋπολογισμό της Ένωσης·</w:t>
      </w:r>
    </w:p>
    <w:p w:rsidR="00A93A34" w:rsidRPr="00075AF1" w:rsidRDefault="00A93A34" w:rsidP="00A93A34">
      <w:pPr>
        <w:widowControl/>
        <w:spacing w:after="240"/>
        <w:ind w:left="567" w:hanging="567"/>
        <w:rPr>
          <w:szCs w:val="24"/>
        </w:rPr>
      </w:pPr>
      <w:r w:rsidRPr="00075AF1">
        <w:t>Β.</w:t>
      </w:r>
      <w:r w:rsidRPr="00075AF1">
        <w:tab/>
        <w:t>λαμβάνοντας υπόψη ότι το Ελεγκτικό Συνέδριο, στην έκθεσή του για τους ετήσιους λογαριασμούς του Κέντρου για το οικονομικό έτος 2022 («η έκθεση του Ελεγκτικού Συνεδρίου»), δηλώνει ότι έχει αποκομίσει εύλογη βεβαιότητα ότι οι ετήσιοι λογαριασμοί του Κέντρου είναι αξιόπιστοι και ότι οι πράξεις στις οποίες βασίζονται είναι νόμιμες και κανονικές· λαμβάνοντας υπόψη ότι το Ελεγκτικό Συνέδριο έλεγξε τέσσερις συμφωνίες επιχορήγησης συνολικής αξίας 7,9 εκατομμυρίων EUR και διαπίστωσε ότι τρεις από αυτές περιλάμβαναν ΦΠΑ αξίας 0,6 εκατομμυρίων EUR (8,1 %) μεταξύ των επιλέξιμων δαπανών· λαμβάνοντας υπόψη ότι οι δικαιούχοι ασκούσαν δραστηριότητες ως δημόσιες αρχές και, συνεπώς, ο ΦΠΑ δεν αποτελεί επιλέξιμο έξοδο σύμφωνα με το άρθρο 186 παράγραφος 4 δεύτερο εδάφιο στοιχείο γ) του δημοσιονομικού κανονισμού. λαμβάνοντας υπόψη ότι το εκτιμώμενο συνολικό ποσό των μη συμμορφούμενων δαπανών με βάση το ποσοστό και το ποσό του ΦΠΑ που βρέθηκαν στο δείγμα που περιγράφεται ανωτέρω αντιπροσωπεύει το 2,8 % των συνολικών διαθέσιμων πιστώσεων πληρωμών το 2022, το οποίο υπερβαίνει το όριο σημαντικότητας που έχει καθοριστεί για τον έλεγχο και, κατά συνέπεια, οδήγησε σε γνώμη με επιφύλαξη σχετικά με τη νομιμότητα και κανονικότητα των πληρωμών στις οποίες βασίζονται οι λογαριασμοί του Κέντρου· λαμβάνοντας υπόψη ότι, εκτός από το ζήτημα που εξηγείται ανωτέρω, το Ελεγκτικό Συνέδριο κατέληξε στο συμπέρασμα ότι τα έσοδα και οι πληρωμές στα οποία βασίζονται οι λογαριασμοί του Κέντρου για το οικονομικό έτος που έληξε την 31η Δεκεμβρίου 2022 είναι, από κάθε ουσιώδη πλευρά, νόμιμα και κανονικά·</w:t>
      </w:r>
    </w:p>
    <w:p w:rsidR="00A93A34" w:rsidRPr="00075AF1" w:rsidRDefault="00A93A34" w:rsidP="00A93A34">
      <w:pPr>
        <w:widowControl/>
        <w:spacing w:after="240"/>
        <w:ind w:left="567" w:hanging="567"/>
        <w:rPr>
          <w:szCs w:val="24"/>
        </w:rPr>
      </w:pPr>
      <w:r w:rsidRPr="00075AF1">
        <w:t>Γ.</w:t>
      </w:r>
      <w:r w:rsidRPr="00075AF1">
        <w:tab/>
        <w:t>λαμβάνοντας υπόψη ότι, όσον αφορά τον τομέα των δημόσιων συμβάσεων του Κέντρου, δεν αναφέρθηκαν ζητήματα που να απαιτούν διορθωτικές ενέργειες για το 2022, ούτε υπάρχουν εν εξελίξει ή εκκρεμή διορθωτικά μέτρα από ελέγχους και αξιολογήσεις προηγούμενων ετών·</w:t>
      </w:r>
    </w:p>
    <w:p w:rsidR="00A93A34" w:rsidRPr="00075AF1" w:rsidRDefault="00A93A34" w:rsidP="00A93A34">
      <w:pPr>
        <w:pStyle w:val="ListParagraph"/>
        <w:spacing w:after="240"/>
        <w:ind w:left="567" w:hanging="567"/>
        <w:contextualSpacing w:val="0"/>
        <w:jc w:val="left"/>
        <w:rPr>
          <w:rFonts w:eastAsia="Times New Roman"/>
          <w:b/>
          <w:i/>
        </w:rPr>
      </w:pPr>
      <w:r w:rsidRPr="00075AF1">
        <w:rPr>
          <w:b/>
          <w:i/>
        </w:rPr>
        <w:t>Δημοσιονομική και χρηματοοικονομική διαχείριση</w:t>
      </w:r>
    </w:p>
    <w:p w:rsidR="00A93A34" w:rsidRPr="00075AF1" w:rsidRDefault="00254C0B" w:rsidP="00254C0B">
      <w:pPr>
        <w:spacing w:after="240"/>
        <w:ind w:left="567" w:hanging="570"/>
      </w:pPr>
      <w:r w:rsidRPr="00075AF1">
        <w:rPr>
          <w:rFonts w:eastAsiaTheme="minorHAnsi"/>
          <w:szCs w:val="24"/>
          <w:lang w:eastAsia="en-US"/>
        </w:rPr>
        <w:t>1.</w:t>
      </w:r>
      <w:r w:rsidRPr="00075AF1">
        <w:rPr>
          <w:rFonts w:eastAsiaTheme="minorHAnsi"/>
          <w:szCs w:val="24"/>
          <w:lang w:eastAsia="en-US"/>
        </w:rPr>
        <w:tab/>
      </w:r>
      <w:r w:rsidR="00A93A34" w:rsidRPr="00075AF1">
        <w:t>σημειώνει με ικανοποίηση ότι οι προσπάθειες παρακολούθησης του προϋπολογισμού κατά τη διάρκεια του οικονομικού έτους 2022 είχαν ως αποτέλεσμα ποσοστό εκτέλεσης των πιστώσεων αναλήψεων υποχρεώσεων του τρέχοντος έτους 98,86 %, το οποίο συνιστά αύξηση κατά 0,49 % σε σύγκριση με το 2021· σημειώνει ότι το ποσοστό εκτέλεσης των πιστώσεων πληρωμών ήταν 73,61 %, το οποίο συνιστά αύξηση κατά 9,53 % σε σύγκριση με το προηγούμενο έτος·</w:t>
      </w:r>
    </w:p>
    <w:p w:rsidR="00A93A34" w:rsidRPr="00075AF1" w:rsidRDefault="00254C0B" w:rsidP="00254C0B">
      <w:pPr>
        <w:pStyle w:val="NormalHanging12a"/>
        <w:ind w:hanging="570"/>
      </w:pPr>
      <w:r w:rsidRPr="00075AF1">
        <w:t>2.</w:t>
      </w:r>
      <w:r w:rsidRPr="00075AF1">
        <w:tab/>
      </w:r>
      <w:r w:rsidR="00A93A34" w:rsidRPr="00075AF1">
        <w:t>καλεί την Επιτροπή να χορηγήσει στο Κέντρο τους αναγκαίους πόρους ώστε να υλοποιηθούν οι στόχοι της στρατηγικής 2021-2027 και να εφαρμοστεί η αναθεωρημένη εντολή του Κέντρου σύμφωνα με τον κανονισμό (ΕΕ) 2022/2370</w:t>
      </w:r>
      <w:r w:rsidR="00A93A34" w:rsidRPr="00075AF1">
        <w:rPr>
          <w:rStyle w:val="FootnoteReference"/>
        </w:rPr>
        <w:footnoteReference w:id="12"/>
      </w:r>
      <w:r w:rsidR="00A93A34" w:rsidRPr="00075AF1">
        <w:t>·</w:t>
      </w:r>
    </w:p>
    <w:p w:rsidR="00A93A34" w:rsidRPr="00075AF1" w:rsidRDefault="00A93A34" w:rsidP="00A93A34">
      <w:pPr>
        <w:widowControl/>
        <w:spacing w:after="240"/>
        <w:ind w:left="567" w:hanging="567"/>
        <w:rPr>
          <w:i/>
          <w:szCs w:val="24"/>
        </w:rPr>
      </w:pPr>
      <w:r w:rsidRPr="00075AF1">
        <w:rPr>
          <w:b/>
          <w:i/>
        </w:rPr>
        <w:t>Επιδόσεις</w:t>
      </w:r>
    </w:p>
    <w:p w:rsidR="00A93A34" w:rsidRPr="00075AF1" w:rsidRDefault="00254C0B" w:rsidP="00254C0B">
      <w:pPr>
        <w:pStyle w:val="NormalHanging12a"/>
        <w:ind w:hanging="570"/>
      </w:pPr>
      <w:r w:rsidRPr="00075AF1">
        <w:t>3.</w:t>
      </w:r>
      <w:r w:rsidRPr="00075AF1">
        <w:tab/>
      </w:r>
      <w:r w:rsidR="00A93A34" w:rsidRPr="00075AF1">
        <w:t>υπενθυμίζει ότι αποστολή του Κέντρου είναι να εντοπίζει, να αξιολογεί και να κοινοποιεί τρέχουσες και αναδυόμενες απειλές για την ανθρώπινη υγεία από λοιμώδεις νόσους και επιτελεί έργο στους έξι ακόλουθους τομείς, δηλαδή την επιτήρηση, την ετοιμότητα και την υποστήριξη της αντίδρασης σε επιδημικές εξάρσεις, την παροχή επιστημονικών συμβουλών, τη μικροβιολογική επιτήρηση, την κατάρτιση και την επικοινωνία στον τομέα της δημόσιας υγείας·</w:t>
      </w:r>
    </w:p>
    <w:p w:rsidR="00A93A34" w:rsidRPr="00075AF1" w:rsidRDefault="00254C0B" w:rsidP="00254C0B">
      <w:pPr>
        <w:pStyle w:val="NormalHanging12a"/>
        <w:ind w:hanging="570"/>
      </w:pPr>
      <w:r w:rsidRPr="00075AF1">
        <w:t>4.</w:t>
      </w:r>
      <w:r w:rsidRPr="00075AF1">
        <w:tab/>
      </w:r>
      <w:r w:rsidR="00A93A34" w:rsidRPr="00075AF1">
        <w:t>σημειώνει ότι το Κέντρο υλοποίησε το 89 % των στόχων που προβλέπονταν στο ενιαίο έγγραφο προγραμματισμού του για το διάστημα 2022-2024· σημειώνει ότι το 8 % των προγραμματισμένων εκροών αναβλήθηκε, ενώ το 3 % καθυστέρησε ή ακυρώθηκε έως το τέλος του έτους· σημειώνει ότι οι περισσότερες από τις καθυστερήσεις ή τις αναβολές οφείλονταν στην καθυστέρηση της έγκρισης και δημοσίευσης του τροποποιημένου νομικού κειμένου της εντολής του Κέντρου, που τελικά ολοκληρώθηκαν τον Νοέμβριο του 2022· καλεί το Κέντρο να αναλύσει τους αναβληθέντες στόχους και να υποβάλει έκθεση στην αρμόδια για την απαλλαγή αρχή σχετικά με τον προγραμματισμό της υλοποίησής τους·</w:t>
      </w:r>
    </w:p>
    <w:p w:rsidR="00A93A34" w:rsidRPr="00075AF1" w:rsidRDefault="00254C0B" w:rsidP="00254C0B">
      <w:pPr>
        <w:pStyle w:val="NormalHanging12a"/>
        <w:ind w:hanging="570"/>
      </w:pPr>
      <w:r w:rsidRPr="00075AF1">
        <w:t>5.</w:t>
      </w:r>
      <w:r w:rsidRPr="00075AF1">
        <w:tab/>
      </w:r>
      <w:r w:rsidR="00A93A34" w:rsidRPr="00075AF1">
        <w:t>σημειώνει ότι καθ’ όλη τη διάρκεια του 2022, για τρίτο συνεχόμενο έτος, το Κέντρο συνέχισε να εφαρμόζει το σχέδιό του για την κατάσταση έκτακτης ανάγκης στον τομέα της δημόσιας υγείας (PHE) ως απάντηση στη συνεχιζόμενη πανδημία COVID-19· σημειώνει ότι τον Ιούνιο το επίπεδο PHE υποβαθμίστηκε σταδιακά από το επίπεδο 2 (οξεία φάση) στο επίπεδο 1 (φάση συντήρησης)· φρονεί ότι το Κέντρο ενήργησε ταχέως και αποτελεσματικά καθ' όλη την περίοδο της πανδημίας· θεωρεί ότι το Κέντρο θα μπορούσε να αναλάβει μεγαλύτερο ρόλο στη διαμόρφωση του Ευρωπαϊκού θεματολογίου αντιμετώπισης κρίσεων·</w:t>
      </w:r>
    </w:p>
    <w:p w:rsidR="00A93A34" w:rsidRPr="00DD1013" w:rsidRDefault="00254C0B" w:rsidP="00254C0B">
      <w:pPr>
        <w:spacing w:after="240"/>
        <w:ind w:left="567" w:hanging="573"/>
      </w:pPr>
      <w:r w:rsidRPr="00DD1013">
        <w:rPr>
          <w:rFonts w:eastAsiaTheme="minorHAnsi"/>
          <w:szCs w:val="24"/>
          <w:lang w:eastAsia="en-US"/>
        </w:rPr>
        <w:t>6.</w:t>
      </w:r>
      <w:r w:rsidRPr="00DD1013">
        <w:rPr>
          <w:rFonts w:eastAsiaTheme="minorHAnsi"/>
          <w:szCs w:val="24"/>
          <w:lang w:eastAsia="en-US"/>
        </w:rPr>
        <w:tab/>
      </w:r>
      <w:r w:rsidR="00A93A34" w:rsidRPr="00075AF1">
        <w:t>σημειώνει ότι, μετά την επίθεση της Ρωσίας στην Ουκρανία και την εισροή προσφύγων που εγκαταλείπουν τη χώρα, το Κέντρο συνεργάστηκε με τις αρχές των πέντε χωρών γύρω από την Ουκρανία παρέχοντας τεχνικές και επιχειρησιακές δραστηριότητες αντίδρασης στο πλαίσιο των αρμοδιοτήτων του, με βάση προσδιορισμένες ανάγκες· σημειώνει ότι, κατά το δεύτερο εξάμηνο του έτους, η εστίαση μετατοπίστηκε από την επιχειρησιακή αντίδραση σε πιο μεσοπρόθεσμες/μακροπρόθεσμες και στρατηγικές δράσεις αντίδρασης και ότι οι εμπειρογνώμονες του Κέντρου εστάλησαν στην Πολωνία και τη Ρουμανία για τη στήριξη των εθνικών αρχών και του Παγκόσμιου Οργανισμού Υγείας που προσφέρουν βοήθεια στους εκτοπισμένους πολίτες της Ουκρανίας·</w:t>
      </w:r>
    </w:p>
    <w:p w:rsidR="00A93A34" w:rsidRPr="00DD1013" w:rsidRDefault="00254C0B" w:rsidP="00254C0B">
      <w:pPr>
        <w:spacing w:after="240"/>
        <w:ind w:left="567" w:hanging="573"/>
      </w:pPr>
      <w:r w:rsidRPr="00DD1013">
        <w:rPr>
          <w:rFonts w:eastAsiaTheme="minorHAnsi"/>
          <w:szCs w:val="24"/>
          <w:lang w:eastAsia="en-US"/>
        </w:rPr>
        <w:t>7.</w:t>
      </w:r>
      <w:r w:rsidRPr="00DD1013">
        <w:rPr>
          <w:rFonts w:eastAsiaTheme="minorHAnsi"/>
          <w:szCs w:val="24"/>
          <w:lang w:eastAsia="en-US"/>
        </w:rPr>
        <w:tab/>
      </w:r>
      <w:r w:rsidR="00A93A34" w:rsidRPr="00075AF1">
        <w:t>παρατηρεί ότι, κατά τη διάρκεια της άνοιξης και του καλοκαιριού του 2022, το Κέντρο στήριξε ταυτόχρονα τρία εν εξελίξει PHES, και συγκεκριμένα τη νόσο COVID-19, την ευλογιά και την ηπατίτιδα άγνωστης προέλευσης σε παιδιά· σημειώνει με ικανοποίηση ότι επρόκειτο για μια πρωτόγνωρη για το Κέντρο εμπειρία που δοκίμασε τα όρια των δυνατοτήτων του όσον αφορά την πραγματοποίηση εκτιμήσεων κινδύνου και την προσφορά καθοδήγησης σε πολλαπλές περιπτώσεις απειλών κατά της υγείας·</w:t>
      </w:r>
    </w:p>
    <w:p w:rsidR="00A93A34" w:rsidRPr="00075AF1" w:rsidRDefault="00254C0B" w:rsidP="00254C0B">
      <w:pPr>
        <w:pStyle w:val="NormalHanging12a"/>
        <w:ind w:hanging="573"/>
      </w:pPr>
      <w:r w:rsidRPr="00075AF1">
        <w:t>8.</w:t>
      </w:r>
      <w:r w:rsidRPr="00075AF1">
        <w:tab/>
      </w:r>
      <w:r w:rsidR="00A93A34" w:rsidRPr="00075AF1">
        <w:t>εκφράζει την ικανοποίησή του για τις λεπτομέρειες εφαρμογής της ενισχυμένης εντολής του Κέντρου που τέθηκε σε ισχύ τον Δεκέμβριο του 2022, καθώς και για το πρόγραμμα μετασχηματισμού ASPIRE (πρόβλεψη, υποστήριξη, προετοιμασία, πληροφόρηση, αντίδραση και ενίσχυση) που έχει αναπτυχθεί για την υποστήριξη της υλοποίησης·</w:t>
      </w:r>
    </w:p>
    <w:p w:rsidR="00A93A34" w:rsidRPr="00075AF1" w:rsidRDefault="00A93A34" w:rsidP="00A93A34">
      <w:pPr>
        <w:pStyle w:val="NormalHanging12a"/>
        <w:widowControl/>
        <w:rPr>
          <w:b/>
          <w:i/>
        </w:rPr>
      </w:pPr>
      <w:r w:rsidRPr="00075AF1">
        <w:rPr>
          <w:b/>
          <w:i/>
        </w:rPr>
        <w:t>Αποδοτικότητα και βελτιώσεις</w:t>
      </w:r>
    </w:p>
    <w:p w:rsidR="00A93A34" w:rsidRPr="00075AF1" w:rsidRDefault="00254C0B" w:rsidP="00254C0B">
      <w:pPr>
        <w:pStyle w:val="NormalHanging12a"/>
        <w:ind w:hanging="570"/>
      </w:pPr>
      <w:r w:rsidRPr="00075AF1">
        <w:t>9.</w:t>
      </w:r>
      <w:r w:rsidRPr="00075AF1">
        <w:tab/>
      </w:r>
      <w:r w:rsidR="00A93A34" w:rsidRPr="00075AF1">
        <w:t xml:space="preserve">υπενθυμίζει ότι είναι σημαντικό να αυξηθεί η ψηφιοποίηση του Κέντρου όσον αφορά την εσωτερική λειτουργία και διαχείριση αλλά και προκειμένου να επιταχυνθεί η ψηφιοποίηση των διαδικασιών· τονίζει την ανάγκη να συνεχίσει το Κέντρο να λειτουργεί προορατικά εν προκειμένω, ώστε να αποφευχθεί το ψηφιακό χάσμα μεταξύ των οργανισμών· </w:t>
      </w:r>
      <w:proofErr w:type="spellStart"/>
      <w:r w:rsidR="00A93A34" w:rsidRPr="00075AF1">
        <w:t>εφιστά</w:t>
      </w:r>
      <w:proofErr w:type="spellEnd"/>
      <w:r w:rsidR="00A93A34" w:rsidRPr="00075AF1">
        <w:t xml:space="preserve">, ωστόσο, την προσοχή στην ανάγκη να ληφθούν όλα τα αναγκαία μέτρα ασφαλείας ώστε να αποφευχθεί κάθε κίνδυνος για τη διαδικτυακή ασφάλεια των πληροφοριών που υποβάλλονται σε επεξεργασία, επιμένει δε </w:t>
      </w:r>
      <w:r w:rsidR="00AD7E89">
        <w:t>στην ανάγκη</w:t>
      </w:r>
      <w:r w:rsidR="00AD7E89" w:rsidRPr="00075AF1">
        <w:t xml:space="preserve"> </w:t>
      </w:r>
      <w:r w:rsidR="00AD7E89">
        <w:t>ενίσχυσης</w:t>
      </w:r>
      <w:r w:rsidR="00AD7E89" w:rsidRPr="00075AF1">
        <w:t xml:space="preserve"> </w:t>
      </w:r>
      <w:r w:rsidR="00AD7E89">
        <w:t>τ</w:t>
      </w:r>
      <w:r w:rsidR="00A93A34" w:rsidRPr="00075AF1">
        <w:t>η</w:t>
      </w:r>
      <w:r w:rsidR="00AD7E89">
        <w:t>ς</w:t>
      </w:r>
      <w:r w:rsidR="00A93A34" w:rsidRPr="00075AF1">
        <w:t xml:space="preserve"> αντιμετώπιση</w:t>
      </w:r>
      <w:r w:rsidR="00AD7E89">
        <w:t>ς</w:t>
      </w:r>
      <w:r w:rsidR="00A93A34" w:rsidRPr="00075AF1">
        <w:t xml:space="preserve"> κυβερνοεπιθέσεων ή αποπειρών διείσδυσης</w:t>
      </w:r>
      <w:r w:rsidR="00AD7E89">
        <w:t>,</w:t>
      </w:r>
      <w:r w:rsidR="00A93A34" w:rsidRPr="00075AF1">
        <w:t xml:space="preserve"> </w:t>
      </w:r>
      <w:r w:rsidR="00AD7E89">
        <w:t xml:space="preserve">ιδίως εκείνων </w:t>
      </w:r>
      <w:r w:rsidR="00A93A34" w:rsidRPr="00075AF1">
        <w:t>που προέρχονται από τη Ρωσία ή την Κίνα·</w:t>
      </w:r>
    </w:p>
    <w:p w:rsidR="00A93A34" w:rsidRPr="00075AF1" w:rsidRDefault="00254C0B" w:rsidP="00254C0B">
      <w:pPr>
        <w:pStyle w:val="NormalHanging12a"/>
        <w:widowControl/>
        <w:ind w:hanging="570"/>
      </w:pPr>
      <w:r w:rsidRPr="00075AF1">
        <w:t>10.</w:t>
      </w:r>
      <w:r w:rsidRPr="00075AF1">
        <w:tab/>
      </w:r>
      <w:r w:rsidR="00A93A34" w:rsidRPr="00075AF1">
        <w:t>εκφράζει την ικανοποίησή του για το γεγονός ότι το Κέντρο συνέχισε τις προσπάθειές του για βελτίωση της αποδοτικότητας με την εισαγωγή νέων μεθοδολογιών, συμπεριλαμβανομένης της αυτοματοποίησης των διαδικασιών στήριξης και των επιχειρησιακών διαδικασιών· σημειώνει ότι, κατά τη διάρκεια του έτους, τέσσερις νέες διοικητικές διαδικασίες αυτοματοποιήθηκαν μέσω ηλεκτρονικών ροών εργασίας, ενώ εφαρμόστηκε επίσης μια νέα οικονομικά αποδοτική λύση για την πλατφόρμα ηλεκτρονικών ροών εργασίας προς αντικατάσταση του Κ2· σημειώνει ότι μια συνολική ανάλυση της χρήσης των ηλεκτρονικών ροών εργασίας δείχνει ήδη ότι σημαντικός αριθμός χρηστών τις έχουν υιοθετήσει και ότι έχουν μειώσει σημαντικά τον χρόνο διεκπεραίωσης, λόγω της εξάλειψης των περιττών μέτρων, διασφαλίζοντας παράλληλα τη συμμόρφωση με τις κείμενες διατάξεις·</w:t>
      </w:r>
    </w:p>
    <w:p w:rsidR="00A93A34" w:rsidRPr="00075AF1" w:rsidRDefault="00A93A34" w:rsidP="00A93A34">
      <w:pPr>
        <w:widowControl/>
        <w:spacing w:after="240"/>
        <w:ind w:left="567" w:hanging="567"/>
        <w:rPr>
          <w:b/>
          <w:i/>
          <w:szCs w:val="24"/>
        </w:rPr>
      </w:pPr>
      <w:r w:rsidRPr="00075AF1">
        <w:rPr>
          <w:b/>
          <w:i/>
        </w:rPr>
        <w:t>Πολιτική προσωπικού</w:t>
      </w:r>
    </w:p>
    <w:p w:rsidR="00A93A34" w:rsidRPr="00DD1013" w:rsidRDefault="00254C0B" w:rsidP="00254C0B">
      <w:pPr>
        <w:spacing w:after="240"/>
        <w:ind w:left="567" w:hanging="570"/>
      </w:pPr>
      <w:r w:rsidRPr="00DD1013">
        <w:rPr>
          <w:rFonts w:eastAsiaTheme="minorHAnsi"/>
          <w:szCs w:val="24"/>
          <w:lang w:eastAsia="en-US"/>
        </w:rPr>
        <w:t>11.</w:t>
      </w:r>
      <w:r w:rsidRPr="00DD1013">
        <w:rPr>
          <w:rFonts w:eastAsiaTheme="minorHAnsi"/>
          <w:szCs w:val="24"/>
          <w:lang w:eastAsia="en-US"/>
        </w:rPr>
        <w:tab/>
      </w:r>
      <w:r w:rsidR="00A93A34" w:rsidRPr="00075AF1">
        <w:t>σημειώνει ότι στις 31 Δεκεμβρίου 2022 το οργανόγραμμα περιλάμβανε 215 θέσεις εκτάκτων υπαλλήλων στο πλαίσιο του προϋπολογισμού της Ένωσης (έναντι 208 που είχαν εγκριθεί το 2021)· σημειώνει ότι, επιπλέον, 112 συμβασιούχοι υπάλληλοι και 5 αποσπασμένοι εθνικοί εμπειρογνώμονες εργάστηκαν για το Κέντρο το 2022·</w:t>
      </w:r>
    </w:p>
    <w:p w:rsidR="00A93A34" w:rsidRPr="00075AF1" w:rsidRDefault="00254C0B" w:rsidP="00254C0B">
      <w:pPr>
        <w:pStyle w:val="NormalHanging12a"/>
        <w:ind w:hanging="570"/>
      </w:pPr>
      <w:r w:rsidRPr="00075AF1">
        <w:t>12.</w:t>
      </w:r>
      <w:r w:rsidRPr="00075AF1">
        <w:tab/>
      </w:r>
      <w:r w:rsidR="00A93A34" w:rsidRPr="00075AF1">
        <w:t>σημειώνει με ανησυχία τη μη ισόρροπη εκπροσώπηση των φύλων στις ανώτερες και μεσαίες διευθυντικές θέσεις του Κέντρου, καθώς τέσσερις από τις έξι θέσεις (66,67 %) καταλαμβάνονται από άνδρες· σημειώνει την κατανομή των φύλων μεταξύ του συνολικού προσωπικού του Κέντρου, όπου 198 από τους 331 υπάλληλους (60 %) είναι γυναίκες και 133 (40 %) είναι άνδρες· εκφράζει την ικανοποίησή του για το γεγονός ότι το Κέντρο βρίσκεται σε διαδικασία έγκρισης του Χάρτη για τη διαφορετικότητα και τη συμπερίληψη και θα τον θέσει σε εφαρμογή έως το τέταρτο τρίμηνο του 2023· υπενθυμίζει ότι είναι σημαντικό να διασφαλιστεί η ισόρροπη εκπροσώπηση των φύλων, και καλεί το Κέντρο να λαμβάνει υπόψη την πτυχή αυτή στις μελλοντικές προσλήψεις προσωπικού και στους διορισμούς σε ανώτερες και μεσαίες διευθυντικές θέσεις· ζητεί από την Επιτροπή και τα κράτη μέλη να λαμβάνουν υπόψη τη σημασία που έχει η διασφάλιση της ισόρροπης εκπροσώπησης των φύλων όταν υποβάλλουν τις προτάσεις τους για τον διορισμό των μελών του διοικητικού συμβουλίου του Κέντρου·</w:t>
      </w:r>
    </w:p>
    <w:p w:rsidR="00A93A34" w:rsidRPr="00075AF1" w:rsidRDefault="00254C0B" w:rsidP="00254C0B">
      <w:pPr>
        <w:pStyle w:val="NormalHanging12a"/>
        <w:ind w:hanging="570"/>
      </w:pPr>
      <w:r w:rsidRPr="00075AF1">
        <w:t>13.</w:t>
      </w:r>
      <w:r w:rsidRPr="00075AF1">
        <w:tab/>
      </w:r>
      <w:r w:rsidR="00A93A34" w:rsidRPr="00075AF1">
        <w:t>εκφράζει ανησυχίες σχετικά με την ισόρροπη γεωγραφική εκπροσώπηση στις ανώτερες και μεσαίες διοικητικές θέσεις του Κέντρου· ζητεί από το Κέντρο να υποβάλει σχετική έκθεση στην αρμόδια για την απαλλαγή αρχή·</w:t>
      </w:r>
    </w:p>
    <w:p w:rsidR="00A93A34" w:rsidRPr="00075AF1" w:rsidRDefault="00254C0B" w:rsidP="00254C0B">
      <w:pPr>
        <w:pStyle w:val="NormalHanging12a"/>
        <w:ind w:hanging="570"/>
      </w:pPr>
      <w:r w:rsidRPr="00075AF1">
        <w:t>14.</w:t>
      </w:r>
      <w:r w:rsidRPr="00075AF1">
        <w:tab/>
      </w:r>
      <w:r w:rsidR="00A93A34" w:rsidRPr="00075AF1">
        <w:t>σημειώνει ότι το πρώτο σχέδιο της στρατηγικής για το ανθρώπινο δυναμικό («</w:t>
      </w:r>
      <w:proofErr w:type="spellStart"/>
      <w:r w:rsidR="00A93A34" w:rsidRPr="00075AF1">
        <w:t>People</w:t>
      </w:r>
      <w:proofErr w:type="spellEnd"/>
      <w:r w:rsidR="00A93A34" w:rsidRPr="00075AF1">
        <w:t xml:space="preserve"> </w:t>
      </w:r>
      <w:proofErr w:type="spellStart"/>
      <w:r w:rsidR="00A93A34" w:rsidRPr="00075AF1">
        <w:t>Strategy</w:t>
      </w:r>
      <w:proofErr w:type="spellEnd"/>
      <w:r w:rsidR="00A93A34" w:rsidRPr="00075AF1">
        <w:t xml:space="preserve">») αναπτύχθηκε το 2022 με στόχο να καθοδηγήσει τον εκσυγχρονισμό και την εμπέδωση των υπηρεσιών διαχείρισης ανθρώπινου δυναμικού του Κέντρου· σημειώνει επιπλέον ότι τα μεμονωμένα έργα στρατηγικής, όπως το εργαλείο ηλεκτρονικών προσλήψεων και το διαδικτυακό εισαγωγικό πρόγραμμα ολοκληρώθηκαν το 2022, ενώ άλλα βρίσκονται σε εξέλιξη· καλεί το Κέντρο να ενημερώσει την αρμόδια για την απαλλαγή αρχή σχετικά με τυχόν εξελίξεις στο θέμα αυτό· σημειώνει ότι το Κέντρο ενίσχυσε περαιτέρω την υποστήριξή του στην κατάρτιση και την ανάπτυξη του προσωπικού αυξάνοντας το επίδομα ατομικής κατάρτισης και διευκολύνοντας την πρόσβαση του προσωπικού σε πλατφόρμες ηλεκτρονικής μάθησης (EU </w:t>
      </w:r>
      <w:proofErr w:type="spellStart"/>
      <w:r w:rsidR="00A93A34" w:rsidRPr="00075AF1">
        <w:t>Learn</w:t>
      </w:r>
      <w:proofErr w:type="spellEnd"/>
      <w:r w:rsidR="00A93A34" w:rsidRPr="00075AF1">
        <w:t xml:space="preserve">, LinkedIn </w:t>
      </w:r>
      <w:proofErr w:type="spellStart"/>
      <w:r w:rsidR="00A93A34" w:rsidRPr="00075AF1">
        <w:t>Learning</w:t>
      </w:r>
      <w:proofErr w:type="spellEnd"/>
      <w:r w:rsidR="00A93A34" w:rsidRPr="00075AF1">
        <w:t xml:space="preserve"> και ECDC </w:t>
      </w:r>
      <w:proofErr w:type="spellStart"/>
      <w:r w:rsidR="00A93A34" w:rsidRPr="00075AF1">
        <w:t>Virtual</w:t>
      </w:r>
      <w:proofErr w:type="spellEnd"/>
      <w:r w:rsidR="00A93A34" w:rsidRPr="00075AF1">
        <w:t xml:space="preserve"> </w:t>
      </w:r>
      <w:proofErr w:type="spellStart"/>
      <w:r w:rsidR="00A93A34" w:rsidRPr="00075AF1">
        <w:t>Academy</w:t>
      </w:r>
      <w:proofErr w:type="spellEnd"/>
      <w:r w:rsidR="00A93A34" w:rsidRPr="00075AF1">
        <w:t>)·</w:t>
      </w:r>
    </w:p>
    <w:p w:rsidR="00A93A34" w:rsidRPr="00075AF1" w:rsidRDefault="00254C0B" w:rsidP="00254C0B">
      <w:pPr>
        <w:pStyle w:val="NormalHanging12a"/>
        <w:ind w:hanging="570"/>
      </w:pPr>
      <w:r w:rsidRPr="00075AF1">
        <w:t>15.</w:t>
      </w:r>
      <w:r w:rsidRPr="00075AF1">
        <w:tab/>
      </w:r>
      <w:r w:rsidR="00A93A34" w:rsidRPr="00075AF1">
        <w:t>λαμβάνει υπόψη ότι το Κέντρο εφαρμόζει πολιτική για την προστασία της αξιοπρέπειας του ατόμου και την πρόληψη της ψυχολογικής και σεξουαλικής παρενόχλησης, ενώ συμμετέχει και στη διοργανική ειδική ομάδα έμπιστων συμβούλων· προσβλέπει στην παραλαβή της έκθεσης και των συστάσεών τους· σημειώνει ότι δεν υπήρξαν αναφορές περιστατικών παρενόχλησης το 2022, και ενθαρρύνει το Κέντρο να συνεχίσει τις καλές επιδόσεις του εν προκειμένω και να λάβει μέτρα για την πρόληψη τέτοιων περιστατικών και στο μέλλον·</w:t>
      </w:r>
    </w:p>
    <w:p w:rsidR="00A93A34" w:rsidRPr="00075AF1" w:rsidRDefault="00254C0B" w:rsidP="00254C0B">
      <w:pPr>
        <w:pStyle w:val="NormalHanging12a"/>
        <w:ind w:hanging="570"/>
      </w:pPr>
      <w:r w:rsidRPr="00075AF1">
        <w:t>16.</w:t>
      </w:r>
      <w:r w:rsidRPr="00075AF1">
        <w:tab/>
      </w:r>
      <w:r w:rsidR="00A93A34" w:rsidRPr="00075AF1">
        <w:t>σημειώνει ότι οι επιπλέον θέσεις που διατέθηκαν στο Κέντρο, μετά την παράταση της εντολής του, καλύφθηκαν το 2022· υπογραμμίζει ότι η προσθήκη νέων καθηκόντων και ο αυξανόμενος φόρτος εργασίας του πρέπει να συνοδευτούν από επαρκείς αντίστοιχες αυξήσεις του προσωπικού και των πόρων του Κέντρου, και ότι η έλλειψη προσωπικού ασκεί σημαντικές πιέσεις στη συνέχιση των δραστηριοτήτων του και απειλεί την ποιότητα του έργου του·</w:t>
      </w:r>
    </w:p>
    <w:p w:rsidR="00A93A34" w:rsidRPr="00075AF1" w:rsidRDefault="00254C0B" w:rsidP="00254C0B">
      <w:pPr>
        <w:pStyle w:val="NormalHanging12a"/>
        <w:ind w:hanging="570"/>
      </w:pPr>
      <w:r w:rsidRPr="00075AF1">
        <w:t>17.</w:t>
      </w:r>
      <w:r w:rsidRPr="00075AF1">
        <w:tab/>
      </w:r>
      <w:r w:rsidR="00A93A34" w:rsidRPr="00075AF1">
        <w:t>σημειώνει με ανησυχία το γεγονός ότι αλληλεπικαλύπτονται οι εντολές του Κέντρου και της HERA και ζητεί να μειωθεί η αλληλεπικάλυψη των προσπαθειών μεταξύ των δύο οντοτήτων και να διασαφηνιστεί η κατανομή καθηκόντων·</w:t>
      </w:r>
    </w:p>
    <w:p w:rsidR="00A93A34" w:rsidRPr="00075AF1" w:rsidRDefault="00A93A34" w:rsidP="00A93A34">
      <w:pPr>
        <w:widowControl/>
        <w:spacing w:after="240"/>
        <w:ind w:left="567" w:hanging="567"/>
        <w:rPr>
          <w:b/>
          <w:i/>
          <w:szCs w:val="24"/>
        </w:rPr>
      </w:pPr>
      <w:r w:rsidRPr="00075AF1">
        <w:rPr>
          <w:b/>
          <w:i/>
        </w:rPr>
        <w:t>Πρόληψη και διαχείριση συγκρούσεων συμφερόντων και διαφάνεια</w:t>
      </w:r>
    </w:p>
    <w:p w:rsidR="00A93A34" w:rsidRPr="00DD1013" w:rsidRDefault="00254C0B" w:rsidP="00254C0B">
      <w:pPr>
        <w:spacing w:after="240"/>
        <w:ind w:left="567" w:hanging="570"/>
      </w:pPr>
      <w:r w:rsidRPr="00DD1013">
        <w:rPr>
          <w:rFonts w:eastAsiaTheme="minorHAnsi"/>
          <w:szCs w:val="24"/>
          <w:lang w:eastAsia="en-US"/>
        </w:rPr>
        <w:t>18.</w:t>
      </w:r>
      <w:r w:rsidRPr="00DD1013">
        <w:rPr>
          <w:rFonts w:eastAsiaTheme="minorHAnsi"/>
          <w:szCs w:val="24"/>
          <w:lang w:eastAsia="en-US"/>
        </w:rPr>
        <w:tab/>
      </w:r>
      <w:r w:rsidR="00A93A34" w:rsidRPr="00075AF1">
        <w:t>σημειώνει ότι το Κέντρο συνέχισε να εφαρμόζει και να ενισχύει την πολιτική ανεξαρτησίας του για τα μη μέλη του προσωπικού και τα μέλη του προσωπικού· παρατηρεί ότι το 2022 το Κέντρο δεν διέθετε μικρό μέρος των δηλώσεων συμφερόντων· σημειώνει, επιπλέον, ότι όλοι οι εξωτερικοί εμπειρογνώμονες των οποίων ζητήθηκε η γνώμη κατά την εκπόνηση ταχειών εκτιμήσεων κινδύνου δήλωσαν τα συμφέροντά τους πριν από τη δημοσίευση· σημειώνει ότι όλα τα μέλη του διοικητικού συμβουλίου και του συμβουλευτικού οργάνου που συμμετείχαν στις συνεδριάσεις και, συνεπώς, συνέβαλαν στις συζητήσεις, είχαν έγκυρες ετήσιες δηλώσεις συμφερόντων και ότι ο διευθυντής και οι προϊστάμενοι μονάδας συμπλήρωσαν τις ετήσιες δηλώσεις τους, καθώς και ότι το 99 % των εξωτερικών εμπειρογνωμόνων που συμμετείχαν στις συνεδριάσεις του Κέντρου και έπρεπε να περάσουν από σχετικό έλεγχο υπέβαλαν ετήσια δήλωση σύγκρουσης συμφερόντων·</w:t>
      </w:r>
    </w:p>
    <w:p w:rsidR="00A93A34" w:rsidRPr="00075AF1" w:rsidRDefault="00254C0B" w:rsidP="00254C0B">
      <w:pPr>
        <w:pStyle w:val="NormalHanging12a"/>
        <w:ind w:hanging="570"/>
      </w:pPr>
      <w:r w:rsidRPr="00075AF1">
        <w:t>19.</w:t>
      </w:r>
      <w:r w:rsidRPr="00075AF1">
        <w:tab/>
      </w:r>
      <w:r w:rsidR="00A93A34" w:rsidRPr="00075AF1">
        <w:t>καλεί το Κέντρο να διασφαλίσει ότι όλα τα μέλη του διοικητικού συμβουλίου, τα μέλη του συμβουλευτικού οργάνου, καθώς και οι αναπληρωτές τους, έχουν υποβάλει δεόντως τις απαιτούμενες ετήσιες δηλώσεις συμφερόντων· καλεί το Κέντρο να διασφαλίσει ότι στο έργο του Κέντρου συμμετέχουν κατάλληλοι εμπειρογνώμονες σε όλες τις δραστηριότητές του και ότι διατηρείται υψηλό επίπεδο συμμόρφωσης με τους κανόνες περί συγκρούσεων συμφερόντων·</w:t>
      </w:r>
    </w:p>
    <w:p w:rsidR="00A93A34" w:rsidRPr="00DD1013" w:rsidRDefault="00254C0B" w:rsidP="00254C0B">
      <w:pPr>
        <w:spacing w:after="240"/>
        <w:ind w:left="567" w:hanging="573"/>
      </w:pPr>
      <w:r w:rsidRPr="00DD1013">
        <w:rPr>
          <w:rFonts w:eastAsiaTheme="minorHAnsi"/>
          <w:szCs w:val="24"/>
          <w:lang w:eastAsia="en-US"/>
        </w:rPr>
        <w:t>20.</w:t>
      </w:r>
      <w:r w:rsidRPr="00DD1013">
        <w:rPr>
          <w:rFonts w:eastAsiaTheme="minorHAnsi"/>
          <w:szCs w:val="24"/>
          <w:lang w:eastAsia="en-US"/>
        </w:rPr>
        <w:tab/>
      </w:r>
      <w:r w:rsidR="00A93A34" w:rsidRPr="00075AF1">
        <w:t>σημειώνει ότι η πολιτική ανεξαρτησίας του Κέντρου για τους μη υπαλλήλους προβλέπει τη διαδικασία που πρέπει να ακολουθείται για τον εντοπισμό και την αποφυγή πιθανών συγκρούσεων συμφερόντων· σημειώνει ότι, εν ολίγοις, αυτό συνεπάγεται τη συλλογή δηλώσεων συμφερόντων σε συγκεκριμένες περιπτώσεις, (για παράδειγμα όταν πρόκειται να παραχθεί επιστημονικό αποτέλεσμα), οι οποίες στη συνέχεια αξιολογούνται από τον υπάλληλο του Κέντρου που είναι αρμόδιος για τη σχετική δραστηριότητα, με την υποστήριξη του υπευθύνου συμμόρφωσης του Κέντρου· επισημαίνει ότι δεν αναφέρθηκαν υποθέσεις σύγκρουσης συμφερόντων το 2022·</w:t>
      </w:r>
    </w:p>
    <w:p w:rsidR="00A93A34" w:rsidRPr="00DD1013" w:rsidRDefault="00254C0B" w:rsidP="00254C0B">
      <w:pPr>
        <w:spacing w:after="240"/>
        <w:ind w:left="567" w:hanging="573"/>
      </w:pPr>
      <w:r w:rsidRPr="00DD1013">
        <w:rPr>
          <w:rFonts w:eastAsiaTheme="minorHAnsi"/>
          <w:szCs w:val="24"/>
          <w:lang w:eastAsia="en-US"/>
        </w:rPr>
        <w:t>21.</w:t>
      </w:r>
      <w:r w:rsidRPr="00DD1013">
        <w:rPr>
          <w:rFonts w:eastAsiaTheme="minorHAnsi"/>
          <w:szCs w:val="24"/>
          <w:lang w:eastAsia="en-US"/>
        </w:rPr>
        <w:tab/>
      </w:r>
      <w:r w:rsidR="00A93A34" w:rsidRPr="00075AF1">
        <w:t>σημειώνει ότι η εσωτερική διαδικασία για τις συνεδριάσεις του Κέντρου με εμπορικές οργανώσεις που δραστηριοποιούνται στον τομέα της εντολής του προετοιμάστηκε το 2022 και τέθηκε επισήμως σε ισχύ τον Ιανουάριο του 2023· σημειώνει, επιπλέον, ότι το Κέντρο δεν πραγματοποίησε τέτοιες συνεδριάσεις το 2022·</w:t>
      </w:r>
    </w:p>
    <w:p w:rsidR="00A93A34" w:rsidRPr="00075AF1" w:rsidRDefault="00254C0B" w:rsidP="00254C0B">
      <w:pPr>
        <w:spacing w:after="240"/>
        <w:ind w:left="567" w:hanging="573"/>
      </w:pPr>
      <w:r w:rsidRPr="00075AF1">
        <w:rPr>
          <w:rFonts w:eastAsiaTheme="minorHAnsi"/>
          <w:szCs w:val="24"/>
          <w:lang w:eastAsia="en-US"/>
        </w:rPr>
        <w:t>22.</w:t>
      </w:r>
      <w:r w:rsidRPr="00075AF1">
        <w:rPr>
          <w:rFonts w:eastAsiaTheme="minorHAnsi"/>
          <w:szCs w:val="24"/>
          <w:lang w:eastAsia="en-US"/>
        </w:rPr>
        <w:tab/>
      </w:r>
      <w:r w:rsidR="00A93A34" w:rsidRPr="00075AF1">
        <w:t>αναγνωρίζει την προβολή που απέκτησε το Κέντρο στη διάρκεια της πανδημίας· είναι δε της γνώμης ότι εξακολουθεί να υπάρχει περιθώριο για μεγαλύτερη προβολή στα μέσα ενημέρωσης, στο διαδίκτυο και στα μέσα κοινωνικής δικτύωσης, ώστε οι πολίτες να γνωρίσουν το έργο του·</w:t>
      </w:r>
    </w:p>
    <w:p w:rsidR="00A93A34" w:rsidRPr="00075AF1" w:rsidRDefault="00254C0B" w:rsidP="00254C0B">
      <w:pPr>
        <w:pStyle w:val="NormalHanging12a"/>
        <w:ind w:hanging="573"/>
      </w:pPr>
      <w:r w:rsidRPr="00075AF1">
        <w:t>23.</w:t>
      </w:r>
      <w:r w:rsidRPr="00075AF1">
        <w:tab/>
      </w:r>
      <w:r w:rsidR="00A93A34" w:rsidRPr="00075AF1">
        <w:t>καλεί το Κέντρο να εξασφαλίσει πλήρη διαφάνεια κατά τη δημοσίευση επιστημονικών μελετών και να ενισχύσει την ικανότητα εξωτερικής επικοινωνίας του προς το ευρύ κοινό, διασφαλίζοντας ότι όλες οι βασικές πληροφορίες, ιδίως σχετικά με καταστάσεις έκτακτης ανάγκης στον τομέα της δημόσιας υγείας, διατίθενται σε όλες τις επίσημες γλώσσες της Ένωσης και είναι εύκολα προσβάσιμες και κατανοητές στους πολίτες της·</w:t>
      </w:r>
    </w:p>
    <w:p w:rsidR="00A93A34" w:rsidRPr="00075AF1" w:rsidRDefault="00A93A34" w:rsidP="00A93A34">
      <w:pPr>
        <w:widowControl/>
        <w:spacing w:after="240"/>
        <w:ind w:left="567" w:hanging="567"/>
        <w:rPr>
          <w:b/>
          <w:i/>
          <w:szCs w:val="24"/>
        </w:rPr>
      </w:pPr>
      <w:r w:rsidRPr="00075AF1">
        <w:rPr>
          <w:b/>
          <w:i/>
        </w:rPr>
        <w:t>Εσωτερικοί έλεγχοι</w:t>
      </w:r>
    </w:p>
    <w:p w:rsidR="00A93A34" w:rsidRPr="00DD1013" w:rsidRDefault="00254C0B" w:rsidP="00254C0B">
      <w:pPr>
        <w:spacing w:after="240"/>
        <w:ind w:left="567" w:hanging="573"/>
      </w:pPr>
      <w:r w:rsidRPr="00DD1013">
        <w:rPr>
          <w:rFonts w:eastAsiaTheme="minorHAnsi"/>
          <w:szCs w:val="24"/>
          <w:lang w:eastAsia="en-US"/>
        </w:rPr>
        <w:t>24.</w:t>
      </w:r>
      <w:r w:rsidRPr="00DD1013">
        <w:rPr>
          <w:rFonts w:eastAsiaTheme="minorHAnsi"/>
          <w:szCs w:val="24"/>
          <w:lang w:eastAsia="en-US"/>
        </w:rPr>
        <w:tab/>
      </w:r>
      <w:r w:rsidR="00A93A34" w:rsidRPr="00075AF1">
        <w:t>επισημαίνει τη γνώμη του Ελεγκτικού Συνεδρίου με επιφύλαξη σχετικά με τη νομιμότητα και κανονικότητα των πληρωμών λόγω της συμπερίληψης του ΦΠΑ ως επιλέξιμης δαπάνης στο πλαίσιο συμφωνιών επιχορήγησης, των οποίων οι δικαιούχοι που ασκούν δραστηριότητες ως δημόσιες αρχές αντιπροσώπευαν το 2,8 % των διαθέσιμων πιστώσεων πληρωμών το 2022· υπενθυμίζει ότι κατά τη διαχείριση των επιχορηγήσεων οι οργανισμοί πρέπει να διασφαλίζουν τη συμμόρφωση με τους ισχύοντες κανόνες, ιδίως όσον αφορά την επιστροφή του ΦΠΑ στους δικαιούχους που είναι δημόσιες αρχές.</w:t>
      </w:r>
    </w:p>
    <w:p w:rsidR="00A93A34" w:rsidRPr="00DD1013" w:rsidRDefault="00254C0B" w:rsidP="00254C0B">
      <w:pPr>
        <w:spacing w:after="240"/>
        <w:ind w:left="567" w:hanging="573"/>
      </w:pPr>
      <w:r w:rsidRPr="00DD1013">
        <w:rPr>
          <w:rFonts w:eastAsiaTheme="minorHAnsi"/>
          <w:szCs w:val="24"/>
          <w:lang w:eastAsia="en-US"/>
        </w:rPr>
        <w:t>25.</w:t>
      </w:r>
      <w:r w:rsidRPr="00DD1013">
        <w:rPr>
          <w:rFonts w:eastAsiaTheme="minorHAnsi"/>
          <w:szCs w:val="24"/>
          <w:lang w:eastAsia="en-US"/>
        </w:rPr>
        <w:tab/>
      </w:r>
      <w:r w:rsidR="00A93A34" w:rsidRPr="00075AF1">
        <w:t>σημειώνει ότι το Κέντρο αξιολογεί την αποτελεσματικότητα του συστήματος εσωτερικού ελέγχου τουλάχιστον μία φορά ετησίως αξιολογώντας την εφαρμογή του πλαισίου εσωτερικού ελέγχου, συμπεριλαμβανομένης της εφαρμογής των δεικτών που έχουν καθοριστεί, και αξιολογώντας τις κύριες ελλείψεις που εντοπίστηκαν από το ίδιο το Κέντρο ή αναφέρθηκαν από άλλους, συμπεριλαμβανομένων της Υπηρεσίας Εσωτερικού Ελέγχου και του Ευρωπαϊκού Ελεγκτικού Συνεδρίου· σημειώνει, επιπλέον, ότι το 2022 πραγματοποιήθηκαν ορισμένες βελτιώσεις στο πλαίσιο εσωτερικού ελέγχου, όπως μια βελτιωμένη στρατηγική ελέγχου, συμπεριλαμβανομένων νέων δεικτών, ένας βελτιωμένος κατάλογος πληροφοριακών στοιχείων και η ανάπτυξη μιας νέας πολιτικής εσωτερικής επικοινωνίας·</w:t>
      </w:r>
    </w:p>
    <w:p w:rsidR="00A93A34" w:rsidRPr="00075AF1" w:rsidRDefault="00A93A34" w:rsidP="00A93A34">
      <w:pPr>
        <w:widowControl/>
        <w:spacing w:after="240"/>
        <w:ind w:left="567" w:hanging="567"/>
        <w:rPr>
          <w:b/>
          <w:i/>
          <w:szCs w:val="24"/>
        </w:rPr>
      </w:pPr>
      <w:r w:rsidRPr="00075AF1">
        <w:rPr>
          <w:b/>
          <w:i/>
        </w:rPr>
        <w:t>Λοιπές παρατηρήσεις</w:t>
      </w:r>
    </w:p>
    <w:p w:rsidR="00A93A34" w:rsidRPr="00DD1013" w:rsidRDefault="00254C0B" w:rsidP="00254C0B">
      <w:pPr>
        <w:spacing w:after="240"/>
        <w:ind w:left="567" w:hanging="570"/>
      </w:pPr>
      <w:r w:rsidRPr="00DD1013">
        <w:rPr>
          <w:rFonts w:eastAsiaTheme="minorHAnsi"/>
          <w:szCs w:val="24"/>
          <w:lang w:eastAsia="en-US"/>
        </w:rPr>
        <w:t>26.</w:t>
      </w:r>
      <w:r w:rsidRPr="00DD1013">
        <w:rPr>
          <w:rFonts w:eastAsiaTheme="minorHAnsi"/>
          <w:szCs w:val="24"/>
          <w:lang w:eastAsia="en-US"/>
        </w:rPr>
        <w:tab/>
      </w:r>
      <w:r w:rsidR="00A93A34" w:rsidRPr="00075AF1">
        <w:t>εκφράζει την ικανοποίησή του για το γεγονός ότι το Κέντρο σκόπευε να καταχωριστεί στο EMAS το 2023 και σχεδιάζει ένα έργο για την αντιστάθμιση των εκπομπών CO</w:t>
      </w:r>
      <w:r w:rsidR="00A93A34" w:rsidRPr="00254C0B">
        <w:rPr>
          <w:vertAlign w:val="subscript"/>
        </w:rPr>
        <w:t>2</w:t>
      </w:r>
      <w:r w:rsidR="00A93A34" w:rsidRPr="00075AF1">
        <w:t xml:space="preserve"> (που θα ξεκινήσει το τέταρτο τρίμηνο του 2024) το οποίο θα περιλαμβάνει μέτρα για τον υπολογισμό του αντίκτυπου των εκπομπών CO</w:t>
      </w:r>
      <w:r w:rsidR="00A93A34" w:rsidRPr="00254C0B">
        <w:rPr>
          <w:vertAlign w:val="subscript"/>
        </w:rPr>
        <w:t>2</w:t>
      </w:r>
      <w:r w:rsidR="00A93A34" w:rsidRPr="00075AF1">
        <w:t xml:space="preserve"> και τον τρόπο ελαχιστοποίησής του· σημειώνει ότι οι συγκεκριμένοι στόχοι θα περιλαμβάνονται στο πλαίσιο της διαδικασίας εφαρμογής του EMAS, η οποία θα ξεκινήσει το 2024·</w:t>
      </w:r>
    </w:p>
    <w:p w:rsidR="00A93A34" w:rsidRPr="00075AF1" w:rsidRDefault="00254C0B" w:rsidP="00254C0B">
      <w:pPr>
        <w:pStyle w:val="NormalCenter12a"/>
        <w:widowControl/>
        <w:ind w:left="567" w:hanging="570"/>
        <w:jc w:val="left"/>
        <w:rPr>
          <w:bCs/>
          <w:szCs w:val="24"/>
        </w:rPr>
      </w:pPr>
      <w:r w:rsidRPr="00075AF1">
        <w:rPr>
          <w:bCs/>
          <w:szCs w:val="24"/>
        </w:rPr>
        <w:t>27.</w:t>
      </w:r>
      <w:r w:rsidRPr="00075AF1">
        <w:rPr>
          <w:bCs/>
          <w:szCs w:val="24"/>
        </w:rPr>
        <w:tab/>
      </w:r>
      <w:r w:rsidR="00A93A34" w:rsidRPr="00075AF1">
        <w:t xml:space="preserve">επιδοκιμάζει την κίνηση του Κέντρου να προχωρήσει το 2022 στην αύξηση της χρήσης ηλεκτρονικών εργαλείων για τις διαδικασίες σύναψης συμβάσεων· σημειώνει ότι το Κέντρο χρησιμοποιεί πλέον το εργαλείο της Επιτροπής για τη διαχείριση των δημόσιων συμβάσεων (PPMT) για την καταχώριση και τη δημοσίευση όλων των διαδικασιών σύναψης συμβάσεων, συμπεριλαμβανομένων των εκ των προτέρων δημοσιεύσεων· σημειώνει ότι το σύστημα PPMT συνδέεται με το </w:t>
      </w:r>
      <w:proofErr w:type="spellStart"/>
      <w:r w:rsidR="00A93A34" w:rsidRPr="00075AF1">
        <w:t>eTendering</w:t>
      </w:r>
      <w:proofErr w:type="spellEnd"/>
      <w:r w:rsidR="00A93A34" w:rsidRPr="00075AF1">
        <w:t xml:space="preserve">, όπου διεκπεραιώνεται η δημοσίευση και περιλαμβάνονται απαντήσεις σε συχνές ερωτήσεις κατά τη διάρκεια της δημοσίευσης· σημειώνει, επιπλέον, ότι το Κέντρο χρησιμοποιεί εσωτερικό σύστημα </w:t>
      </w:r>
      <w:proofErr w:type="spellStart"/>
      <w:r w:rsidR="00A93A34" w:rsidRPr="00075AF1">
        <w:t>eWorkflow</w:t>
      </w:r>
      <w:proofErr w:type="spellEnd"/>
      <w:r w:rsidR="00A93A34" w:rsidRPr="00075AF1">
        <w:t xml:space="preserve"> για αγορές στο πλαίσιο συμβάσεων-πλαισίων και για τον έλεγχο πριν από την προκήρυξη·</w:t>
      </w:r>
    </w:p>
    <w:p w:rsidR="00A93A34" w:rsidRPr="00075AF1" w:rsidRDefault="00254C0B" w:rsidP="00254C0B">
      <w:pPr>
        <w:pStyle w:val="NormalHanging12a"/>
        <w:ind w:hanging="570"/>
      </w:pPr>
      <w:r w:rsidRPr="00075AF1">
        <w:t>28.</w:t>
      </w:r>
      <w:r w:rsidRPr="00075AF1">
        <w:tab/>
      </w:r>
      <w:r w:rsidR="00A93A34" w:rsidRPr="00075AF1">
        <w:t>εκφράζει την ικανοποίησή του για το γεγονός ότι το 2022 η συνολική ικανοποίηση των ενδιαφερόμενων μερών από το έργο του Κέντρου ανήλθε σε 86 %·</w:t>
      </w:r>
    </w:p>
    <w:p w:rsidR="00A93A34" w:rsidRPr="00075AF1" w:rsidRDefault="00A93A34" w:rsidP="00A93A34">
      <w:pPr>
        <w:pStyle w:val="NormalCenter12a"/>
        <w:rPr>
          <w:szCs w:val="24"/>
        </w:rPr>
      </w:pPr>
      <w:r w:rsidRPr="00075AF1">
        <w:t>°</w:t>
      </w:r>
    </w:p>
    <w:p w:rsidR="00A93A34" w:rsidRPr="00075AF1" w:rsidRDefault="00A93A34" w:rsidP="00A93A34">
      <w:pPr>
        <w:pStyle w:val="NormalCenter12a"/>
        <w:rPr>
          <w:szCs w:val="24"/>
        </w:rPr>
      </w:pPr>
      <w:r w:rsidRPr="00075AF1">
        <w:t>°</w:t>
      </w:r>
      <w:r w:rsidRPr="00075AF1">
        <w:tab/>
        <w:t>°</w:t>
      </w:r>
    </w:p>
    <w:p w:rsidR="00E365E1" w:rsidRPr="00075AF1" w:rsidRDefault="00254C0B" w:rsidP="00254C0B">
      <w:pPr>
        <w:pStyle w:val="NormalCenter12a"/>
        <w:widowControl/>
        <w:ind w:left="567" w:hanging="570"/>
        <w:jc w:val="left"/>
      </w:pPr>
      <w:r w:rsidRPr="00075AF1">
        <w:t>29.</w:t>
      </w:r>
      <w:r w:rsidRPr="00075AF1">
        <w:tab/>
      </w:r>
      <w:r w:rsidR="00A93A34" w:rsidRPr="00075AF1">
        <w:t xml:space="preserve">παραπέμπει, όσον αφορά άλλες παρατηρήσεις οριζόντιου χαρακτήρα που συνοδεύουν την απόφαση απαλλαγής, στο ψήφισμά του της </w:t>
      </w:r>
      <w:r w:rsidR="00AD7E89">
        <w:t>11ης Απριλίου 2024</w:t>
      </w:r>
      <w:r w:rsidR="00A93A34" w:rsidRPr="00075AF1">
        <w:rPr>
          <w:vertAlign w:val="superscript"/>
        </w:rPr>
        <w:footnoteReference w:id="13"/>
      </w:r>
      <w:r w:rsidR="00A93A34" w:rsidRPr="00075AF1">
        <w:t xml:space="preserve"> σχετικά με τις επιδόσεις, τη χρηματοοικονομική διαχείριση και τον έλεγχο των οργανισμών.</w:t>
      </w:r>
      <w:bookmarkStart w:id="9" w:name="TextBodyEnd"/>
      <w:bookmarkEnd w:id="9"/>
    </w:p>
    <w:sectPr w:rsidR="00E365E1" w:rsidRPr="00075AF1" w:rsidSect="00075AF1">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32CC" w:rsidRPr="00075AF1" w:rsidRDefault="004232CC">
      <w:r w:rsidRPr="00075AF1">
        <w:separator/>
      </w:r>
    </w:p>
  </w:endnote>
  <w:endnote w:type="continuationSeparator" w:id="0">
    <w:p w:rsidR="004232CC" w:rsidRPr="00075AF1" w:rsidRDefault="004232CC">
      <w:r w:rsidRPr="00075A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A34" w:rsidRPr="00075AF1" w:rsidRDefault="00A93A34" w:rsidP="00F359D8">
    <w:pPr>
      <w:pStyle w:val="EPFooter"/>
    </w:pPr>
    <w:r w:rsidRPr="00075AF1">
      <w:t>PE</w:t>
    </w:r>
    <w:r w:rsidRPr="00075AF1">
      <w:rPr>
        <w:rStyle w:val="HideTWBExt"/>
      </w:rPr>
      <w:t>&lt;</w:t>
    </w:r>
    <w:proofErr w:type="spellStart"/>
    <w:r w:rsidRPr="00075AF1">
      <w:rPr>
        <w:rStyle w:val="HideTWBExt"/>
      </w:rPr>
      <w:t>NoPE</w:t>
    </w:r>
    <w:proofErr w:type="spellEnd"/>
    <w:r w:rsidRPr="00075AF1">
      <w:rPr>
        <w:rStyle w:val="HideTWBExt"/>
      </w:rPr>
      <w:t>&gt;</w:t>
    </w:r>
    <w:r w:rsidRPr="00075AF1">
      <w:t>753.515</w:t>
    </w:r>
    <w:r w:rsidRPr="00075AF1">
      <w:rPr>
        <w:rStyle w:val="HideTWBExt"/>
      </w:rPr>
      <w:t>&lt;/</w:t>
    </w:r>
    <w:proofErr w:type="spellStart"/>
    <w:r w:rsidRPr="00075AF1">
      <w:rPr>
        <w:rStyle w:val="HideTWBExt"/>
      </w:rPr>
      <w:t>NoPE</w:t>
    </w:r>
    <w:proofErr w:type="spellEnd"/>
    <w:r w:rsidRPr="00075AF1">
      <w:rPr>
        <w:rStyle w:val="HideTWBExt"/>
      </w:rPr>
      <w:t>&gt;&lt;Version&gt;</w:t>
    </w:r>
    <w:r w:rsidRPr="00075AF1">
      <w:t>v02-00</w:t>
    </w:r>
    <w:r w:rsidRPr="00075AF1">
      <w:rPr>
        <w:rStyle w:val="HideTWBExt"/>
      </w:rPr>
      <w:t>&lt;/</w:t>
    </w:r>
    <w:proofErr w:type="spellStart"/>
    <w:r w:rsidRPr="00075AF1">
      <w:rPr>
        <w:rStyle w:val="HideTWBExt"/>
      </w:rPr>
      <w:t>Version</w:t>
    </w:r>
    <w:proofErr w:type="spellEnd"/>
    <w:r w:rsidRPr="00075AF1">
      <w:rPr>
        <w:rStyle w:val="HideTWBExt"/>
      </w:rPr>
      <w:t>&gt;</w:t>
    </w:r>
    <w:r w:rsidRPr="00075AF1">
      <w:tab/>
    </w:r>
    <w:r w:rsidRPr="00075AF1">
      <w:fldChar w:fldCharType="begin"/>
    </w:r>
    <w:r w:rsidRPr="00075AF1">
      <w:instrText xml:space="preserve"> PAGE  \* MERGEFORMAT </w:instrText>
    </w:r>
    <w:r w:rsidRPr="00075AF1">
      <w:fldChar w:fldCharType="separate"/>
    </w:r>
    <w:r w:rsidRPr="00075AF1">
      <w:rPr>
        <w:noProof/>
      </w:rPr>
      <w:t>4</w:t>
    </w:r>
    <w:r w:rsidRPr="00075AF1">
      <w:fldChar w:fldCharType="end"/>
    </w:r>
    <w:r w:rsidRPr="00075AF1">
      <w:t>/</w:t>
    </w:r>
    <w:r w:rsidR="00254C0B">
      <w:fldChar w:fldCharType="begin"/>
    </w:r>
    <w:r w:rsidR="00254C0B">
      <w:instrText xml:space="preserve"> NUMPAGES  \* MERGEFORMAT </w:instrText>
    </w:r>
    <w:r w:rsidR="00254C0B">
      <w:fldChar w:fldCharType="separate"/>
    </w:r>
    <w:r w:rsidRPr="00075AF1">
      <w:rPr>
        <w:noProof/>
      </w:rPr>
      <w:t>4</w:t>
    </w:r>
    <w:r w:rsidR="00254C0B">
      <w:rPr>
        <w:noProof/>
      </w:rPr>
      <w:fldChar w:fldCharType="end"/>
    </w:r>
    <w:r w:rsidRPr="00075AF1">
      <w:tab/>
    </w:r>
    <w:r w:rsidRPr="00075AF1">
      <w:rPr>
        <w:rStyle w:val="HideTWBExt"/>
      </w:rPr>
      <w:t>&lt;PathFdR&gt;</w:t>
    </w:r>
    <w:r w:rsidRPr="00075AF1">
      <w:t>RR\1298834EL.docx</w:t>
    </w:r>
    <w:r w:rsidRPr="00075AF1">
      <w:rPr>
        <w:rStyle w:val="HideTWBExt"/>
      </w:rPr>
      <w:t>&lt;/</w:t>
    </w:r>
    <w:proofErr w:type="spellStart"/>
    <w:r w:rsidRPr="00075AF1">
      <w:rPr>
        <w:rStyle w:val="HideTWBExt"/>
      </w:rPr>
      <w:t>PathFdR</w:t>
    </w:r>
    <w:proofErr w:type="spellEnd"/>
    <w:r w:rsidRPr="00075AF1">
      <w:rPr>
        <w:rStyle w:val="HideTWBExt"/>
      </w:rPr>
      <w:t>&gt;</w:t>
    </w:r>
  </w:p>
  <w:p w:rsidR="00A93A34" w:rsidRPr="00075AF1" w:rsidRDefault="00A93A34" w:rsidP="00F359D8">
    <w:pPr>
      <w:pStyle w:val="EPFooter2"/>
    </w:pPr>
    <w:r w:rsidRPr="00075AF1">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A34" w:rsidRPr="00075AF1" w:rsidRDefault="00A93A34" w:rsidP="00F359D8">
    <w:pPr>
      <w:pStyle w:val="EPFooter"/>
    </w:pPr>
    <w:r w:rsidRPr="00075AF1">
      <w:rPr>
        <w:rStyle w:val="HideTWBExt"/>
      </w:rPr>
      <w:t>&lt;PathFdR&gt;</w:t>
    </w:r>
    <w:r w:rsidRPr="00075AF1">
      <w:t>RR\1298834EL.docx</w:t>
    </w:r>
    <w:r w:rsidRPr="00075AF1">
      <w:rPr>
        <w:rStyle w:val="HideTWBExt"/>
      </w:rPr>
      <w:t>&lt;/</w:t>
    </w:r>
    <w:proofErr w:type="spellStart"/>
    <w:r w:rsidRPr="00075AF1">
      <w:rPr>
        <w:rStyle w:val="HideTWBExt"/>
      </w:rPr>
      <w:t>PathFdR</w:t>
    </w:r>
    <w:proofErr w:type="spellEnd"/>
    <w:r w:rsidRPr="00075AF1">
      <w:rPr>
        <w:rStyle w:val="HideTWBExt"/>
      </w:rPr>
      <w:t>&gt;</w:t>
    </w:r>
    <w:r w:rsidRPr="00075AF1">
      <w:tab/>
    </w:r>
    <w:r w:rsidRPr="00075AF1">
      <w:tab/>
      <w:t>PE</w:t>
    </w:r>
    <w:r w:rsidRPr="00075AF1">
      <w:rPr>
        <w:rStyle w:val="HideTWBExt"/>
      </w:rPr>
      <w:t>&lt;</w:t>
    </w:r>
    <w:proofErr w:type="spellStart"/>
    <w:r w:rsidRPr="00075AF1">
      <w:rPr>
        <w:rStyle w:val="HideTWBExt"/>
      </w:rPr>
      <w:t>NoPE</w:t>
    </w:r>
    <w:proofErr w:type="spellEnd"/>
    <w:r w:rsidRPr="00075AF1">
      <w:rPr>
        <w:rStyle w:val="HideTWBExt"/>
      </w:rPr>
      <w:t>&gt;</w:t>
    </w:r>
    <w:r w:rsidRPr="00075AF1">
      <w:t>753.515</w:t>
    </w:r>
    <w:r w:rsidRPr="00075AF1">
      <w:rPr>
        <w:rStyle w:val="HideTWBExt"/>
      </w:rPr>
      <w:t>&lt;/</w:t>
    </w:r>
    <w:proofErr w:type="spellStart"/>
    <w:r w:rsidRPr="00075AF1">
      <w:rPr>
        <w:rStyle w:val="HideTWBExt"/>
      </w:rPr>
      <w:t>NoPE</w:t>
    </w:r>
    <w:proofErr w:type="spellEnd"/>
    <w:r w:rsidRPr="00075AF1">
      <w:rPr>
        <w:rStyle w:val="HideTWBExt"/>
      </w:rPr>
      <w:t>&gt;&lt;Version&gt;</w:t>
    </w:r>
    <w:r w:rsidRPr="00075AF1">
      <w:t>v02-00</w:t>
    </w:r>
    <w:r w:rsidRPr="00075AF1">
      <w:rPr>
        <w:rStyle w:val="HideTWBExt"/>
      </w:rPr>
      <w:t>&lt;/</w:t>
    </w:r>
    <w:proofErr w:type="spellStart"/>
    <w:r w:rsidRPr="00075AF1">
      <w:rPr>
        <w:rStyle w:val="HideTWBExt"/>
      </w:rPr>
      <w:t>Version</w:t>
    </w:r>
    <w:proofErr w:type="spellEnd"/>
    <w:r w:rsidRPr="00075AF1">
      <w:rPr>
        <w:rStyle w:val="HideTWBExt"/>
      </w:rPr>
      <w:t>&gt;</w:t>
    </w:r>
  </w:p>
  <w:p w:rsidR="00A93A34" w:rsidRPr="00075AF1" w:rsidRDefault="00A93A34" w:rsidP="00F359D8">
    <w:pPr>
      <w:pStyle w:val="EPFooter2"/>
    </w:pPr>
    <w:r w:rsidRPr="00075AF1">
      <w:t>EL</w:t>
    </w:r>
    <w:r w:rsidRPr="00075AF1">
      <w:tab/>
    </w:r>
    <w:r w:rsidRPr="00075AF1">
      <w:rPr>
        <w:b w:val="0"/>
        <w:i/>
        <w:color w:val="C0C0C0"/>
        <w:sz w:val="22"/>
      </w:rPr>
      <w:t>Ενωμένη στην πολυμορφία</w:t>
    </w:r>
    <w:r w:rsidRPr="00075AF1">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5AF1"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5AF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5AF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32CC" w:rsidRPr="00075AF1" w:rsidRDefault="004232CC">
      <w:r w:rsidRPr="00075AF1">
        <w:separator/>
      </w:r>
    </w:p>
  </w:footnote>
  <w:footnote w:type="continuationSeparator" w:id="0">
    <w:p w:rsidR="004232CC" w:rsidRPr="00075AF1" w:rsidRDefault="004232CC">
      <w:r w:rsidRPr="00075AF1">
        <w:continuationSeparator/>
      </w:r>
    </w:p>
  </w:footnote>
  <w:footnote w:id="1">
    <w:p w:rsidR="00A93A34" w:rsidRPr="00075AF1" w:rsidRDefault="00A93A34" w:rsidP="00075AF1">
      <w:pPr>
        <w:pStyle w:val="FootnoteText"/>
        <w:ind w:left="567" w:hanging="567"/>
        <w:rPr>
          <w:sz w:val="24"/>
          <w:lang w:val="el-GR"/>
        </w:rPr>
      </w:pPr>
      <w:r w:rsidRPr="00075AF1">
        <w:rPr>
          <w:rStyle w:val="FootnoteReference"/>
          <w:sz w:val="24"/>
          <w:lang w:val="el-GR"/>
        </w:rPr>
        <w:footnoteRef/>
      </w:r>
      <w:r w:rsidR="00075AF1" w:rsidRPr="00075AF1">
        <w:rPr>
          <w:sz w:val="24"/>
          <w:lang w:val="el-GR"/>
        </w:rPr>
        <w:t xml:space="preserve"> </w:t>
      </w:r>
      <w:r w:rsidR="00075AF1" w:rsidRPr="00075AF1">
        <w:rPr>
          <w:sz w:val="24"/>
          <w:lang w:val="el-GR"/>
        </w:rPr>
        <w:tab/>
      </w:r>
      <w:r w:rsidRPr="00075AF1">
        <w:rPr>
          <w:sz w:val="24"/>
          <w:lang w:val="el-GR"/>
        </w:rPr>
        <w:t>ΕΕ C, C/2023/594, 27.10.2023.</w:t>
      </w:r>
    </w:p>
  </w:footnote>
  <w:footnote w:id="2">
    <w:p w:rsidR="00A93A34" w:rsidRPr="00075AF1" w:rsidRDefault="00A93A34" w:rsidP="00075AF1">
      <w:pPr>
        <w:pStyle w:val="FootnoteText"/>
        <w:ind w:left="567" w:hanging="567"/>
        <w:rPr>
          <w:sz w:val="24"/>
          <w:lang w:val="el-GR"/>
        </w:rPr>
      </w:pPr>
      <w:r w:rsidRPr="00075AF1">
        <w:rPr>
          <w:rStyle w:val="FootnoteReference"/>
          <w:sz w:val="24"/>
          <w:lang w:val="el-GR"/>
        </w:rPr>
        <w:footnoteRef/>
      </w:r>
      <w:r w:rsidR="00075AF1" w:rsidRPr="00075AF1">
        <w:rPr>
          <w:sz w:val="24"/>
          <w:lang w:val="el-GR"/>
        </w:rPr>
        <w:t xml:space="preserve"> </w:t>
      </w:r>
      <w:r w:rsidR="00075AF1" w:rsidRPr="00075AF1">
        <w:rPr>
          <w:sz w:val="24"/>
          <w:lang w:val="el-GR"/>
        </w:rPr>
        <w:tab/>
      </w:r>
      <w:r w:rsidRPr="00075AF1">
        <w:rPr>
          <w:sz w:val="24"/>
          <w:lang w:val="el-GR"/>
        </w:rPr>
        <w:t>ΕΕ C, C/2023/112, 12.10.2023.</w:t>
      </w:r>
    </w:p>
  </w:footnote>
  <w:footnote w:id="3">
    <w:p w:rsidR="00A93A34" w:rsidRPr="00075AF1" w:rsidRDefault="00A93A34" w:rsidP="00075AF1">
      <w:pPr>
        <w:pStyle w:val="FootnoteText"/>
        <w:ind w:left="567" w:hanging="567"/>
        <w:rPr>
          <w:sz w:val="24"/>
          <w:lang w:val="el-GR"/>
        </w:rPr>
      </w:pPr>
      <w:r w:rsidRPr="00075AF1">
        <w:rPr>
          <w:rStyle w:val="FootnoteReference"/>
          <w:sz w:val="24"/>
          <w:lang w:val="el-GR"/>
        </w:rPr>
        <w:footnoteRef/>
      </w:r>
      <w:r w:rsidR="00075AF1" w:rsidRPr="00075AF1">
        <w:rPr>
          <w:sz w:val="24"/>
          <w:lang w:val="el-GR"/>
        </w:rPr>
        <w:t xml:space="preserve"> </w:t>
      </w:r>
      <w:r w:rsidR="00075AF1" w:rsidRPr="00075AF1">
        <w:rPr>
          <w:sz w:val="24"/>
          <w:lang w:val="el-GR"/>
        </w:rPr>
        <w:tab/>
      </w:r>
      <w:r w:rsidRPr="00075AF1">
        <w:rPr>
          <w:sz w:val="24"/>
          <w:lang w:val="el-GR"/>
        </w:rPr>
        <w:t>ΕΕ L 193 της 30.7.2018, σ. 1.</w:t>
      </w:r>
    </w:p>
  </w:footnote>
  <w:footnote w:id="4">
    <w:p w:rsidR="00A93A34" w:rsidRPr="00075AF1" w:rsidRDefault="00A93A34" w:rsidP="00075AF1">
      <w:pPr>
        <w:pStyle w:val="FootnoteText"/>
        <w:ind w:left="567" w:hanging="567"/>
        <w:rPr>
          <w:sz w:val="24"/>
          <w:lang w:val="el-GR"/>
        </w:rPr>
      </w:pPr>
      <w:r w:rsidRPr="00075AF1">
        <w:rPr>
          <w:rStyle w:val="FootnoteReference"/>
          <w:sz w:val="24"/>
          <w:lang w:val="el-GR"/>
        </w:rPr>
        <w:footnoteRef/>
      </w:r>
      <w:r w:rsidR="00075AF1" w:rsidRPr="00075AF1">
        <w:rPr>
          <w:sz w:val="24"/>
          <w:lang w:val="el-GR"/>
        </w:rPr>
        <w:t xml:space="preserve"> </w:t>
      </w:r>
      <w:r w:rsidR="00075AF1" w:rsidRPr="00075AF1">
        <w:rPr>
          <w:sz w:val="24"/>
          <w:lang w:val="el-GR"/>
        </w:rPr>
        <w:tab/>
      </w:r>
      <w:r w:rsidRPr="00075AF1">
        <w:rPr>
          <w:sz w:val="24"/>
          <w:lang w:val="el-GR"/>
        </w:rPr>
        <w:t>ΕΕ L 142 της 30.4.2004, σ. 1.</w:t>
      </w:r>
    </w:p>
  </w:footnote>
  <w:footnote w:id="5">
    <w:p w:rsidR="00A93A34" w:rsidRPr="00075AF1" w:rsidRDefault="00A93A34" w:rsidP="00075AF1">
      <w:pPr>
        <w:pStyle w:val="FootnoteText"/>
        <w:ind w:left="567" w:hanging="567"/>
        <w:rPr>
          <w:sz w:val="24"/>
          <w:szCs w:val="24"/>
          <w:lang w:val="el-GR"/>
        </w:rPr>
      </w:pPr>
      <w:r w:rsidRPr="00075AF1">
        <w:rPr>
          <w:rStyle w:val="FootnoteReference"/>
          <w:sz w:val="24"/>
          <w:lang w:val="el-GR"/>
        </w:rPr>
        <w:footnoteRef/>
      </w:r>
      <w:r w:rsidR="00075AF1" w:rsidRPr="00075AF1">
        <w:rPr>
          <w:sz w:val="24"/>
          <w:lang w:val="el-GR"/>
        </w:rPr>
        <w:t xml:space="preserve"> </w:t>
      </w:r>
      <w:r w:rsidR="00075AF1" w:rsidRPr="00075AF1">
        <w:rPr>
          <w:sz w:val="24"/>
          <w:lang w:val="el-GR"/>
        </w:rPr>
        <w:tab/>
      </w:r>
      <w:r w:rsidRPr="00075AF1">
        <w:rPr>
          <w:sz w:val="24"/>
          <w:lang w:val="el-GR"/>
        </w:rPr>
        <w:t>ΕΕ L 122 της 10.5.2019, σ. 1.</w:t>
      </w:r>
    </w:p>
  </w:footnote>
  <w:footnote w:id="6">
    <w:p w:rsidR="00A93A34" w:rsidRPr="00075AF1" w:rsidRDefault="00A93A34" w:rsidP="00075AF1">
      <w:pPr>
        <w:pStyle w:val="FootnoteText"/>
        <w:ind w:left="567" w:hanging="567"/>
        <w:rPr>
          <w:sz w:val="24"/>
          <w:lang w:val="el-GR"/>
        </w:rPr>
      </w:pPr>
      <w:r w:rsidRPr="00075AF1">
        <w:rPr>
          <w:rStyle w:val="FootnoteReference"/>
          <w:sz w:val="24"/>
          <w:lang w:val="el-GR"/>
        </w:rPr>
        <w:footnoteRef/>
      </w:r>
      <w:r w:rsidR="00075AF1" w:rsidRPr="00075AF1">
        <w:rPr>
          <w:sz w:val="24"/>
          <w:lang w:val="el-GR"/>
        </w:rPr>
        <w:t xml:space="preserve"> </w:t>
      </w:r>
      <w:r w:rsidR="00075AF1" w:rsidRPr="00075AF1">
        <w:rPr>
          <w:sz w:val="24"/>
          <w:lang w:val="el-GR"/>
        </w:rPr>
        <w:tab/>
      </w:r>
      <w:r w:rsidRPr="00075AF1">
        <w:rPr>
          <w:sz w:val="24"/>
          <w:lang w:val="el-GR"/>
        </w:rPr>
        <w:t>ΕΕ C, C/2023/594, 27.10.2023.</w:t>
      </w:r>
    </w:p>
  </w:footnote>
  <w:footnote w:id="7">
    <w:p w:rsidR="00A93A34" w:rsidRPr="00075AF1" w:rsidRDefault="00A93A34" w:rsidP="00075AF1">
      <w:pPr>
        <w:pStyle w:val="FootnoteText"/>
        <w:ind w:left="567" w:hanging="567"/>
        <w:rPr>
          <w:sz w:val="24"/>
          <w:lang w:val="el-GR"/>
        </w:rPr>
      </w:pPr>
      <w:r w:rsidRPr="00075AF1">
        <w:rPr>
          <w:rStyle w:val="FootnoteReference"/>
          <w:sz w:val="24"/>
          <w:lang w:val="el-GR"/>
        </w:rPr>
        <w:footnoteRef/>
      </w:r>
      <w:r w:rsidR="00075AF1" w:rsidRPr="00075AF1">
        <w:rPr>
          <w:sz w:val="24"/>
          <w:lang w:val="el-GR"/>
        </w:rPr>
        <w:t xml:space="preserve"> </w:t>
      </w:r>
      <w:r w:rsidR="00075AF1" w:rsidRPr="00075AF1">
        <w:rPr>
          <w:sz w:val="24"/>
          <w:lang w:val="el-GR"/>
        </w:rPr>
        <w:tab/>
      </w:r>
      <w:r w:rsidRPr="00075AF1">
        <w:rPr>
          <w:sz w:val="24"/>
          <w:lang w:val="el-GR"/>
        </w:rPr>
        <w:t>ΕΕ C, C/2023/112, 12.10.2023.</w:t>
      </w:r>
    </w:p>
  </w:footnote>
  <w:footnote w:id="8">
    <w:p w:rsidR="00A93A34" w:rsidRPr="00075AF1" w:rsidRDefault="00A93A34" w:rsidP="00075AF1">
      <w:pPr>
        <w:pStyle w:val="FootnoteText"/>
        <w:ind w:left="567" w:hanging="567"/>
        <w:rPr>
          <w:sz w:val="24"/>
          <w:lang w:val="el-GR"/>
        </w:rPr>
      </w:pPr>
      <w:r w:rsidRPr="00075AF1">
        <w:rPr>
          <w:rStyle w:val="FootnoteReference"/>
          <w:sz w:val="24"/>
          <w:lang w:val="el-GR"/>
        </w:rPr>
        <w:footnoteRef/>
      </w:r>
      <w:r w:rsidR="00075AF1" w:rsidRPr="00075AF1">
        <w:rPr>
          <w:sz w:val="24"/>
          <w:lang w:val="el-GR"/>
        </w:rPr>
        <w:t xml:space="preserve"> </w:t>
      </w:r>
      <w:r w:rsidR="00075AF1" w:rsidRPr="00075AF1">
        <w:rPr>
          <w:sz w:val="24"/>
          <w:lang w:val="el-GR"/>
        </w:rPr>
        <w:tab/>
      </w:r>
      <w:r w:rsidRPr="00075AF1">
        <w:rPr>
          <w:sz w:val="24"/>
          <w:lang w:val="el-GR"/>
        </w:rPr>
        <w:t>ΕΕ L 193 της 30.7.2018, σ. 1.</w:t>
      </w:r>
    </w:p>
  </w:footnote>
  <w:footnote w:id="9">
    <w:p w:rsidR="00A93A34" w:rsidRPr="00075AF1" w:rsidRDefault="00A93A34" w:rsidP="00075AF1">
      <w:pPr>
        <w:pStyle w:val="FootnoteText"/>
        <w:ind w:left="567" w:hanging="567"/>
        <w:rPr>
          <w:sz w:val="24"/>
          <w:lang w:val="el-GR"/>
        </w:rPr>
      </w:pPr>
      <w:r w:rsidRPr="00075AF1">
        <w:rPr>
          <w:rStyle w:val="FootnoteReference"/>
          <w:sz w:val="24"/>
          <w:lang w:val="el-GR"/>
        </w:rPr>
        <w:footnoteRef/>
      </w:r>
      <w:r w:rsidR="00075AF1" w:rsidRPr="00075AF1">
        <w:rPr>
          <w:sz w:val="24"/>
          <w:lang w:val="el-GR"/>
        </w:rPr>
        <w:t xml:space="preserve"> </w:t>
      </w:r>
      <w:r w:rsidR="00075AF1" w:rsidRPr="00075AF1">
        <w:rPr>
          <w:sz w:val="24"/>
          <w:lang w:val="el-GR"/>
        </w:rPr>
        <w:tab/>
      </w:r>
      <w:r w:rsidRPr="00075AF1">
        <w:rPr>
          <w:sz w:val="24"/>
          <w:lang w:val="el-GR"/>
        </w:rPr>
        <w:t>ΕΕ L 142 της 30.4.2004, σ. 1.</w:t>
      </w:r>
    </w:p>
  </w:footnote>
  <w:footnote w:id="10">
    <w:p w:rsidR="00A93A34" w:rsidRPr="00075AF1" w:rsidRDefault="00A93A34" w:rsidP="00075AF1">
      <w:pPr>
        <w:pStyle w:val="FootnoteText"/>
        <w:ind w:left="567" w:hanging="567"/>
        <w:rPr>
          <w:sz w:val="24"/>
          <w:szCs w:val="24"/>
          <w:lang w:val="el-GR"/>
        </w:rPr>
      </w:pPr>
      <w:r w:rsidRPr="00075AF1">
        <w:rPr>
          <w:rStyle w:val="FootnoteReference"/>
          <w:sz w:val="24"/>
          <w:lang w:val="el-GR"/>
        </w:rPr>
        <w:footnoteRef/>
      </w:r>
      <w:r w:rsidR="00075AF1" w:rsidRPr="00075AF1">
        <w:rPr>
          <w:sz w:val="24"/>
          <w:lang w:val="el-GR"/>
        </w:rPr>
        <w:t xml:space="preserve"> </w:t>
      </w:r>
      <w:r w:rsidR="00075AF1" w:rsidRPr="00075AF1">
        <w:rPr>
          <w:sz w:val="24"/>
          <w:lang w:val="el-GR"/>
        </w:rPr>
        <w:tab/>
      </w:r>
      <w:r w:rsidRPr="00075AF1">
        <w:rPr>
          <w:sz w:val="24"/>
          <w:lang w:val="el-GR"/>
        </w:rPr>
        <w:t>ΕΕ L 122 της 10.5.2019, σ. 1.</w:t>
      </w:r>
    </w:p>
  </w:footnote>
  <w:footnote w:id="11">
    <w:p w:rsidR="00A93A34" w:rsidRPr="00075AF1" w:rsidRDefault="00A93A34" w:rsidP="00075AF1">
      <w:pPr>
        <w:pStyle w:val="FootnoteText"/>
        <w:ind w:left="567" w:hanging="567"/>
        <w:rPr>
          <w:sz w:val="24"/>
          <w:lang w:val="el-GR"/>
        </w:rPr>
      </w:pPr>
      <w:r w:rsidRPr="00075AF1">
        <w:rPr>
          <w:rStyle w:val="FootnoteReference"/>
          <w:sz w:val="24"/>
          <w:lang w:val="el-GR"/>
        </w:rPr>
        <w:footnoteRef/>
      </w:r>
      <w:r w:rsidR="00075AF1" w:rsidRPr="00075AF1">
        <w:rPr>
          <w:sz w:val="24"/>
          <w:lang w:val="el-GR"/>
        </w:rPr>
        <w:t xml:space="preserve"> </w:t>
      </w:r>
      <w:r w:rsidR="00075AF1" w:rsidRPr="00075AF1">
        <w:rPr>
          <w:sz w:val="24"/>
          <w:lang w:val="el-GR"/>
        </w:rPr>
        <w:tab/>
      </w:r>
      <w:r w:rsidRPr="00075AF1">
        <w:rPr>
          <w:sz w:val="24"/>
          <w:lang w:val="el-GR"/>
        </w:rPr>
        <w:t>ΕΕ C 38 της 31.1.2023, σ. 24.</w:t>
      </w:r>
    </w:p>
  </w:footnote>
  <w:footnote w:id="12">
    <w:p w:rsidR="00A93A34" w:rsidRPr="00075AF1" w:rsidRDefault="00A93A34" w:rsidP="00075AF1">
      <w:pPr>
        <w:pStyle w:val="FootnoteText"/>
        <w:ind w:left="567" w:hanging="567"/>
        <w:rPr>
          <w:sz w:val="24"/>
          <w:lang w:val="el-GR"/>
        </w:rPr>
      </w:pPr>
      <w:r w:rsidRPr="00075AF1">
        <w:rPr>
          <w:rStyle w:val="FootnoteReference"/>
          <w:sz w:val="24"/>
          <w:lang w:val="el-GR"/>
        </w:rPr>
        <w:footnoteRef/>
      </w:r>
      <w:r w:rsidR="00075AF1" w:rsidRPr="00075AF1">
        <w:rPr>
          <w:sz w:val="24"/>
          <w:lang w:val="el-GR"/>
        </w:rPr>
        <w:t xml:space="preserve"> </w:t>
      </w:r>
      <w:r w:rsidR="00075AF1" w:rsidRPr="00075AF1">
        <w:rPr>
          <w:sz w:val="24"/>
          <w:lang w:val="el-GR"/>
        </w:rPr>
        <w:tab/>
      </w:r>
      <w:r w:rsidRPr="00075AF1">
        <w:rPr>
          <w:sz w:val="24"/>
          <w:lang w:val="el-GR"/>
        </w:rPr>
        <w:t xml:space="preserve">Κανονισμός (ΕΕ) 2022/2370 του Ευρωπαϊκού Κοινοβουλίου και του Συμβουλίου, της 23ης Νοεμβρίου 2022, σχετικά με την τροποποίηση του κανονισμού (ΕΚ) αριθ. </w:t>
      </w:r>
      <w:r w:rsidRPr="00075AF1">
        <w:rPr>
          <w:sz w:val="24"/>
          <w:lang w:val="el-GR"/>
        </w:rPr>
        <w:t xml:space="preserve">851/2004 για την ίδρυση του Ευρωπαϊκού Κέντρου Πρόληψης και Ελέγχου Νόσων </w:t>
      </w:r>
      <w:r w:rsidR="00D253F3">
        <w:rPr>
          <w:sz w:val="24"/>
          <w:lang w:val="el-GR"/>
        </w:rPr>
        <w:t>(</w:t>
      </w:r>
      <w:r w:rsidRPr="00075AF1">
        <w:rPr>
          <w:sz w:val="24"/>
          <w:lang w:val="el-GR"/>
        </w:rPr>
        <w:t>ΕΕ L 314 της 6.12.2022, σ. 1</w:t>
      </w:r>
      <w:r w:rsidR="00D253F3">
        <w:rPr>
          <w:sz w:val="24"/>
          <w:lang w:val="el-GR"/>
        </w:rPr>
        <w:t>)</w:t>
      </w:r>
      <w:r w:rsidRPr="00075AF1">
        <w:rPr>
          <w:sz w:val="24"/>
          <w:lang w:val="el-GR"/>
        </w:rPr>
        <w:t>.</w:t>
      </w:r>
    </w:p>
  </w:footnote>
  <w:footnote w:id="13">
    <w:p w:rsidR="00A93A34" w:rsidRPr="00075AF1" w:rsidRDefault="00A93A34" w:rsidP="00075AF1">
      <w:pPr>
        <w:pStyle w:val="FootnoteText"/>
        <w:ind w:left="567" w:hanging="567"/>
        <w:rPr>
          <w:sz w:val="24"/>
          <w:lang w:val="el-GR"/>
        </w:rPr>
      </w:pPr>
      <w:r w:rsidRPr="00075AF1">
        <w:rPr>
          <w:rStyle w:val="FootnoteReference"/>
          <w:sz w:val="24"/>
          <w:lang w:val="el-GR"/>
        </w:rPr>
        <w:footnoteRef/>
      </w:r>
      <w:r w:rsidR="00075AF1" w:rsidRPr="00075AF1">
        <w:rPr>
          <w:sz w:val="24"/>
          <w:lang w:val="el-GR"/>
        </w:rPr>
        <w:t xml:space="preserve"> </w:t>
      </w:r>
      <w:r w:rsidR="00075AF1" w:rsidRPr="00075AF1">
        <w:rPr>
          <w:sz w:val="24"/>
          <w:lang w:val="el-GR"/>
        </w:rPr>
        <w:tab/>
      </w:r>
      <w:r w:rsidRPr="00075AF1">
        <w:rPr>
          <w:sz w:val="24"/>
          <w:lang w:val="el-GR"/>
        </w:rPr>
        <w:t>Κείμενα που εγκρίθηκαν, P9_TA(2024)0</w:t>
      </w:r>
      <w:r w:rsidR="00254C0B">
        <w:rPr>
          <w:sz w:val="24"/>
          <w:lang w:val="el-GR"/>
        </w:rPr>
        <w:t>280</w:t>
      </w:r>
      <w:r w:rsidRPr="00075AF1">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5AF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5AF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5AF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15304"/>
    <w:multiLevelType w:val="hybridMultilevel"/>
    <w:tmpl w:val="41609550"/>
    <w:lvl w:ilvl="0" w:tplc="12DAB85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D937CC"/>
    <w:multiLevelType w:val="hybridMultilevel"/>
    <w:tmpl w:val="C734C54A"/>
    <w:lvl w:ilvl="0" w:tplc="12DAB85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14D8514A"/>
    <w:multiLevelType w:val="hybridMultilevel"/>
    <w:tmpl w:val="FEC0B50E"/>
    <w:lvl w:ilvl="0" w:tplc="12DAB85E">
      <w:start w:val="1"/>
      <w:numFmt w:val="decimal"/>
      <w:lvlText w:val="%1."/>
      <w:lvlJc w:val="left"/>
      <w:pPr>
        <w:ind w:left="930" w:hanging="57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2"/>
  </w:num>
  <w:num w:numId="2">
    <w:abstractNumId w:val="4"/>
  </w:num>
  <w:num w:numId="3">
    <w:abstractNumId w:val="1"/>
  </w:num>
  <w:num w:numId="4">
    <w:abstractNumId w:val="0"/>
  </w:num>
  <w:num w:numId="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9/2024"/>
    <w:docVar w:name="dvlangue" w:val="EL"/>
    <w:docVar w:name="dvnumam" w:val="0"/>
    <w:docVar w:name="dvpe" w:val="753.515"/>
    <w:docVar w:name="dvrapporteur" w:val="Εισηγητής: "/>
    <w:docVar w:name="dvtitre" w:val="Απόφαση του Ευρωπαϊκού Κοινοβουλίου σχετικά με την απαλλαγή όσον αφορά την εκτέλεση του προϋπολογισμού του Ευρωπαϊκού Κέντρου Πρόληψης και Ελέγχου Νόσων για το οικονομικό έτος 2022(2023/2147(DEC))"/>
  </w:docVars>
  <w:rsids>
    <w:rsidRoot w:val="004232CC"/>
    <w:rsid w:val="00002272"/>
    <w:rsid w:val="00064002"/>
    <w:rsid w:val="000677B9"/>
    <w:rsid w:val="00075AF1"/>
    <w:rsid w:val="000831BA"/>
    <w:rsid w:val="000A42CC"/>
    <w:rsid w:val="000E7DD9"/>
    <w:rsid w:val="0010095E"/>
    <w:rsid w:val="00125B37"/>
    <w:rsid w:val="00187494"/>
    <w:rsid w:val="001F32AE"/>
    <w:rsid w:val="00254C0B"/>
    <w:rsid w:val="002767FF"/>
    <w:rsid w:val="002B18FE"/>
    <w:rsid w:val="002B5493"/>
    <w:rsid w:val="00343214"/>
    <w:rsid w:val="00361C00"/>
    <w:rsid w:val="00395FA1"/>
    <w:rsid w:val="003E15D4"/>
    <w:rsid w:val="00411CCE"/>
    <w:rsid w:val="0041666E"/>
    <w:rsid w:val="00421060"/>
    <w:rsid w:val="004232CC"/>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3A34"/>
    <w:rsid w:val="00AB441E"/>
    <w:rsid w:val="00AB6293"/>
    <w:rsid w:val="00AD7E89"/>
    <w:rsid w:val="00AE0928"/>
    <w:rsid w:val="00AF3B82"/>
    <w:rsid w:val="00B12E95"/>
    <w:rsid w:val="00B22876"/>
    <w:rsid w:val="00B558F0"/>
    <w:rsid w:val="00B72643"/>
    <w:rsid w:val="00BD48FE"/>
    <w:rsid w:val="00BD7BD8"/>
    <w:rsid w:val="00BE6ADC"/>
    <w:rsid w:val="00C05BFE"/>
    <w:rsid w:val="00C23CD4"/>
    <w:rsid w:val="00C61C0C"/>
    <w:rsid w:val="00C941CB"/>
    <w:rsid w:val="00CC2357"/>
    <w:rsid w:val="00CF071A"/>
    <w:rsid w:val="00D058B8"/>
    <w:rsid w:val="00D253F3"/>
    <w:rsid w:val="00D56C11"/>
    <w:rsid w:val="00D834A0"/>
    <w:rsid w:val="00D872DF"/>
    <w:rsid w:val="00D91E21"/>
    <w:rsid w:val="00DA7FCD"/>
    <w:rsid w:val="00DD1013"/>
    <w:rsid w:val="00E365E1"/>
    <w:rsid w:val="00E820A4"/>
    <w:rsid w:val="00EB006A"/>
    <w:rsid w:val="00EB4772"/>
    <w:rsid w:val="00ED169E"/>
    <w:rsid w:val="00ED2DCF"/>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D957E6"/>
  <w15:chartTrackingRefBased/>
  <w15:docId w15:val="{B53DB9B8-71FB-44F8-91D3-B02653E1E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93A3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93A34"/>
    <w:pPr>
      <w:spacing w:before="480" w:after="240"/>
    </w:pPr>
  </w:style>
  <w:style w:type="paragraph" w:customStyle="1" w:styleId="PageHeading">
    <w:name w:val="PageHeading"/>
    <w:basedOn w:val="Normal"/>
    <w:rsid w:val="00A93A34"/>
    <w:pPr>
      <w:keepNext/>
      <w:spacing w:after="480"/>
      <w:jc w:val="center"/>
    </w:pPr>
    <w:rPr>
      <w:rFonts w:ascii="Arial" w:hAnsi="Arial" w:cs="Arial"/>
      <w:b/>
    </w:rPr>
  </w:style>
  <w:style w:type="paragraph" w:customStyle="1" w:styleId="NormalBold">
    <w:name w:val="NormalBold"/>
    <w:basedOn w:val="Normal"/>
    <w:rsid w:val="00A93A34"/>
    <w:rPr>
      <w:b/>
    </w:rPr>
  </w:style>
  <w:style w:type="paragraph" w:customStyle="1" w:styleId="NormalHanging12a">
    <w:name w:val="NormalHanging12a"/>
    <w:basedOn w:val="Normal"/>
    <w:link w:val="NormalHanging12aChar"/>
    <w:rsid w:val="00A93A34"/>
    <w:pPr>
      <w:spacing w:after="240"/>
      <w:ind w:left="567" w:hanging="567"/>
    </w:pPr>
  </w:style>
  <w:style w:type="paragraph" w:customStyle="1" w:styleId="NormalCenter12a">
    <w:name w:val="NormalCenter12a"/>
    <w:basedOn w:val="Normal"/>
    <w:rsid w:val="00A93A34"/>
    <w:pPr>
      <w:spacing w:after="240"/>
      <w:jc w:val="center"/>
    </w:pPr>
  </w:style>
  <w:style w:type="paragraph" w:styleId="Header">
    <w:name w:val="header"/>
    <w:basedOn w:val="Normal"/>
    <w:link w:val="HeaderChar"/>
    <w:rsid w:val="00A93A34"/>
    <w:pPr>
      <w:tabs>
        <w:tab w:val="center" w:pos="4513"/>
        <w:tab w:val="right" w:pos="9026"/>
      </w:tabs>
    </w:pPr>
  </w:style>
  <w:style w:type="character" w:customStyle="1" w:styleId="HeaderChar">
    <w:name w:val="Header Char"/>
    <w:basedOn w:val="DefaultParagraphFont"/>
    <w:link w:val="Header"/>
    <w:rsid w:val="00A93A34"/>
    <w:rPr>
      <w:sz w:val="24"/>
      <w:lang w:val="el-GR"/>
    </w:rPr>
  </w:style>
  <w:style w:type="paragraph" w:customStyle="1" w:styleId="EPFooter">
    <w:name w:val="EPFooter"/>
    <w:basedOn w:val="Normal"/>
    <w:rsid w:val="00A93A34"/>
    <w:pPr>
      <w:tabs>
        <w:tab w:val="center" w:pos="4535"/>
        <w:tab w:val="right" w:pos="9071"/>
      </w:tabs>
      <w:spacing w:before="240" w:after="240"/>
    </w:pPr>
    <w:rPr>
      <w:color w:val="010000"/>
      <w:sz w:val="22"/>
    </w:rPr>
  </w:style>
  <w:style w:type="paragraph" w:styleId="ListParagraph">
    <w:name w:val="List Paragraph"/>
    <w:basedOn w:val="Normal"/>
    <w:uiPriority w:val="34"/>
    <w:qFormat/>
    <w:rsid w:val="00A93A34"/>
    <w:pPr>
      <w:widowControl/>
      <w:ind w:left="720"/>
      <w:contextualSpacing/>
      <w:jc w:val="both"/>
    </w:pPr>
    <w:rPr>
      <w:rFonts w:eastAsiaTheme="minorHAnsi"/>
      <w:szCs w:val="24"/>
      <w:lang w:eastAsia="en-US"/>
    </w:rPr>
  </w:style>
  <w:style w:type="character" w:customStyle="1" w:styleId="NormalHanging12aChar">
    <w:name w:val="NormalHanging12a Char"/>
    <w:link w:val="NormalHanging12a"/>
    <w:locked/>
    <w:rsid w:val="00A93A34"/>
    <w:rPr>
      <w:sz w:val="24"/>
      <w:lang w:val="el-GR"/>
    </w:rPr>
  </w:style>
  <w:style w:type="paragraph" w:styleId="Footer">
    <w:name w:val="footer"/>
    <w:basedOn w:val="Normal"/>
    <w:link w:val="FooterChar"/>
    <w:rsid w:val="00ED2DCF"/>
    <w:pPr>
      <w:tabs>
        <w:tab w:val="center" w:pos="4513"/>
        <w:tab w:val="right" w:pos="9026"/>
      </w:tabs>
    </w:pPr>
  </w:style>
  <w:style w:type="character" w:customStyle="1" w:styleId="FooterChar">
    <w:name w:val="Footer Char"/>
    <w:basedOn w:val="DefaultParagraphFont"/>
    <w:link w:val="Footer"/>
    <w:rsid w:val="00ED2DCF"/>
    <w:rPr>
      <w:sz w:val="24"/>
      <w:lang w:val="el-GR"/>
    </w:rPr>
  </w:style>
  <w:style w:type="paragraph" w:styleId="BalloonText">
    <w:name w:val="Balloon Text"/>
    <w:basedOn w:val="Normal"/>
    <w:link w:val="BalloonTextChar"/>
    <w:rsid w:val="00B72643"/>
    <w:rPr>
      <w:rFonts w:ascii="Segoe UI" w:hAnsi="Segoe UI" w:cs="Segoe UI"/>
      <w:sz w:val="18"/>
      <w:szCs w:val="18"/>
    </w:rPr>
  </w:style>
  <w:style w:type="character" w:customStyle="1" w:styleId="BalloonTextChar">
    <w:name w:val="Balloon Text Char"/>
    <w:basedOn w:val="DefaultParagraphFont"/>
    <w:link w:val="BalloonText"/>
    <w:rsid w:val="00B72643"/>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D60384-3108-46B7-819A-5AEB948AA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3491</Words>
  <Characters>20813</Characters>
  <Application>Microsoft Office Word</Application>
  <DocSecurity>0</DocSecurity>
  <Lines>416</Lines>
  <Paragraphs>113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2024-04-11T11:16:00Z</dcterms:created>
  <dcterms:modified xsi:type="dcterms:W3CDTF">2024-04-11T11:16:00Z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A9-0109/2024</vt:lpwstr>
  </property>
  <property fmtid="{D5CDD505-2E9C-101B-9397-08002B2CF9AE}" pid="4" name="&lt;Type&gt;">
    <vt:lpwstr>RR</vt:lpwstr>
  </property>
</Properties>
</file>