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7472" w:rsidTr="0010095E">
        <w:trPr>
          <w:trHeight w:hRule="exact" w:val="1418"/>
        </w:trPr>
        <w:tc>
          <w:tcPr>
            <w:tcW w:w="6804" w:type="dxa"/>
            <w:shd w:val="clear" w:color="auto" w:fill="auto"/>
            <w:vAlign w:val="center"/>
          </w:tcPr>
          <w:p w:rsidR="00751A4A" w:rsidRPr="00F47472" w:rsidRDefault="001F7579" w:rsidP="0010095E">
            <w:pPr>
              <w:pStyle w:val="EPName"/>
            </w:pPr>
            <w:bookmarkStart w:id="0" w:name="_GoBack"/>
            <w:bookmarkEnd w:id="0"/>
            <w:r w:rsidRPr="00F47472">
              <w:t>Parlamentul European</w:t>
            </w:r>
          </w:p>
          <w:p w:rsidR="00751A4A" w:rsidRPr="00F47472" w:rsidRDefault="00817416" w:rsidP="00756632">
            <w:pPr>
              <w:pStyle w:val="EPTerm"/>
              <w:rPr>
                <w:rStyle w:val="HideTWBExt"/>
                <w:noProof w:val="0"/>
                <w:vanish w:val="0"/>
                <w:color w:val="auto"/>
              </w:rPr>
            </w:pPr>
            <w:r w:rsidRPr="00F47472">
              <w:t>2019-2024</w:t>
            </w:r>
          </w:p>
        </w:tc>
        <w:tc>
          <w:tcPr>
            <w:tcW w:w="2268" w:type="dxa"/>
            <w:shd w:val="clear" w:color="auto" w:fill="auto"/>
          </w:tcPr>
          <w:p w:rsidR="00751A4A" w:rsidRPr="00F47472" w:rsidRDefault="00187494" w:rsidP="0010095E">
            <w:pPr>
              <w:pStyle w:val="EPLogo"/>
            </w:pPr>
            <w:r w:rsidRPr="00F474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47472" w:rsidRDefault="00D058B8" w:rsidP="004C5D52">
      <w:pPr>
        <w:pStyle w:val="LineTop"/>
      </w:pPr>
    </w:p>
    <w:p w:rsidR="00680577" w:rsidRPr="00F47472" w:rsidRDefault="001F7579" w:rsidP="00680577">
      <w:pPr>
        <w:pStyle w:val="EPBodyTA1"/>
      </w:pPr>
      <w:r w:rsidRPr="00F47472">
        <w:t>TEXTE ADOPTATE</w:t>
      </w:r>
    </w:p>
    <w:p w:rsidR="00D058B8" w:rsidRPr="00F47472" w:rsidRDefault="00D058B8" w:rsidP="00D058B8">
      <w:pPr>
        <w:pStyle w:val="LineBottom"/>
      </w:pPr>
    </w:p>
    <w:p w:rsidR="001F7579" w:rsidRPr="00F47472" w:rsidRDefault="001F7579" w:rsidP="001F7579">
      <w:pPr>
        <w:pStyle w:val="ATHeading1"/>
      </w:pPr>
      <w:bookmarkStart w:id="1" w:name="TANumber"/>
      <w:r w:rsidRPr="00F47472">
        <w:t>P9_TA(2024)</w:t>
      </w:r>
      <w:bookmarkEnd w:id="1"/>
      <w:r w:rsidR="008D54E4" w:rsidRPr="00F47472">
        <w:t>0</w:t>
      </w:r>
      <w:r w:rsidR="008D54E4" w:rsidRPr="00F47472">
        <w:t>251</w:t>
      </w:r>
    </w:p>
    <w:p w:rsidR="001F7579" w:rsidRPr="00F47472" w:rsidRDefault="001F7579" w:rsidP="001F7579">
      <w:pPr>
        <w:pStyle w:val="ATHeading2"/>
      </w:pPr>
      <w:bookmarkStart w:id="2" w:name="title"/>
      <w:r w:rsidRPr="00F47472">
        <w:t>Descărcarea de gestiune 2022: Centrul European de Prevenire și Control al Bolilor</w:t>
      </w:r>
      <w:bookmarkEnd w:id="2"/>
    </w:p>
    <w:p w:rsidR="001F7579" w:rsidRPr="00F47472" w:rsidRDefault="001F7579" w:rsidP="001F7579">
      <w:pPr>
        <w:rPr>
          <w:i/>
          <w:vanish/>
        </w:rPr>
      </w:pPr>
      <w:r w:rsidRPr="00F47472">
        <w:rPr>
          <w:i/>
        </w:rPr>
        <w:fldChar w:fldCharType="begin"/>
      </w:r>
      <w:r w:rsidRPr="00F47472">
        <w:rPr>
          <w:i/>
        </w:rPr>
        <w:instrText xml:space="preserve"> TC"(</w:instrText>
      </w:r>
      <w:bookmarkStart w:id="3" w:name="DocNumber"/>
      <w:r w:rsidRPr="00F47472">
        <w:rPr>
          <w:i/>
        </w:rPr>
        <w:instrText>A9-0109/2024</w:instrText>
      </w:r>
      <w:bookmarkEnd w:id="3"/>
      <w:r w:rsidRPr="00F47472">
        <w:rPr>
          <w:i/>
        </w:rPr>
        <w:instrText xml:space="preserve"> - Raportor: Petri </w:instrText>
      </w:r>
      <w:proofErr w:type="spellStart"/>
      <w:r w:rsidRPr="00F47472">
        <w:rPr>
          <w:i/>
        </w:rPr>
        <w:instrText>Sarvamaa</w:instrText>
      </w:r>
      <w:proofErr w:type="spellEnd"/>
      <w:r w:rsidRPr="00F47472">
        <w:rPr>
          <w:i/>
        </w:rPr>
        <w:instrText xml:space="preserve">)"\l3 \n&gt; \* MERGEFORMAT </w:instrText>
      </w:r>
      <w:r w:rsidRPr="00F47472">
        <w:rPr>
          <w:i/>
        </w:rPr>
        <w:fldChar w:fldCharType="end"/>
      </w:r>
    </w:p>
    <w:p w:rsidR="001F7579" w:rsidRPr="00F47472" w:rsidRDefault="001F7579" w:rsidP="001F7579">
      <w:pPr>
        <w:rPr>
          <w:vanish/>
        </w:rPr>
      </w:pPr>
      <w:bookmarkStart w:id="4" w:name="Commission"/>
      <w:r w:rsidRPr="00F47472">
        <w:rPr>
          <w:vanish/>
        </w:rPr>
        <w:t>Comisia pentru control bugetar</w:t>
      </w:r>
      <w:bookmarkEnd w:id="4"/>
    </w:p>
    <w:p w:rsidR="001F7579" w:rsidRPr="00F47472" w:rsidRDefault="001F7579" w:rsidP="001F7579">
      <w:pPr>
        <w:rPr>
          <w:vanish/>
        </w:rPr>
      </w:pPr>
      <w:bookmarkStart w:id="5" w:name="PE"/>
      <w:r w:rsidRPr="00F47472">
        <w:rPr>
          <w:vanish/>
        </w:rPr>
        <w:t>PE753.515</w:t>
      </w:r>
      <w:bookmarkEnd w:id="5"/>
    </w:p>
    <w:p w:rsidR="001F7579" w:rsidRPr="00F47472" w:rsidRDefault="001F7579" w:rsidP="004C237F">
      <w:pPr>
        <w:pStyle w:val="ATHeading3"/>
      </w:pPr>
      <w:bookmarkStart w:id="6" w:name="Sujet"/>
      <w:r w:rsidRPr="00F47472">
        <w:t>1. Decizia Parlamentului European din 11 aprilie 2024 privind descărcarea de gestiune pentru execuția bugetului Centrului European de Prevenire și Control al Bolilor aferent exercițiului financiar 2022</w:t>
      </w:r>
      <w:bookmarkEnd w:id="6"/>
      <w:r w:rsidRPr="00F47472">
        <w:t xml:space="preserve"> </w:t>
      </w:r>
      <w:bookmarkStart w:id="7" w:name="References"/>
      <w:r w:rsidRPr="00F47472">
        <w:t>(2023/2147(DEC))</w:t>
      </w:r>
      <w:bookmarkEnd w:id="7"/>
    </w:p>
    <w:p w:rsidR="002B61F3" w:rsidRPr="00F47472" w:rsidRDefault="002B61F3" w:rsidP="002B61F3">
      <w:pPr>
        <w:pStyle w:val="EPComma"/>
      </w:pPr>
      <w:bookmarkStart w:id="8" w:name="TextBodyBegin"/>
      <w:bookmarkEnd w:id="8"/>
      <w:r w:rsidRPr="00F47472">
        <w:rPr>
          <w:i/>
          <w:iCs/>
        </w:rPr>
        <w:t>Parlamentul European</w:t>
      </w:r>
      <w:r w:rsidRPr="00F47472">
        <w:t>,</w:t>
      </w:r>
    </w:p>
    <w:p w:rsidR="002B61F3" w:rsidRPr="00F47472" w:rsidRDefault="002B61F3" w:rsidP="002B61F3">
      <w:pPr>
        <w:pStyle w:val="NormalHanging12a"/>
      </w:pPr>
      <w:r w:rsidRPr="00F47472">
        <w:t>–</w:t>
      </w:r>
      <w:r w:rsidRPr="00F47472">
        <w:tab/>
        <w:t>având în vedere conturile anuale finale ale Centrului European de Prevenire și Control al Bolilor pentru exercițiul financiar 2022,</w:t>
      </w:r>
    </w:p>
    <w:p w:rsidR="002B61F3" w:rsidRPr="00F47472" w:rsidRDefault="002B61F3" w:rsidP="002B61F3">
      <w:pPr>
        <w:pStyle w:val="NormalHanging12a"/>
      </w:pPr>
      <w:r w:rsidRPr="00F47472">
        <w:t>–</w:t>
      </w:r>
      <w:r w:rsidRPr="00F47472">
        <w:tab/>
        <w:t>având în vedere Raportul anual al Curții de Conturi privind agențiile UE pentru exercițiul financiar 2022, însoțit de răspunsurile agențiilor</w:t>
      </w:r>
      <w:r w:rsidRPr="00F47472">
        <w:rPr>
          <w:rStyle w:val="FootnoteReference"/>
        </w:rPr>
        <w:footnoteReference w:id="1"/>
      </w:r>
      <w:r w:rsidRPr="00F47472">
        <w:t>,</w:t>
      </w:r>
    </w:p>
    <w:p w:rsidR="002B61F3" w:rsidRPr="00F47472" w:rsidRDefault="002B61F3" w:rsidP="002B61F3">
      <w:pPr>
        <w:pStyle w:val="NormalHanging12a"/>
      </w:pPr>
      <w:r w:rsidRPr="00F47472">
        <w:t>–</w:t>
      </w:r>
      <w:r w:rsidRPr="00F47472">
        <w:tab/>
        <w:t>având în vedere declarația de asigurare</w:t>
      </w:r>
      <w:r w:rsidRPr="00F47472">
        <w:rPr>
          <w:rStyle w:val="FootnoteReference"/>
        </w:rPr>
        <w:footnoteReference w:id="2"/>
      </w:r>
      <w:r w:rsidRPr="00F47472">
        <w:t xml:space="preserve"> privind fiabilitatea conturilor și legalitatea și regularitatea operațiunilor subiacente întocmită de Curtea de Conturi pentru exercițiul 2022 în temeiul articolului 287 din Tratatul privind funcționarea Uniunii Europene,</w:t>
      </w:r>
    </w:p>
    <w:p w:rsidR="002B61F3" w:rsidRPr="00F47472" w:rsidRDefault="002B61F3" w:rsidP="002B61F3">
      <w:pPr>
        <w:pStyle w:val="NormalHanging12a"/>
      </w:pPr>
      <w:r w:rsidRPr="00F47472">
        <w:t>–</w:t>
      </w:r>
      <w:r w:rsidRPr="00F47472">
        <w:tab/>
        <w:t>având în vedere Recomandarea Consiliului din 22 februarie 2024 privind descărcarea de gestiune a Centrului în ceea ce privește execuția bugetară pentru exercițiul financiar 2022 (</w:t>
      </w:r>
      <w:r w:rsidR="00FB5279" w:rsidRPr="00F47472">
        <w:t>06180/2024 – C9</w:t>
      </w:r>
      <w:r w:rsidR="00FB5279" w:rsidRPr="00F47472">
        <w:noBreakHyphen/>
        <w:t>0085/2024</w:t>
      </w:r>
      <w:r w:rsidRPr="00F47472">
        <w:t>),</w:t>
      </w:r>
    </w:p>
    <w:p w:rsidR="002B61F3" w:rsidRPr="00F47472" w:rsidRDefault="002B61F3" w:rsidP="002B61F3">
      <w:pPr>
        <w:pStyle w:val="NormalHanging12a"/>
      </w:pPr>
      <w:r w:rsidRPr="00F47472">
        <w:t>–</w:t>
      </w:r>
      <w:r w:rsidRPr="00F47472">
        <w:tab/>
        <w:t>având în vedere articolul 319 din Tratatul privind funcționarea Uniunii Europene,</w:t>
      </w:r>
    </w:p>
    <w:p w:rsidR="002B61F3" w:rsidRPr="00F47472" w:rsidRDefault="002B61F3" w:rsidP="002B61F3">
      <w:pPr>
        <w:pStyle w:val="NormalHanging12a"/>
      </w:pPr>
      <w:r w:rsidRPr="00F47472">
        <w:t>–</w:t>
      </w:r>
      <w:r w:rsidRPr="00F47472">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F47472">
        <w:rPr>
          <w:rStyle w:val="FootnoteReference"/>
        </w:rPr>
        <w:footnoteReference w:id="3"/>
      </w:r>
      <w:r w:rsidRPr="00F47472">
        <w:t>, în special articolul 70,</w:t>
      </w:r>
    </w:p>
    <w:p w:rsidR="002B61F3" w:rsidRPr="00F47472" w:rsidRDefault="002B61F3" w:rsidP="002B61F3">
      <w:pPr>
        <w:pStyle w:val="NormalHanging12a"/>
      </w:pPr>
      <w:r w:rsidRPr="00F47472">
        <w:t>–</w:t>
      </w:r>
      <w:r w:rsidRPr="00F47472">
        <w:tab/>
        <w:t xml:space="preserve">având în vedere Regulamentul (CE) nr. 851/2004 al Parlamentului European și al </w:t>
      </w:r>
      <w:r w:rsidRPr="00F47472">
        <w:lastRenderedPageBreak/>
        <w:t>Consiliului din 21 aprilie 2004 de creare a unui Centru European de prevenire și control al bolilor</w:t>
      </w:r>
      <w:r w:rsidRPr="00F47472">
        <w:rPr>
          <w:rStyle w:val="FootnoteReference"/>
        </w:rPr>
        <w:footnoteReference w:id="4"/>
      </w:r>
      <w:r w:rsidRPr="00F47472">
        <w:t>, în special articolul 23,</w:t>
      </w:r>
    </w:p>
    <w:p w:rsidR="002B61F3" w:rsidRPr="00F47472" w:rsidRDefault="002B61F3" w:rsidP="002B61F3">
      <w:pPr>
        <w:pStyle w:val="NormalHanging12a"/>
      </w:pPr>
      <w:r w:rsidRPr="00F47472">
        <w:t>–</w:t>
      </w:r>
      <w:r w:rsidRPr="00F47472">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F47472">
        <w:rPr>
          <w:rStyle w:val="FootnoteReference"/>
        </w:rPr>
        <w:footnoteReference w:id="5"/>
      </w:r>
      <w:r w:rsidRPr="00F47472">
        <w:t>, în special articolul 105,</w:t>
      </w:r>
    </w:p>
    <w:p w:rsidR="002B61F3" w:rsidRPr="00F47472" w:rsidRDefault="002B61F3" w:rsidP="002B61F3">
      <w:pPr>
        <w:pStyle w:val="NormalHanging12a"/>
      </w:pPr>
      <w:r w:rsidRPr="00F47472">
        <w:t>–</w:t>
      </w:r>
      <w:r w:rsidRPr="00F47472">
        <w:tab/>
        <w:t>având în vedere articolul 100 și anexa V la Regulamentul său de procedură,</w:t>
      </w:r>
    </w:p>
    <w:p w:rsidR="002B61F3" w:rsidRPr="00F47472" w:rsidRDefault="002B61F3" w:rsidP="002B61F3">
      <w:pPr>
        <w:pStyle w:val="NormalHanging12a"/>
      </w:pPr>
      <w:r w:rsidRPr="00F47472">
        <w:t>–</w:t>
      </w:r>
      <w:r w:rsidRPr="00F47472">
        <w:tab/>
        <w:t>având în vedere avizul Comisiei pentru mediu, sănătate publică și siguranță alimentară,</w:t>
      </w:r>
    </w:p>
    <w:p w:rsidR="002B61F3" w:rsidRPr="00F47472" w:rsidRDefault="002B61F3" w:rsidP="002B61F3">
      <w:pPr>
        <w:pStyle w:val="NormalHanging12a"/>
      </w:pPr>
      <w:r w:rsidRPr="00F47472">
        <w:t>–</w:t>
      </w:r>
      <w:r w:rsidRPr="00F47472">
        <w:tab/>
        <w:t>având în vedere raportul Comisiei pentru control bugetar (A9-0109/2024),</w:t>
      </w:r>
    </w:p>
    <w:p w:rsidR="002B61F3" w:rsidRPr="00F47472" w:rsidRDefault="002B61F3" w:rsidP="002B61F3">
      <w:pPr>
        <w:pStyle w:val="NormalHanging12a"/>
      </w:pPr>
      <w:r w:rsidRPr="00F47472">
        <w:t>1.</w:t>
      </w:r>
      <w:r w:rsidRPr="00F47472">
        <w:tab/>
        <w:t>acordă directoarei Centrului European de Prevenire și Control al Bolilor descărcarea de gestiune pentru execuția bugetului Centrului aferent exercițiului financiar 2022;</w:t>
      </w:r>
    </w:p>
    <w:p w:rsidR="002B61F3" w:rsidRPr="00F47472" w:rsidRDefault="002B61F3" w:rsidP="002B61F3">
      <w:pPr>
        <w:pStyle w:val="NormalHanging12a"/>
      </w:pPr>
      <w:r w:rsidRPr="00F47472">
        <w:t>2.</w:t>
      </w:r>
      <w:r w:rsidRPr="00F47472">
        <w:tab/>
        <w:t>își prezintă observațiile în cadrul rezoluției de mai jos;</w:t>
      </w:r>
    </w:p>
    <w:p w:rsidR="002B61F3" w:rsidRPr="00F47472" w:rsidRDefault="002B61F3" w:rsidP="002B61F3">
      <w:pPr>
        <w:pStyle w:val="NormalHanging12a"/>
      </w:pPr>
      <w:r w:rsidRPr="00F47472">
        <w:t>3.</w:t>
      </w:r>
      <w:r w:rsidRPr="00F47472">
        <w:tab/>
        <w:t xml:space="preserve">încredințează Președintei sarcina de a transmite prezenta decizie împreună cu rezoluția Parlamentului, ca parte integrantă a acesteia, directoarei Centrului European de Prevenire și Control al Bolilor, Consiliului, Comisiei și Curții de Conturi și de a asigura publicarea acestora în </w:t>
      </w:r>
      <w:r w:rsidRPr="00F47472">
        <w:rPr>
          <w:i/>
        </w:rPr>
        <w:t>Jurnalul Oficial al Uniunii Europene</w:t>
      </w:r>
      <w:r w:rsidRPr="00F47472">
        <w:t xml:space="preserve"> (seria L).</w:t>
      </w:r>
    </w:p>
    <w:p w:rsidR="002B61F3" w:rsidRPr="00F47472" w:rsidRDefault="002B61F3" w:rsidP="002B61F3"/>
    <w:p w:rsidR="002B61F3" w:rsidRPr="00F47472" w:rsidRDefault="002B61F3" w:rsidP="002B61F3">
      <w:pPr>
        <w:widowControl/>
        <w:rPr>
          <w:rFonts w:ascii="Arial" w:hAnsi="Arial" w:cs="Arial"/>
          <w:b/>
        </w:rPr>
        <w:sectPr w:rsidR="002B61F3" w:rsidRPr="00F47472" w:rsidSect="00BE4A4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2B61F3" w:rsidRPr="00F47472" w:rsidRDefault="003C2539" w:rsidP="004C237F">
      <w:pPr>
        <w:pStyle w:val="ATHeading3"/>
      </w:pPr>
      <w:r w:rsidRPr="00F47472">
        <w:lastRenderedPageBreak/>
        <w:t xml:space="preserve">2. Decizia Parlamentului European din 11 aprilie 2024 </w:t>
      </w:r>
      <w:r w:rsidR="002B61F3" w:rsidRPr="00F47472">
        <w:t>privind închiderea conturilor Centrului European de Prevenire și Control al Bolilor pentru exercițiul financiar</w:t>
      </w:r>
      <w:r w:rsidR="004431D9" w:rsidRPr="00F47472">
        <w:t> </w:t>
      </w:r>
      <w:r w:rsidR="002B61F3" w:rsidRPr="00F47472">
        <w:t>2022</w:t>
      </w:r>
      <w:r w:rsidR="004431D9" w:rsidRPr="00F47472">
        <w:t xml:space="preserve"> </w:t>
      </w:r>
      <w:r w:rsidR="002B61F3" w:rsidRPr="00F47472">
        <w:t>(2023/2147(DEC))</w:t>
      </w:r>
    </w:p>
    <w:p w:rsidR="002B61F3" w:rsidRPr="00F47472" w:rsidRDefault="002B61F3" w:rsidP="002B61F3">
      <w:pPr>
        <w:pStyle w:val="EPComma"/>
      </w:pPr>
      <w:r w:rsidRPr="00F47472">
        <w:rPr>
          <w:i/>
          <w:iCs/>
        </w:rPr>
        <w:t>Parlamentul European</w:t>
      </w:r>
      <w:r w:rsidRPr="00F47472">
        <w:t>,</w:t>
      </w:r>
    </w:p>
    <w:p w:rsidR="002B61F3" w:rsidRPr="00F47472" w:rsidRDefault="002B61F3" w:rsidP="002B61F3">
      <w:pPr>
        <w:pStyle w:val="NormalHanging12a"/>
      </w:pPr>
      <w:r w:rsidRPr="00F47472">
        <w:t>–</w:t>
      </w:r>
      <w:r w:rsidRPr="00F47472">
        <w:tab/>
        <w:t>având în vedere conturile anuale finale ale Centrului European de Prevenire și Control al Bolilor pentru exercițiul financiar 2022,</w:t>
      </w:r>
    </w:p>
    <w:p w:rsidR="002B61F3" w:rsidRPr="00F47472" w:rsidRDefault="002B61F3" w:rsidP="002B61F3">
      <w:pPr>
        <w:pStyle w:val="NormalHanging12a"/>
      </w:pPr>
      <w:r w:rsidRPr="00F47472">
        <w:t>–</w:t>
      </w:r>
      <w:r w:rsidRPr="00F47472">
        <w:tab/>
        <w:t>având în vedere Raportul anual al Curții de Conturi privind agențiile UE pentru exercițiul financiar 2022, însoțit de răspunsurile agențiilor</w:t>
      </w:r>
      <w:r w:rsidRPr="00F47472">
        <w:rPr>
          <w:rStyle w:val="FootnoteReference"/>
        </w:rPr>
        <w:footnoteReference w:id="6"/>
      </w:r>
      <w:r w:rsidRPr="00F47472">
        <w:t>,</w:t>
      </w:r>
    </w:p>
    <w:p w:rsidR="002B61F3" w:rsidRPr="00F47472" w:rsidRDefault="002B61F3" w:rsidP="002B61F3">
      <w:pPr>
        <w:pStyle w:val="NormalHanging12a"/>
      </w:pPr>
      <w:r w:rsidRPr="00F47472">
        <w:t>–</w:t>
      </w:r>
      <w:r w:rsidRPr="00F47472">
        <w:tab/>
        <w:t>având în vedere declarația de asigurare</w:t>
      </w:r>
      <w:r w:rsidRPr="00F47472">
        <w:rPr>
          <w:rStyle w:val="FootnoteReference"/>
        </w:rPr>
        <w:footnoteReference w:id="7"/>
      </w:r>
      <w:r w:rsidRPr="00F47472">
        <w:t xml:space="preserve"> privind fiabilitatea conturilor și legalitatea și regularitatea operațiunilor subiacente întocmită de Curtea de Conturi pentru exercițiul 2022 în temeiul articolului 287 din Tratatul privind funcționarea Uniunii Europene,</w:t>
      </w:r>
    </w:p>
    <w:p w:rsidR="002B61F3" w:rsidRPr="00F47472" w:rsidRDefault="002B61F3" w:rsidP="002B61F3">
      <w:pPr>
        <w:pStyle w:val="NormalHanging12a"/>
      </w:pPr>
      <w:r w:rsidRPr="00F47472">
        <w:t>–</w:t>
      </w:r>
      <w:r w:rsidRPr="00F47472">
        <w:tab/>
        <w:t>având în vedere Recomandarea Consiliului din 22 februarie 2024 privind descărcarea de gestiune a Centrului în ceea ce privește execuția bugetară pentru exercițiul financiar 2022 (</w:t>
      </w:r>
      <w:r w:rsidR="00FB5279" w:rsidRPr="00F47472">
        <w:t>06180/2024 – C9</w:t>
      </w:r>
      <w:r w:rsidR="00FB5279" w:rsidRPr="00F47472">
        <w:noBreakHyphen/>
        <w:t>0085/2024</w:t>
      </w:r>
      <w:r w:rsidRPr="00F47472">
        <w:t>),</w:t>
      </w:r>
    </w:p>
    <w:p w:rsidR="002B61F3" w:rsidRPr="00F47472" w:rsidRDefault="002B61F3" w:rsidP="002B61F3">
      <w:pPr>
        <w:pStyle w:val="NormalHanging12a"/>
      </w:pPr>
      <w:r w:rsidRPr="00F47472">
        <w:t>–</w:t>
      </w:r>
      <w:r w:rsidRPr="00F47472">
        <w:tab/>
        <w:t>având în vedere articolul 319 din Tratatul privind funcționarea Uniunii Europene,</w:t>
      </w:r>
    </w:p>
    <w:p w:rsidR="002B61F3" w:rsidRPr="00F47472" w:rsidRDefault="002B61F3" w:rsidP="002B61F3">
      <w:pPr>
        <w:pStyle w:val="NormalHanging12a"/>
      </w:pPr>
      <w:r w:rsidRPr="00F47472">
        <w:t>–</w:t>
      </w:r>
      <w:r w:rsidRPr="00F47472">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F47472">
        <w:rPr>
          <w:rStyle w:val="FootnoteReference"/>
        </w:rPr>
        <w:footnoteReference w:id="8"/>
      </w:r>
      <w:r w:rsidRPr="00F47472">
        <w:t>, în special articolul 70,</w:t>
      </w:r>
    </w:p>
    <w:p w:rsidR="002B61F3" w:rsidRPr="00F47472" w:rsidRDefault="002B61F3" w:rsidP="002B61F3">
      <w:pPr>
        <w:pStyle w:val="NormalHanging12a"/>
      </w:pPr>
      <w:r w:rsidRPr="00F47472">
        <w:t>–</w:t>
      </w:r>
      <w:r w:rsidRPr="00F47472">
        <w:tab/>
        <w:t>având în vedere Regulamentul (CE) nr. 851/2004 al Parlamentului European și al Consiliului din 21 aprilie 2004 de creare a unui Centru European de prevenire și control al bolilor</w:t>
      </w:r>
      <w:r w:rsidRPr="00F47472">
        <w:rPr>
          <w:rStyle w:val="FootnoteReference"/>
        </w:rPr>
        <w:footnoteReference w:id="9"/>
      </w:r>
      <w:r w:rsidRPr="00F47472">
        <w:t>, în special articolul 23,</w:t>
      </w:r>
    </w:p>
    <w:p w:rsidR="002B61F3" w:rsidRPr="00F47472" w:rsidRDefault="002B61F3" w:rsidP="002B61F3">
      <w:pPr>
        <w:pStyle w:val="NormalHanging12a"/>
      </w:pPr>
      <w:r w:rsidRPr="00F47472">
        <w:t>–</w:t>
      </w:r>
      <w:r w:rsidRPr="00F47472">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F47472">
        <w:rPr>
          <w:rStyle w:val="FootnoteReference"/>
        </w:rPr>
        <w:footnoteReference w:id="10"/>
      </w:r>
      <w:r w:rsidRPr="00F47472">
        <w:t>, în special articolul 105,</w:t>
      </w:r>
    </w:p>
    <w:p w:rsidR="002B61F3" w:rsidRPr="00F47472" w:rsidRDefault="002B61F3" w:rsidP="002B61F3">
      <w:pPr>
        <w:pStyle w:val="NormalHanging12a"/>
      </w:pPr>
      <w:r w:rsidRPr="00F47472">
        <w:t>–</w:t>
      </w:r>
      <w:r w:rsidRPr="00F47472">
        <w:tab/>
        <w:t>având în vedere articolul 100 și anexa V la Regulamentul său de procedură,</w:t>
      </w:r>
    </w:p>
    <w:p w:rsidR="002B61F3" w:rsidRPr="00F47472" w:rsidRDefault="002B61F3" w:rsidP="002B61F3">
      <w:pPr>
        <w:pStyle w:val="NormalHanging12a"/>
      </w:pPr>
      <w:r w:rsidRPr="00F47472">
        <w:t>–</w:t>
      </w:r>
      <w:r w:rsidRPr="00F47472">
        <w:tab/>
        <w:t>având în vedere avizul Comisiei pentru mediu, sănătate publică și siguranță alimentară,</w:t>
      </w:r>
    </w:p>
    <w:p w:rsidR="002B61F3" w:rsidRPr="00F47472" w:rsidRDefault="002B61F3" w:rsidP="002B61F3">
      <w:pPr>
        <w:pStyle w:val="NormalHanging12a"/>
      </w:pPr>
      <w:r w:rsidRPr="00F47472">
        <w:t>–</w:t>
      </w:r>
      <w:r w:rsidRPr="00F47472">
        <w:tab/>
        <w:t>având în vedere raportul Comisiei pentru control bugetar (A9-0109/2024),</w:t>
      </w:r>
    </w:p>
    <w:p w:rsidR="002B61F3" w:rsidRPr="00F47472" w:rsidRDefault="002B61F3" w:rsidP="002B61F3">
      <w:pPr>
        <w:pStyle w:val="NormalHanging12a"/>
      </w:pPr>
      <w:r w:rsidRPr="00F47472">
        <w:t>1.</w:t>
      </w:r>
      <w:r w:rsidRPr="00F47472">
        <w:tab/>
        <w:t xml:space="preserve">aprobă închiderea conturilor Centrului European de Prevenire și Control al Bolilor </w:t>
      </w:r>
      <w:r w:rsidRPr="00F47472">
        <w:lastRenderedPageBreak/>
        <w:t>pentru exercițiul financiar 2022;</w:t>
      </w:r>
    </w:p>
    <w:p w:rsidR="002B61F3" w:rsidRPr="00F47472" w:rsidRDefault="002B61F3" w:rsidP="002B61F3">
      <w:pPr>
        <w:pStyle w:val="NormalHanging12a"/>
      </w:pPr>
      <w:r w:rsidRPr="00F47472">
        <w:t>2.</w:t>
      </w:r>
      <w:r w:rsidRPr="00F47472">
        <w:tab/>
        <w:t xml:space="preserve">încredințează Președintei sarcina de a transmite prezenta decizie directoarei Centrului European de Prevenire și Control al Bolilor, Consiliului, Comisiei și Curții de Conturi și de a asigura publicarea acesteia în </w:t>
      </w:r>
      <w:r w:rsidRPr="00F47472">
        <w:rPr>
          <w:i/>
        </w:rPr>
        <w:t>Jurnalul Oficial al Uniunii Europene</w:t>
      </w:r>
      <w:r w:rsidRPr="00F47472">
        <w:t xml:space="preserve"> (seria L).</w:t>
      </w:r>
    </w:p>
    <w:p w:rsidR="002B61F3" w:rsidRPr="00F47472" w:rsidRDefault="002B61F3" w:rsidP="002B61F3"/>
    <w:p w:rsidR="002B61F3" w:rsidRPr="00F47472" w:rsidRDefault="002B61F3" w:rsidP="002B61F3">
      <w:pPr>
        <w:widowControl/>
        <w:rPr>
          <w:rFonts w:ascii="Arial" w:hAnsi="Arial" w:cs="Arial"/>
          <w:b/>
        </w:rPr>
        <w:sectPr w:rsidR="002B61F3" w:rsidRPr="00F47472" w:rsidSect="00BE4A46">
          <w:footnotePr>
            <w:numRestart w:val="eachPage"/>
          </w:footnotePr>
          <w:endnotePr>
            <w:numFmt w:val="decimal"/>
          </w:endnotePr>
          <w:pgSz w:w="11906" w:h="16838"/>
          <w:pgMar w:top="1134" w:right="1418" w:bottom="1418" w:left="1418" w:header="567" w:footer="567" w:gutter="0"/>
          <w:cols w:space="720"/>
          <w:docGrid w:linePitch="326"/>
        </w:sectPr>
      </w:pPr>
    </w:p>
    <w:p w:rsidR="002B61F3" w:rsidRPr="00F47472" w:rsidRDefault="003C2539" w:rsidP="004C237F">
      <w:pPr>
        <w:pStyle w:val="ATHeading3"/>
      </w:pPr>
      <w:r w:rsidRPr="00F47472">
        <w:lastRenderedPageBreak/>
        <w:t xml:space="preserve">3. Rezoluția Parlamentului European din 11 aprilie 2024 </w:t>
      </w:r>
      <w:r w:rsidR="002B61F3" w:rsidRPr="00F47472">
        <w:t>conținând observațiile care fac parte integrantă din decizia privind descărcarea de gestiune pentru execuția bugetului Centrului European de Prevenire și Control al Bolilor aferent exercițiului financiar</w:t>
      </w:r>
      <w:r w:rsidR="004431D9" w:rsidRPr="00F47472">
        <w:t> </w:t>
      </w:r>
      <w:r w:rsidR="002B61F3" w:rsidRPr="00F47472">
        <w:t>2022</w:t>
      </w:r>
      <w:r w:rsidR="004431D9" w:rsidRPr="00F47472">
        <w:t xml:space="preserve"> </w:t>
      </w:r>
      <w:r w:rsidR="002B61F3" w:rsidRPr="00F47472">
        <w:t>(2023/2147(DEC))</w:t>
      </w:r>
    </w:p>
    <w:p w:rsidR="002B61F3" w:rsidRPr="00F47472" w:rsidRDefault="002B61F3" w:rsidP="002B61F3">
      <w:pPr>
        <w:pStyle w:val="EPComma"/>
      </w:pPr>
      <w:r w:rsidRPr="00F47472">
        <w:rPr>
          <w:i/>
          <w:iCs/>
        </w:rPr>
        <w:t>Parlamentul European</w:t>
      </w:r>
      <w:r w:rsidRPr="00F47472">
        <w:t>,</w:t>
      </w:r>
    </w:p>
    <w:p w:rsidR="002B61F3" w:rsidRPr="00F47472" w:rsidRDefault="002B61F3" w:rsidP="002B61F3">
      <w:pPr>
        <w:pStyle w:val="NormalHanging12a"/>
      </w:pPr>
      <w:r w:rsidRPr="00F47472">
        <w:t>–</w:t>
      </w:r>
      <w:r w:rsidRPr="00F47472">
        <w:tab/>
        <w:t>având în vedere decizia sa privind descărcarea de gestiune pentru execuția bugetului Centrului European de Prevenire și Control al Bolilor aferent exercițiului financiar 2022,</w:t>
      </w:r>
    </w:p>
    <w:p w:rsidR="002B61F3" w:rsidRPr="00F47472" w:rsidRDefault="002B61F3" w:rsidP="002B61F3">
      <w:pPr>
        <w:pStyle w:val="NormalHanging12a"/>
      </w:pPr>
      <w:r w:rsidRPr="00F47472">
        <w:t>–</w:t>
      </w:r>
      <w:r w:rsidRPr="00F47472">
        <w:tab/>
        <w:t>având în vedere articolul 100 și anexa V la Regulamentul său de procedură,</w:t>
      </w:r>
    </w:p>
    <w:p w:rsidR="002B61F3" w:rsidRPr="00F47472" w:rsidRDefault="002B61F3" w:rsidP="002B61F3">
      <w:pPr>
        <w:pStyle w:val="NormalHanging12a"/>
      </w:pPr>
      <w:r w:rsidRPr="00F47472">
        <w:t>–</w:t>
      </w:r>
      <w:r w:rsidRPr="00F47472">
        <w:tab/>
        <w:t>având în vedere avizul Comisiei pentru mediu, sănătate publică și siguranță alimentară,</w:t>
      </w:r>
    </w:p>
    <w:p w:rsidR="002B61F3" w:rsidRPr="00F47472" w:rsidRDefault="002B61F3" w:rsidP="002B61F3">
      <w:pPr>
        <w:pStyle w:val="NormalHanging12a"/>
      </w:pPr>
      <w:r w:rsidRPr="00F47472">
        <w:t>–</w:t>
      </w:r>
      <w:r w:rsidRPr="00F47472">
        <w:tab/>
        <w:t>având în vedere raportul Comisiei pentru control bugetar (A9-0109/2024),</w:t>
      </w:r>
    </w:p>
    <w:p w:rsidR="002B61F3" w:rsidRPr="00F47472" w:rsidRDefault="002B61F3" w:rsidP="002B61F3">
      <w:pPr>
        <w:widowControl/>
        <w:spacing w:after="240"/>
        <w:ind w:left="567" w:hanging="567"/>
        <w:rPr>
          <w:szCs w:val="24"/>
        </w:rPr>
      </w:pPr>
      <w:r w:rsidRPr="00F47472">
        <w:t>A.</w:t>
      </w:r>
      <w:r w:rsidRPr="00F47472">
        <w:tab/>
        <w:t>întrucât, potrivit situației veniturilor și cheltuielilor sale</w:t>
      </w:r>
      <w:r w:rsidRPr="00F47472">
        <w:rPr>
          <w:rStyle w:val="FootnoteReference"/>
          <w:szCs w:val="24"/>
        </w:rPr>
        <w:footnoteReference w:id="11"/>
      </w:r>
      <w:r w:rsidRPr="00F47472">
        <w:t>, bugetul definitiv al Centrului European de Prevenire și Control al Bolilor („Centrul”) aferent exercițiului financiar 2022 a fost de 99 872 000 EUR, ceea ce reprezintă o scădere cu 40,59 % față de bugetul pe 2021, ca urmare a schimbărilor legate de granturile Autorității pentru Pregătire și Răspuns în caz de Urgență Sanitară (HERA); întrucât bugetul Centrului provine în principal de la bugetul Uniunii;</w:t>
      </w:r>
    </w:p>
    <w:p w:rsidR="002B61F3" w:rsidRPr="00F47472" w:rsidRDefault="002B61F3" w:rsidP="002B61F3">
      <w:pPr>
        <w:widowControl/>
        <w:spacing w:after="240"/>
        <w:ind w:left="567" w:hanging="567"/>
        <w:rPr>
          <w:szCs w:val="24"/>
        </w:rPr>
      </w:pPr>
      <w:r w:rsidRPr="00F47472">
        <w:t>B.</w:t>
      </w:r>
      <w:r w:rsidRPr="00F47472">
        <w:tab/>
        <w:t>întrucât Curtea de Conturi („Curtea”), în raportul său privind conturile anuale ale Centrului pentru exercițiul financiar 2022 („raportul Curții”), a declarat că a obținut asigurări rezonabile cu privire la fiabilitatea conturilor anuale ale Centrului și cu privire la legalitatea și regularitatea operațiunilor subiacente legate de venituri, întrucât Curtea a auditat patru acorduri de grant în valoare totală de 7,9 milioane EUR și a detectat că trei dintre acestea includeau TVA în valoare de 0,6 milioane EUR (8,1 %) printre costurile eligibile; întrucât beneficiarii desfășurau activități în calitate de autorități publice, ceea ce înseamnă că TVA-</w:t>
      </w:r>
      <w:proofErr w:type="spellStart"/>
      <w:r w:rsidRPr="00F47472">
        <w:t>ul</w:t>
      </w:r>
      <w:proofErr w:type="spellEnd"/>
      <w:r w:rsidRPr="00F47472">
        <w:t xml:space="preserve"> nu constituie un cost eligibil în temeiul articolului 186 alineatul (4) al doilea paragraf litera (c) din Regulamentul financiar; întrucât valoarea totală estimată a cheltuielilor neconforme pe baza ratei și a valorii TVA constatate în eșantionul descris mai sus reprezintă 2,8 % din totalul creditelor de plată disponibile în 2022, ceea ce depășește pragul de semnificație stabilit pentru audit și, prin urmare, a condus la o opinie cu rezerve privind legalitatea și regularitatea plăților subiacente conturilor Centrului; întrucât, cu excepția chestiunii explicate mai sus, Curtea a concluzionat că veniturile și plățile subiacente conturilor Centrului aferente exercițiului financiar care s-a încheiat la 31 decembrie 2022 sunt legale și regulate sub toate aspectele semnificative;</w:t>
      </w:r>
    </w:p>
    <w:p w:rsidR="002B61F3" w:rsidRPr="00F47472" w:rsidRDefault="002B61F3" w:rsidP="002B61F3">
      <w:pPr>
        <w:widowControl/>
        <w:spacing w:after="240"/>
        <w:ind w:left="567" w:hanging="567"/>
        <w:rPr>
          <w:szCs w:val="24"/>
        </w:rPr>
      </w:pPr>
      <w:r w:rsidRPr="00F47472">
        <w:t>C.</w:t>
      </w:r>
      <w:r w:rsidRPr="00F47472">
        <w:tab/>
        <w:t>întrucât, în ceea ce privește sectorul achizițiilor publice ale Centrului, nu au fost raportate probleme care să necesite acțiuni corective pentru 2022 și nici nu există acțiuni corective în curs sau restante în urma auditurilor și evaluărilor din exercițiile anterioare,</w:t>
      </w:r>
    </w:p>
    <w:p w:rsidR="002B61F3" w:rsidRPr="00F47472" w:rsidRDefault="002B61F3" w:rsidP="002B61F3">
      <w:pPr>
        <w:pStyle w:val="ListParagraph"/>
        <w:spacing w:after="240"/>
        <w:ind w:left="567" w:hanging="567"/>
        <w:contextualSpacing w:val="0"/>
        <w:jc w:val="left"/>
        <w:rPr>
          <w:rFonts w:eastAsia="Times New Roman"/>
          <w:b/>
          <w:i/>
        </w:rPr>
      </w:pPr>
      <w:r w:rsidRPr="00F47472">
        <w:rPr>
          <w:b/>
          <w:i/>
        </w:rPr>
        <w:lastRenderedPageBreak/>
        <w:t>Gestiunea bugetară și financiară</w:t>
      </w:r>
    </w:p>
    <w:p w:rsidR="002B61F3" w:rsidRPr="00F47472" w:rsidRDefault="002B61F3" w:rsidP="002B61F3">
      <w:pPr>
        <w:pStyle w:val="ListParagraph"/>
        <w:spacing w:after="240"/>
        <w:ind w:left="567" w:hanging="567"/>
        <w:contextualSpacing w:val="0"/>
        <w:jc w:val="left"/>
      </w:pPr>
      <w:r w:rsidRPr="00F47472">
        <w:t>1.</w:t>
      </w:r>
      <w:r w:rsidRPr="00F47472">
        <w:tab/>
        <w:t>constată cu satisfacție că eforturile de monitorizare a bugetului în cursul exercițiului financiar 2022 au avut ca rezultat o rată de execuție bugetară a creditelor de angajament din anul curent de 98,86 %, ceea ce reprezintă o creștere de 0,49 % față de 2021; constată că rata de execuție a creditelor de plată în exercițiul actual a fost de 73,61 %, ceea ce reprezintă o creștere de 9,53 % față de exercițiul precedent;</w:t>
      </w:r>
    </w:p>
    <w:p w:rsidR="002B61F3" w:rsidRPr="00F47472" w:rsidRDefault="002B61F3" w:rsidP="002B61F3">
      <w:pPr>
        <w:pStyle w:val="NormalHanging12a"/>
      </w:pPr>
      <w:r w:rsidRPr="00F47472">
        <w:t>2.</w:t>
      </w:r>
      <w:r w:rsidRPr="00F47472">
        <w:tab/>
        <w:t>invită Comisia să acorde Centrului resursele necesare pentru a îndeplini obiectivele strategiei 2021-2027 și pentru a pune în aplicare mandatul revizuit al Centrului în conformitate cu Regulamentul (UE) 2022/2370</w:t>
      </w:r>
      <w:r w:rsidRPr="00F47472">
        <w:rPr>
          <w:rStyle w:val="FootnoteReference"/>
        </w:rPr>
        <w:footnoteReference w:id="12"/>
      </w:r>
      <w:r w:rsidRPr="00F47472">
        <w:t>;</w:t>
      </w:r>
    </w:p>
    <w:p w:rsidR="002B61F3" w:rsidRPr="00F47472" w:rsidRDefault="002B61F3" w:rsidP="002B61F3">
      <w:pPr>
        <w:widowControl/>
        <w:spacing w:after="240"/>
        <w:ind w:left="567" w:hanging="567"/>
        <w:rPr>
          <w:i/>
          <w:szCs w:val="24"/>
        </w:rPr>
      </w:pPr>
      <w:r w:rsidRPr="00F47472">
        <w:rPr>
          <w:b/>
          <w:i/>
        </w:rPr>
        <w:t>Performanță</w:t>
      </w:r>
    </w:p>
    <w:p w:rsidR="002B61F3" w:rsidRPr="00F47472" w:rsidRDefault="002B61F3" w:rsidP="002B61F3">
      <w:pPr>
        <w:pStyle w:val="NormalHanging12a"/>
      </w:pPr>
      <w:r w:rsidRPr="00F47472">
        <w:t>3.</w:t>
      </w:r>
      <w:r w:rsidRPr="00F47472">
        <w:tab/>
        <w:t>reamintește că misiunea Centrului este de a identifica, evalua și comunica amenințările actuale și emergente la adresa sănătății umane reprezentate de bolile infecțioase și acționează în următoarele șase domenii, și anume supravegherea, pregătirea și răspunsul la epidemii, consilierea științifică, supravegherea microbiologiei, formarea în domeniul sănătății publice și comunicarea;</w:t>
      </w:r>
    </w:p>
    <w:p w:rsidR="002B61F3" w:rsidRPr="00F47472" w:rsidRDefault="002B61F3" w:rsidP="002B61F3">
      <w:pPr>
        <w:pStyle w:val="NormalHanging12a"/>
      </w:pPr>
      <w:r w:rsidRPr="00F47472">
        <w:t>4.</w:t>
      </w:r>
      <w:r w:rsidRPr="00F47472">
        <w:tab/>
        <w:t>ia act de faptul că Centrul a reușit să obțină 89 % din rezultatele planificate în documentul său unic de programare pentru perioada 2022-2024; constată că 8 % din rezultatele planificate au fost amânate, în timp ce 3 % au fost amânate sau anulate până la sfârșitul anului; ia act de faptul că majoritatea rezultatelor care au fost amânate sau întârziate au depins de adoptarea și publicarea mandatului revizuit al Centrului, care a avut loc la sfârșitul anului 2022; invită Centrul să analizeze rezultatele amânate și să informeze autoritatea care acordă descărcarea de gestiune cu privire la planul său de a le realiza;</w:t>
      </w:r>
    </w:p>
    <w:p w:rsidR="002B61F3" w:rsidRPr="00F47472" w:rsidRDefault="002B61F3" w:rsidP="002B61F3">
      <w:pPr>
        <w:pStyle w:val="NormalHanging12a"/>
      </w:pPr>
      <w:r w:rsidRPr="00F47472">
        <w:t>5.</w:t>
      </w:r>
      <w:r w:rsidRPr="00F47472">
        <w:tab/>
        <w:t>constată că, pe parcursul anului 2022, pentru al treilea an consecutiv, Centrul și-a menținut planul privind urgența de sănătate publică (PHE) ca răspuns la continuarea pandemiei de COVID-19; ia act de faptul că, în iunie, nivelul PHE a scăzut treptat de la nivelul 2 (faza acută) la nivelul 1 (faza de întreținere); consideră că Centrul a acționat rapid și eficient pe întreaga perioadă a pandemiei; consideră că Centrul ar putea juca un rol mai important în elaborarea agendei europene de răspuns la situații de criză în viitor;</w:t>
      </w:r>
    </w:p>
    <w:p w:rsidR="002B61F3" w:rsidRPr="00F47472" w:rsidRDefault="002B61F3" w:rsidP="002B61F3">
      <w:pPr>
        <w:widowControl/>
        <w:spacing w:after="240"/>
        <w:ind w:left="567" w:hanging="567"/>
        <w:rPr>
          <w:szCs w:val="24"/>
        </w:rPr>
      </w:pPr>
      <w:r w:rsidRPr="00F47472">
        <w:t>6.</w:t>
      </w:r>
      <w:r w:rsidRPr="00F47472">
        <w:tab/>
        <w:t>ia act de faptul că, în urma agresiunii Rusiei în Ucraina și a afluxului de refugiați care fug din țară, Centrul a colaborat cu autoritățile din cele cinci țări din jurul Ucrainei, oferind activități de răspuns tehnic și operațional care intră în sfera sa de competență, pe baza nevoilor identificate; constată că, în a doua jumătate a anului, accentul s-a mutat de la răspunsul operațional la acțiuni de răspuns strategic și pe termen mediu și lung, iar experții Centrului au fost trimiși în Polonia și România pentru a sprijini autoritățile naționale și Organizația Mondială a Sănătății, care ajutau populațiile strămutate ucrainene;</w:t>
      </w:r>
    </w:p>
    <w:p w:rsidR="002B61F3" w:rsidRPr="00F47472" w:rsidRDefault="002B61F3" w:rsidP="002B61F3">
      <w:pPr>
        <w:widowControl/>
        <w:spacing w:after="240"/>
        <w:ind w:left="567" w:hanging="567"/>
        <w:rPr>
          <w:szCs w:val="24"/>
        </w:rPr>
      </w:pPr>
      <w:r w:rsidRPr="00F47472">
        <w:t>7.</w:t>
      </w:r>
      <w:r w:rsidRPr="00F47472">
        <w:tab/>
        <w:t xml:space="preserve">observă că, în primăvara și vara anului 2022, Centrul a sprijinit simultan trei PHE în curs, și anume COVID-19, variola maimuței și hepatita de origine necunoscută la copii; </w:t>
      </w:r>
      <w:r w:rsidRPr="00F47472">
        <w:lastRenderedPageBreak/>
        <w:t>constată cu satisfacție că această experiență a fost unică pentru Centru și a testat limitele capacității Centrului de a elabora evaluări ale riscurilor și orientări pentru amenințările multiple la adresa sănătății;</w:t>
      </w:r>
    </w:p>
    <w:p w:rsidR="002B61F3" w:rsidRPr="00F47472" w:rsidRDefault="002B61F3" w:rsidP="002B61F3">
      <w:pPr>
        <w:pStyle w:val="NormalHanging12a"/>
      </w:pPr>
      <w:r w:rsidRPr="00F47472">
        <w:t>8.</w:t>
      </w:r>
      <w:r w:rsidRPr="00F47472">
        <w:tab/>
        <w:t>salută modalitățile Centrului de punere în aplicare a mandatului său consolidat, care a intrat în vigoare în decembrie 2022, precum și programul de transformare ASPIRE (anticipare, sprijin, pregătire, informare, răspuns și capacitare) elaborat pentru a sprijini punerea sa în aplicare;</w:t>
      </w:r>
    </w:p>
    <w:p w:rsidR="002B61F3" w:rsidRPr="00F47472" w:rsidRDefault="002B61F3" w:rsidP="002B61F3">
      <w:pPr>
        <w:pStyle w:val="NormalHanging12a"/>
        <w:widowControl/>
        <w:rPr>
          <w:b/>
          <w:i/>
        </w:rPr>
      </w:pPr>
      <w:r w:rsidRPr="00F47472">
        <w:rPr>
          <w:b/>
          <w:i/>
        </w:rPr>
        <w:t>Eficiența și realizările</w:t>
      </w:r>
    </w:p>
    <w:p w:rsidR="002B61F3" w:rsidRPr="00F47472" w:rsidRDefault="002B61F3" w:rsidP="002B61F3">
      <w:pPr>
        <w:pStyle w:val="NormalHanging12a"/>
      </w:pPr>
      <w:r w:rsidRPr="00F47472">
        <w:t>9.</w:t>
      </w:r>
      <w:r w:rsidRPr="00F47472">
        <w:tab/>
        <w:t xml:space="preserve">reamintește că este important să se ridice gradul de digitalizare a Centrului în ceea ce privește funcționarea și gestionarea internă, dar și pentru a accelera digitalizarea procedurilor; subliniază că Centrul trebuie să continue să dea dovadă de inițiativă în această privință pentru a evita cu orice preț apariția unui decalaj digital între agenții; atrage totuși atenția asupra necesității de a lua toate măsurile de securitate necesare pentru a evita orice risc la adresa securității online a informațiilor prelucrate, insistă </w:t>
      </w:r>
      <w:r w:rsidR="00FB5279" w:rsidRPr="00F47472">
        <w:t>asupra necesității unor acțiuni mai ferme</w:t>
      </w:r>
      <w:r w:rsidRPr="00F47472">
        <w:t xml:space="preserve"> împotriva atacurilor cibernetice sau a încercărilor de infiltrare</w:t>
      </w:r>
      <w:r w:rsidR="00FB5279" w:rsidRPr="00F47472">
        <w:t>,</w:t>
      </w:r>
      <w:r w:rsidRPr="00F47472">
        <w:t xml:space="preserve"> în special </w:t>
      </w:r>
      <w:r w:rsidR="00FB5279" w:rsidRPr="00F47472">
        <w:t xml:space="preserve">a celor provenite </w:t>
      </w:r>
      <w:r w:rsidRPr="00F47472">
        <w:t>din Rusia sau China;</w:t>
      </w:r>
    </w:p>
    <w:p w:rsidR="002B61F3" w:rsidRPr="00F47472" w:rsidRDefault="002B61F3" w:rsidP="002B61F3">
      <w:pPr>
        <w:pStyle w:val="NormalHanging12a"/>
        <w:widowControl/>
      </w:pPr>
      <w:r w:rsidRPr="00F47472">
        <w:t>10.</w:t>
      </w:r>
      <w:r w:rsidRPr="00F47472">
        <w:tab/>
        <w:t>salută faptul că Centrul și-a continuat eforturile în direcția creșterii eficienței prin introducerea de noi metodologii, inclusiv automatizarea proceselor operaționale și de sprijin; ia act de faptul că, în cursul anului, patru noi procese administrative au fost automatizate prin fluxuri de lucru electronice și, de asemenea, a fost pusă în aplicare o nouă soluție eficientă din punctul de vedere al costurilor pentru platforma electronică de fluxuri de lucru pentru a înlocui K2; constată că o analiză globală a utilizării fluxurilor de lucru electronice arată deja că un număr semnificativ de utilizatori le-au adoptat și că au redus semnificativ timpul de prelucrare, din cauza eliminării etapelor inutile, asigurând în același timp conformitatea juridică;</w:t>
      </w:r>
    </w:p>
    <w:p w:rsidR="002B61F3" w:rsidRPr="00F47472" w:rsidRDefault="002B61F3" w:rsidP="002B61F3">
      <w:pPr>
        <w:widowControl/>
        <w:spacing w:after="240"/>
        <w:ind w:left="567" w:hanging="567"/>
        <w:rPr>
          <w:b/>
          <w:i/>
          <w:szCs w:val="24"/>
        </w:rPr>
      </w:pPr>
      <w:r w:rsidRPr="00F47472">
        <w:rPr>
          <w:b/>
          <w:i/>
        </w:rPr>
        <w:t>Politica de personal</w:t>
      </w:r>
    </w:p>
    <w:p w:rsidR="002B61F3" w:rsidRPr="00F47472" w:rsidRDefault="002B61F3" w:rsidP="002B61F3">
      <w:pPr>
        <w:widowControl/>
        <w:spacing w:after="240"/>
        <w:ind w:left="567" w:hanging="567"/>
        <w:rPr>
          <w:szCs w:val="24"/>
        </w:rPr>
      </w:pPr>
      <w:r w:rsidRPr="00F47472">
        <w:t>11.</w:t>
      </w:r>
      <w:r w:rsidRPr="00F47472">
        <w:tab/>
        <w:t>observă că la 31 decembrie 2022, organigrama era compusă din 215 agenți temporari autorizați din bugetul Uniunii (față de 208 posturi autorizate ca în 2021); constată că, pe lângă aceasta, în 2022 au lucrat în cadrul Centrului și 112 agenți contractuali și 5 experți naționali detașați;</w:t>
      </w:r>
    </w:p>
    <w:p w:rsidR="002B61F3" w:rsidRPr="00F47472" w:rsidRDefault="002B61F3" w:rsidP="002B61F3">
      <w:pPr>
        <w:pStyle w:val="NormalHanging12a"/>
      </w:pPr>
      <w:r w:rsidRPr="00F47472">
        <w:t>12.</w:t>
      </w:r>
      <w:r w:rsidRPr="00F47472">
        <w:tab/>
        <w:t>observă cu îngrijorare lipsa echilibrului între femei și bărbați în rândul conducerii de nivel superior și mediu a Centrului, patru din șase posturi (66,67 %) fiind ocupate de bărbați; ia act de distribuția de gen în rândul întregului personal al Centrului, 198 din 331 (60 %) fiind femei și 133 din 331 (40 %) bărbați; salută faptul că Centrul este în curs de adoptare a Cartei privind diversitatea și incluziunea și va fi instituită până în T4 2023; reamintește că este important să se asigure echilibrul de gen și invită Centrul să ia în considerare acest aspect în ceea ce privește viitoarele recrutări de personal și numiri în cadrul conducerii sale de nivel superior și mediu; solicită Comisiei și statelor membre să țină cont că este important să se garanteze echilibrul de gen atunci când sunt desemnați membri care vor fi numiți în consiliul de administrație al Observatorului;</w:t>
      </w:r>
    </w:p>
    <w:p w:rsidR="002B61F3" w:rsidRPr="00F47472" w:rsidRDefault="002B61F3" w:rsidP="002B61F3">
      <w:pPr>
        <w:pStyle w:val="NormalHanging12a"/>
      </w:pPr>
      <w:r w:rsidRPr="00F47472">
        <w:t>13.</w:t>
      </w:r>
      <w:r w:rsidRPr="00F47472">
        <w:tab/>
        <w:t>își exprimă îngrijorarea cu privire la echilibrul geografic în cadrul conducerii de nivel superior și mediu al Centrului; invită Centrul să informeze autoritatea care acordă descărcarea de gestiune cu privire la acest lucru;</w:t>
      </w:r>
    </w:p>
    <w:p w:rsidR="002B61F3" w:rsidRPr="00F47472" w:rsidRDefault="002B61F3" w:rsidP="002B61F3">
      <w:pPr>
        <w:pStyle w:val="NormalHanging12a"/>
      </w:pPr>
      <w:r w:rsidRPr="00F47472">
        <w:lastRenderedPageBreak/>
        <w:t>14.</w:t>
      </w:r>
      <w:r w:rsidRPr="00F47472">
        <w:tab/>
        <w:t>ia act de faptul că primul proiect al „Strategiei pentru oameni” a fost elaborat în 2022, urmărind să orienteze modernizarea și consolidarea serviciilor de gestionare a resurselor umane ale Centrului; constată, de asemenea, că proiectele strategice individuale, cum ar fi instrumentul de recrutare electronică și programul de integrare online au fost finalizate în 2022, în timp ce altele sunt în curs; invită Centrul să informeze autoritatea care acordă descărcarea de gestiune cu privire la eventualele evoluții în acest sens; ia act de faptul că Centrul și-a consolidat și mai mult sprijinul pentru învățarea și dezvoltarea personalului prin creșterea indemnizației pentru formarea individuală și facilitarea accesului personalului la platformele de e-</w:t>
      </w:r>
      <w:proofErr w:type="spellStart"/>
      <w:r w:rsidRPr="00F47472">
        <w:t>learning</w:t>
      </w:r>
      <w:proofErr w:type="spellEnd"/>
      <w:r w:rsidRPr="00F47472">
        <w:t xml:space="preserve"> (EU </w:t>
      </w:r>
      <w:proofErr w:type="spellStart"/>
      <w:r w:rsidRPr="00F47472">
        <w:t>Learn</w:t>
      </w:r>
      <w:proofErr w:type="spellEnd"/>
      <w:r w:rsidRPr="00F47472">
        <w:t xml:space="preserve">, </w:t>
      </w:r>
      <w:proofErr w:type="spellStart"/>
      <w:r w:rsidRPr="00F47472">
        <w:t>LinkedIn</w:t>
      </w:r>
      <w:proofErr w:type="spellEnd"/>
      <w:r w:rsidRPr="00F47472">
        <w:t xml:space="preserve"> </w:t>
      </w:r>
      <w:proofErr w:type="spellStart"/>
      <w:r w:rsidRPr="00F47472">
        <w:t>Learning</w:t>
      </w:r>
      <w:proofErr w:type="spellEnd"/>
      <w:r w:rsidRPr="00F47472">
        <w:t xml:space="preserve"> și Academia virtuală a Centrului);</w:t>
      </w:r>
    </w:p>
    <w:p w:rsidR="002B61F3" w:rsidRPr="00F47472" w:rsidRDefault="002B61F3" w:rsidP="002B61F3">
      <w:pPr>
        <w:pStyle w:val="NormalHanging12a"/>
      </w:pPr>
      <w:r w:rsidRPr="00F47472">
        <w:t>15.</w:t>
      </w:r>
      <w:r w:rsidRPr="00F47472">
        <w:tab/>
        <w:t>constată că Centrul are o politică de protecție a demnității persoanei și de prevenire a hărțuirii psihologice și sexuale și că Centrul face parte din grupul operativ de consilieri confidențiali existent la nivelul agențiilor; așteaptă cu interes să primească raportul și recomandările acestora; ia act de faptul că nu au fost raportate cazuri de hărțuire în 2022 și încurajează Centrul să dezvolte în continuare activitatea de prevenire a cazurilor și în viitor;</w:t>
      </w:r>
    </w:p>
    <w:p w:rsidR="002B61F3" w:rsidRPr="00F47472" w:rsidRDefault="002B61F3" w:rsidP="002B61F3">
      <w:pPr>
        <w:pStyle w:val="NormalHanging12a"/>
      </w:pPr>
      <w:r w:rsidRPr="00F47472">
        <w:t>16.</w:t>
      </w:r>
      <w:r w:rsidRPr="00F47472">
        <w:tab/>
        <w:t>constată că posturile suplimentare alocate Centrului în urma extinderii mandatului său au fost ocupate în 2022; subliniază că adăugarea unor noi sarcini și creșterea volumului său de muncă trebuie însoțite de creșteri proporționale adecvate ale personalului și resurselor Centrului și că un deficit de personal exercită o presiune importantă asupra continuității operațiunilor sale și amenință calitatea activității Centrului;</w:t>
      </w:r>
    </w:p>
    <w:p w:rsidR="002B61F3" w:rsidRPr="00F47472" w:rsidRDefault="002B61F3" w:rsidP="002B61F3">
      <w:pPr>
        <w:pStyle w:val="NormalHanging12a"/>
      </w:pPr>
      <w:r w:rsidRPr="00F47472">
        <w:t>17.</w:t>
      </w:r>
      <w:r w:rsidRPr="00F47472">
        <w:tab/>
        <w:t>ia act cu îngrijorare de suprapunerea mandatului dintre Centru și HERA și solicită reducerea duplicării eforturilor între cele două entități și împărțirea clară a sarcinilor;</w:t>
      </w:r>
    </w:p>
    <w:p w:rsidR="002B61F3" w:rsidRPr="00F47472" w:rsidRDefault="002B61F3" w:rsidP="002B61F3">
      <w:pPr>
        <w:widowControl/>
        <w:spacing w:after="240"/>
        <w:ind w:left="567" w:hanging="567"/>
        <w:rPr>
          <w:b/>
          <w:i/>
          <w:szCs w:val="24"/>
        </w:rPr>
      </w:pPr>
      <w:r w:rsidRPr="00F47472">
        <w:rPr>
          <w:b/>
          <w:i/>
        </w:rPr>
        <w:t>Prevenirea și gestionarea conflictelor de interese și transparența</w:t>
      </w:r>
    </w:p>
    <w:p w:rsidR="002B61F3" w:rsidRPr="00F47472" w:rsidRDefault="002B61F3" w:rsidP="002B61F3">
      <w:pPr>
        <w:widowControl/>
        <w:spacing w:after="240"/>
        <w:ind w:left="567" w:hanging="567"/>
        <w:rPr>
          <w:szCs w:val="24"/>
        </w:rPr>
      </w:pPr>
      <w:r w:rsidRPr="00F47472">
        <w:t>18.</w:t>
      </w:r>
      <w:r w:rsidRPr="00F47472">
        <w:tab/>
        <w:t>ia act de faptul că Centrul a continuat să aplice și să își consolideze politica de independență pentru persoanele care nu fac parte din personal și pentru membrii personalului; observă că, în 2022, la Centru a lipsit un procent mic de declarații de interese; constată, de asemenea, că toți experții externi consultați în cursul evaluării rapide a riscurilor și-au declarat interesele înainte de publicare; ia act de faptul că toți membrii Consiliului de administrație și ai Forumului consultativ care au participat la reuniuni și care au contribuit astfel la discuții au avut declarații de interese anuale valabile, iar directoarea și șefii de unitate și-au completat declarațiile anuale de interese, iar 99 % dintre experții externi care au participat la reuniunile Centrului, care au necesitat o verificare a conflictului de interese, au prezentat o declarație de interese anuală;</w:t>
      </w:r>
    </w:p>
    <w:p w:rsidR="002B61F3" w:rsidRPr="00F47472" w:rsidRDefault="002B61F3" w:rsidP="002B61F3">
      <w:pPr>
        <w:pStyle w:val="NormalHanging12a"/>
      </w:pPr>
      <w:r w:rsidRPr="00F47472">
        <w:t>19.</w:t>
      </w:r>
      <w:r w:rsidRPr="00F47472">
        <w:tab/>
        <w:t>invită Centrul să se asigure că toți membrii Consiliului de administrație, ai forumului consultativ și supleanții acestora au depus în mod corespunzător declarațiile anuale de interese obligatorii; invită Centrul să se asigure că în toate activitățile sale sunt implicați experți calificați și că se menține un nivel ridicat de conformitate cu normele privind conflictele de interese;</w:t>
      </w:r>
    </w:p>
    <w:p w:rsidR="002B61F3" w:rsidRPr="00F47472" w:rsidRDefault="002B61F3" w:rsidP="002B61F3">
      <w:pPr>
        <w:widowControl/>
        <w:spacing w:after="240"/>
        <w:ind w:left="567" w:hanging="567"/>
        <w:rPr>
          <w:szCs w:val="24"/>
        </w:rPr>
      </w:pPr>
      <w:r w:rsidRPr="00F47472">
        <w:t>20.</w:t>
      </w:r>
      <w:r w:rsidRPr="00F47472">
        <w:tab/>
        <w:t xml:space="preserve">ia act de faptul că politica de independență a Centrului pentru persoanele care nu fac parte din personal prevede procedura care trebuie urmată pentru a identifica și a evita potențialele conflicte de interese; observă că, pe scurt, acest lucru implică colectarea declarațiilor de interese în anumite circumstanțe, de exemplu, atunci când se va produce </w:t>
      </w:r>
      <w:r w:rsidRPr="00F47472">
        <w:lastRenderedPageBreak/>
        <w:t>un document științific, care sunt apoi evaluate de membrul personalului Centrului responsabil cu activitatea în cauză, cu sprijinul responsabilului cu conformitatea al Centrului; constată că în 2022 nu a fost semnalat niciun caz concret de conflict de interese;</w:t>
      </w:r>
    </w:p>
    <w:p w:rsidR="002B61F3" w:rsidRPr="00F47472" w:rsidRDefault="002B61F3" w:rsidP="002B61F3">
      <w:pPr>
        <w:widowControl/>
        <w:spacing w:after="240"/>
        <w:ind w:left="567" w:hanging="567"/>
        <w:rPr>
          <w:szCs w:val="24"/>
        </w:rPr>
      </w:pPr>
      <w:r w:rsidRPr="00F47472">
        <w:t>21.</w:t>
      </w:r>
      <w:r w:rsidRPr="00F47472">
        <w:tab/>
        <w:t>ia act de faptul că procedura internă privind reuniunile Centrului cu organizațiile comerciale active în domeniul mandatului său a fost elaborată în 2022 și a fost implementată în mod oficial în ianuarie 2023; constată, de asemenea, că Centrul nu a organizat însă astfel de reuniuni în 2022;</w:t>
      </w:r>
    </w:p>
    <w:p w:rsidR="002B61F3" w:rsidRPr="00F47472" w:rsidRDefault="002B61F3" w:rsidP="002B61F3">
      <w:pPr>
        <w:widowControl/>
        <w:spacing w:after="240"/>
        <w:ind w:left="567" w:hanging="567"/>
      </w:pPr>
      <w:r w:rsidRPr="00F47472">
        <w:t>22.</w:t>
      </w:r>
      <w:r w:rsidRPr="00F47472">
        <w:tab/>
        <w:t>ia act de vizibilitatea pe care Centrul a dobândit-o în timpul pandemiei; este de părere că este încă loc pentru o mai mare vizibilitate în mass-media, pe internet și platformele de comunicare socială pentru ca acesta să își facă activitatea cunoscută cetățenilor Uniunii;</w:t>
      </w:r>
    </w:p>
    <w:p w:rsidR="002B61F3" w:rsidRPr="00F47472" w:rsidRDefault="002B61F3" w:rsidP="002B61F3">
      <w:pPr>
        <w:pStyle w:val="NormalHanging12a"/>
      </w:pPr>
      <w:r w:rsidRPr="00F47472">
        <w:t>23.</w:t>
      </w:r>
      <w:r w:rsidRPr="00F47472">
        <w:tab/>
        <w:t>invită Centrul să se asigure că există o transparență deplină a publicării studiilor științifice și să își îmbunătățească capacitatea de comunicare externă către publicul larg, asigurându-se că toate informațiile esențiale, în special cele legate de urgențele de sănătate publică, sunt disponibile în toate limbile oficiale ale Uniunii și făcându-le ușor accesibile și ușor de înțeles pentru cetățenii Uniunii;</w:t>
      </w:r>
    </w:p>
    <w:p w:rsidR="002B61F3" w:rsidRPr="00F47472" w:rsidRDefault="002B61F3" w:rsidP="002B61F3">
      <w:pPr>
        <w:widowControl/>
        <w:spacing w:after="240"/>
        <w:ind w:left="567" w:hanging="567"/>
        <w:rPr>
          <w:b/>
          <w:i/>
          <w:szCs w:val="24"/>
        </w:rPr>
      </w:pPr>
      <w:r w:rsidRPr="00F47472">
        <w:rPr>
          <w:b/>
          <w:i/>
        </w:rPr>
        <w:t>Controalele interne</w:t>
      </w:r>
    </w:p>
    <w:p w:rsidR="002B61F3" w:rsidRPr="00F47472" w:rsidRDefault="002B61F3" w:rsidP="002B61F3">
      <w:pPr>
        <w:widowControl/>
        <w:spacing w:after="240"/>
        <w:ind w:left="567" w:hanging="567"/>
        <w:rPr>
          <w:szCs w:val="24"/>
        </w:rPr>
      </w:pPr>
      <w:r w:rsidRPr="00F47472">
        <w:t>24.</w:t>
      </w:r>
      <w:r w:rsidRPr="00F47472">
        <w:tab/>
        <w:t>evidențiază opinia cu rezerve a Curții privind legalitatea și regularitatea plăților ca urmare a includerii TVA drept cheltuieli eligibile în temeiul acordurilor de grant ai căror beneficiari se angajează în activități ca autorități publice, reprezentând 2,8 % din creditele de plată disponibile în 2022; reamintește că, atunci când gestionează granturi, Centrul ar trebui să asigure respectarea normelor aplicabile, în special în ceea ce privește rambursarea TVA-ului către beneficiarii care sunt autorități publice;</w:t>
      </w:r>
    </w:p>
    <w:p w:rsidR="002B61F3" w:rsidRPr="00F47472" w:rsidRDefault="002B61F3" w:rsidP="002B61F3">
      <w:pPr>
        <w:widowControl/>
        <w:spacing w:after="240"/>
        <w:ind w:left="567" w:hanging="567"/>
        <w:rPr>
          <w:szCs w:val="24"/>
        </w:rPr>
      </w:pPr>
      <w:r w:rsidRPr="00F47472">
        <w:t>25.</w:t>
      </w:r>
      <w:r w:rsidRPr="00F47472">
        <w:tab/>
        <w:t>constată că Centrul evaluează eficacitatea sistemului de control intern cel puțin o dată pe an, evaluând punerea în aplicare a cadrului de control intern, inclusiv punerea în aplicare a indicatorilor definiți, și evaluând principalele deficiențe identificate chiar de Centru sau raportate de alte entități, inclusiv de Serviciul de Audit Intern și de Curte; constată, de asemenea, că în 2022 au fost aduse o serie de îmbunătățiri cadrului de control intern, cum ar fi o strategie de control îmbunătățită, inclusiv noi indicatori, un catalog îmbunătățit al activelor informaționale și dezvoltarea unei noi politici de comunicare internă;</w:t>
      </w:r>
    </w:p>
    <w:p w:rsidR="002B61F3" w:rsidRPr="00F47472" w:rsidRDefault="002B61F3" w:rsidP="002B61F3">
      <w:pPr>
        <w:widowControl/>
        <w:spacing w:after="240"/>
        <w:ind w:left="567" w:hanging="567"/>
        <w:rPr>
          <w:b/>
          <w:i/>
          <w:szCs w:val="24"/>
        </w:rPr>
      </w:pPr>
      <w:r w:rsidRPr="00F47472">
        <w:rPr>
          <w:b/>
          <w:i/>
        </w:rPr>
        <w:t>Alte observații</w:t>
      </w:r>
    </w:p>
    <w:p w:rsidR="002B61F3" w:rsidRPr="00F47472" w:rsidRDefault="002B61F3" w:rsidP="002B61F3">
      <w:pPr>
        <w:widowControl/>
        <w:spacing w:after="240"/>
        <w:ind w:left="567" w:hanging="567"/>
        <w:rPr>
          <w:szCs w:val="24"/>
        </w:rPr>
      </w:pPr>
      <w:r w:rsidRPr="00F47472">
        <w:t>26.</w:t>
      </w:r>
      <w:r w:rsidRPr="00F47472">
        <w:tab/>
        <w:t>apreciază faptul că Centrul și-a propus să fie înregistrat în EMAS în 2023 și prevede un proiect de compensare a emisiilor de CO</w:t>
      </w:r>
      <w:r w:rsidRPr="00F47472">
        <w:rPr>
          <w:vertAlign w:val="subscript"/>
        </w:rPr>
        <w:t>2</w:t>
      </w:r>
      <w:r w:rsidRPr="00F47472">
        <w:t xml:space="preserve"> (începând din T1 2024) care include măsuri privind calcularea impactului emisiilor de CO</w:t>
      </w:r>
      <w:r w:rsidRPr="00F47472">
        <w:rPr>
          <w:vertAlign w:val="subscript"/>
        </w:rPr>
        <w:t>2</w:t>
      </w:r>
      <w:r w:rsidRPr="00F47472">
        <w:t xml:space="preserve"> și reducerea sa la minimum; constată că obiectivele specifice vor face parte din procesul de implementare a EMAS, începând din 2024;</w:t>
      </w:r>
    </w:p>
    <w:p w:rsidR="002B61F3" w:rsidRPr="00F47472" w:rsidRDefault="002B61F3" w:rsidP="002B61F3">
      <w:pPr>
        <w:pStyle w:val="NormalCenter12a"/>
        <w:widowControl/>
        <w:ind w:left="567" w:hanging="567"/>
        <w:jc w:val="left"/>
        <w:rPr>
          <w:bCs/>
          <w:szCs w:val="24"/>
        </w:rPr>
      </w:pPr>
      <w:r w:rsidRPr="00F47472">
        <w:t>27.</w:t>
      </w:r>
      <w:r w:rsidRPr="00F47472">
        <w:tab/>
        <w:t xml:space="preserve">salută faptul că, în 2022, Centrul s-a orientat mai mult către utilizarea instrumentelor electronice în procesul de achiziții publice; ia act de faptul că Centrul utilizează în prezent instrumentul Comisiei de gestionare a achizițiilor publice (PPMT) pentru înregistrarea și publicarea tuturor procedurilor de achiziții publice, inclusiv a publicațiilor ex Ante; ia act de faptul că sistemul PPMT este legat de </w:t>
      </w:r>
      <w:proofErr w:type="spellStart"/>
      <w:r w:rsidRPr="00F47472">
        <w:t>eTendering</w:t>
      </w:r>
      <w:proofErr w:type="spellEnd"/>
      <w:r w:rsidRPr="00F47472">
        <w:t xml:space="preserve">, unde </w:t>
      </w:r>
      <w:r w:rsidRPr="00F47472">
        <w:lastRenderedPageBreak/>
        <w:t>sunt tratate publicarea, precum și întrebările și răspunsurile în timpul publicării; remarcă, de asemenea, că Centrul utilizează și un flux intern de lucru electronic pentru achizițiile efectuate în temeiul contractelor-cadru și pentru revizuire înainte de lansare;</w:t>
      </w:r>
    </w:p>
    <w:p w:rsidR="002B61F3" w:rsidRPr="00F47472" w:rsidRDefault="002B61F3" w:rsidP="002B61F3">
      <w:pPr>
        <w:pStyle w:val="NormalHanging12a"/>
      </w:pPr>
      <w:r w:rsidRPr="00F47472">
        <w:t>28.</w:t>
      </w:r>
      <w:r w:rsidRPr="00F47472">
        <w:tab/>
        <w:t>salută faptul că, în general, satisfacția părților interesate cu privire la activitatea Centrului a ajuns la 86 % în 2022;</w:t>
      </w:r>
    </w:p>
    <w:p w:rsidR="002B61F3" w:rsidRPr="00F47472" w:rsidRDefault="002B61F3" w:rsidP="002B61F3">
      <w:pPr>
        <w:pStyle w:val="NormalCenter12a"/>
        <w:rPr>
          <w:szCs w:val="24"/>
        </w:rPr>
      </w:pPr>
      <w:r w:rsidRPr="00F47472">
        <w:t>°</w:t>
      </w:r>
    </w:p>
    <w:p w:rsidR="002B61F3" w:rsidRPr="00F47472" w:rsidRDefault="002B61F3" w:rsidP="002B61F3">
      <w:pPr>
        <w:pStyle w:val="NormalCenter12a"/>
        <w:rPr>
          <w:szCs w:val="24"/>
        </w:rPr>
      </w:pPr>
      <w:r w:rsidRPr="00F47472">
        <w:t>°</w:t>
      </w:r>
      <w:r w:rsidRPr="00F47472">
        <w:tab/>
        <w:t>°</w:t>
      </w:r>
    </w:p>
    <w:p w:rsidR="00E365E1" w:rsidRPr="00F47472" w:rsidRDefault="002B61F3" w:rsidP="00FB5279">
      <w:pPr>
        <w:pStyle w:val="NormalCenter12a"/>
        <w:widowControl/>
        <w:ind w:left="567" w:hanging="567"/>
        <w:jc w:val="left"/>
      </w:pPr>
      <w:r w:rsidRPr="00F47472">
        <w:t>29.</w:t>
      </w:r>
      <w:r w:rsidRPr="00F47472">
        <w:tab/>
        <w:t xml:space="preserve">face trimitere, pentru alte observații cu caracter orizontal care însoțesc decizia privind descărcarea de gestiune, la Rezoluția sa din </w:t>
      </w:r>
      <w:r w:rsidR="00FB5279" w:rsidRPr="00F47472">
        <w:t>11 aprilie 2024</w:t>
      </w:r>
      <w:r w:rsidRPr="00F47472">
        <w:rPr>
          <w:vertAlign w:val="superscript"/>
        </w:rPr>
        <w:footnoteReference w:id="13"/>
      </w:r>
      <w:r w:rsidRPr="00F47472">
        <w:t xml:space="preserve"> referitoare la performanțele, gestiunea financiară și controlul agențiilor.</w:t>
      </w:r>
    </w:p>
    <w:sectPr w:rsidR="00E365E1" w:rsidRPr="00F47472" w:rsidSect="00BE4A4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7579" w:rsidRPr="00BE4A46" w:rsidRDefault="001F7579">
      <w:r w:rsidRPr="00BE4A46">
        <w:separator/>
      </w:r>
    </w:p>
  </w:endnote>
  <w:endnote w:type="continuationSeparator" w:id="0">
    <w:p w:rsidR="001F7579" w:rsidRPr="00BE4A46" w:rsidRDefault="001F7579">
      <w:r w:rsidRPr="00BE4A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1F3" w:rsidRPr="00BE4A46" w:rsidRDefault="002B61F3" w:rsidP="002B47EC">
    <w:pPr>
      <w:pStyle w:val="EPFooter"/>
    </w:pPr>
    <w:r w:rsidRPr="00BE4A46">
      <w:t>PE</w:t>
    </w:r>
    <w:r w:rsidRPr="00BE4A46">
      <w:rPr>
        <w:rStyle w:val="HideTWBExt"/>
      </w:rPr>
      <w:t>&lt;</w:t>
    </w:r>
    <w:proofErr w:type="spellStart"/>
    <w:r w:rsidRPr="00BE4A46">
      <w:rPr>
        <w:rStyle w:val="HideTWBExt"/>
      </w:rPr>
      <w:t>NoPE</w:t>
    </w:r>
    <w:proofErr w:type="spellEnd"/>
    <w:r w:rsidRPr="00BE4A46">
      <w:rPr>
        <w:rStyle w:val="HideTWBExt"/>
      </w:rPr>
      <w:t>&gt;</w:t>
    </w:r>
    <w:r w:rsidRPr="00BE4A46">
      <w:t>753.515</w:t>
    </w:r>
    <w:r w:rsidRPr="00BE4A46">
      <w:rPr>
        <w:rStyle w:val="HideTWBExt"/>
      </w:rPr>
      <w:t>&lt;/</w:t>
    </w:r>
    <w:proofErr w:type="spellStart"/>
    <w:r w:rsidRPr="00BE4A46">
      <w:rPr>
        <w:rStyle w:val="HideTWBExt"/>
      </w:rPr>
      <w:t>NoPE</w:t>
    </w:r>
    <w:proofErr w:type="spellEnd"/>
    <w:r w:rsidRPr="00BE4A46">
      <w:rPr>
        <w:rStyle w:val="HideTWBExt"/>
      </w:rPr>
      <w:t>&gt;&lt;Version&gt;</w:t>
    </w:r>
    <w:r w:rsidRPr="00BE4A46">
      <w:t>v02-00</w:t>
    </w:r>
    <w:r w:rsidRPr="00BE4A46">
      <w:rPr>
        <w:rStyle w:val="HideTWBExt"/>
      </w:rPr>
      <w:t>&lt;/</w:t>
    </w:r>
    <w:proofErr w:type="spellStart"/>
    <w:r w:rsidRPr="00BE4A46">
      <w:rPr>
        <w:rStyle w:val="HideTWBExt"/>
      </w:rPr>
      <w:t>Version</w:t>
    </w:r>
    <w:proofErr w:type="spellEnd"/>
    <w:r w:rsidRPr="00BE4A46">
      <w:rPr>
        <w:rStyle w:val="HideTWBExt"/>
      </w:rPr>
      <w:t>&gt;</w:t>
    </w:r>
    <w:r w:rsidRPr="00BE4A46">
      <w:tab/>
    </w:r>
    <w:r w:rsidRPr="00BE4A46">
      <w:fldChar w:fldCharType="begin"/>
    </w:r>
    <w:r w:rsidRPr="00BE4A46">
      <w:instrText xml:space="preserve"> PAGE  \* MERGEFORMAT </w:instrText>
    </w:r>
    <w:r w:rsidRPr="00BE4A46">
      <w:fldChar w:fldCharType="separate"/>
    </w:r>
    <w:r w:rsidR="00BE4A46" w:rsidRPr="00BE4A46">
      <w:rPr>
        <w:noProof/>
      </w:rPr>
      <w:t>2</w:t>
    </w:r>
    <w:r w:rsidRPr="00BE4A46">
      <w:fldChar w:fldCharType="end"/>
    </w:r>
    <w:r w:rsidRPr="00BE4A46">
      <w:t>/</w:t>
    </w:r>
    <w:r w:rsidR="00F47472">
      <w:fldChar w:fldCharType="begin"/>
    </w:r>
    <w:r w:rsidR="00F47472">
      <w:instrText xml:space="preserve"> NUMPAGES  \* MERGEFORMAT </w:instrText>
    </w:r>
    <w:r w:rsidR="00F47472">
      <w:fldChar w:fldCharType="separate"/>
    </w:r>
    <w:r w:rsidR="00BE4A46" w:rsidRPr="00BE4A46">
      <w:rPr>
        <w:noProof/>
      </w:rPr>
      <w:t>4</w:t>
    </w:r>
    <w:r w:rsidR="00F47472">
      <w:rPr>
        <w:noProof/>
      </w:rPr>
      <w:fldChar w:fldCharType="end"/>
    </w:r>
    <w:r w:rsidRPr="00BE4A46">
      <w:tab/>
    </w:r>
    <w:r w:rsidRPr="00BE4A46">
      <w:rPr>
        <w:rStyle w:val="HideTWBExt"/>
      </w:rPr>
      <w:t>&lt;PathFdR&gt;</w:t>
    </w:r>
    <w:r w:rsidRPr="00BE4A46">
      <w:t>RR\1298834RO.docx</w:t>
    </w:r>
    <w:r w:rsidRPr="00BE4A46">
      <w:rPr>
        <w:rStyle w:val="HideTWBExt"/>
      </w:rPr>
      <w:t>&lt;/</w:t>
    </w:r>
    <w:proofErr w:type="spellStart"/>
    <w:r w:rsidRPr="00BE4A46">
      <w:rPr>
        <w:rStyle w:val="HideTWBExt"/>
      </w:rPr>
      <w:t>PathFdR</w:t>
    </w:r>
    <w:proofErr w:type="spellEnd"/>
    <w:r w:rsidRPr="00BE4A46">
      <w:rPr>
        <w:rStyle w:val="HideTWBExt"/>
      </w:rPr>
      <w:t>&gt;</w:t>
    </w:r>
  </w:p>
  <w:p w:rsidR="002B61F3" w:rsidRPr="00BE4A46" w:rsidRDefault="002B61F3" w:rsidP="002B47EC">
    <w:pPr>
      <w:pStyle w:val="EPFooter2"/>
    </w:pPr>
    <w:r w:rsidRPr="00BE4A46">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61F3" w:rsidRPr="00BE4A46" w:rsidRDefault="002B61F3" w:rsidP="002B47EC">
    <w:pPr>
      <w:pStyle w:val="EPFooter"/>
    </w:pPr>
    <w:r w:rsidRPr="00BE4A46">
      <w:rPr>
        <w:rStyle w:val="HideTWBExt"/>
      </w:rPr>
      <w:t>&lt;PathFdR&gt;</w:t>
    </w:r>
    <w:r w:rsidRPr="00BE4A46">
      <w:t>RR\1298834RO.docx</w:t>
    </w:r>
    <w:r w:rsidRPr="00BE4A46">
      <w:rPr>
        <w:rStyle w:val="HideTWBExt"/>
      </w:rPr>
      <w:t>&lt;/</w:t>
    </w:r>
    <w:proofErr w:type="spellStart"/>
    <w:r w:rsidRPr="00BE4A46">
      <w:rPr>
        <w:rStyle w:val="HideTWBExt"/>
      </w:rPr>
      <w:t>PathFdR</w:t>
    </w:r>
    <w:proofErr w:type="spellEnd"/>
    <w:r w:rsidRPr="00BE4A46">
      <w:rPr>
        <w:rStyle w:val="HideTWBExt"/>
      </w:rPr>
      <w:t>&gt;</w:t>
    </w:r>
    <w:r w:rsidRPr="00BE4A46">
      <w:tab/>
    </w:r>
    <w:r w:rsidRPr="00BE4A46">
      <w:tab/>
      <w:t>PE</w:t>
    </w:r>
    <w:r w:rsidRPr="00BE4A46">
      <w:rPr>
        <w:rStyle w:val="HideTWBExt"/>
      </w:rPr>
      <w:t>&lt;</w:t>
    </w:r>
    <w:proofErr w:type="spellStart"/>
    <w:r w:rsidRPr="00BE4A46">
      <w:rPr>
        <w:rStyle w:val="HideTWBExt"/>
      </w:rPr>
      <w:t>NoPE</w:t>
    </w:r>
    <w:proofErr w:type="spellEnd"/>
    <w:r w:rsidRPr="00BE4A46">
      <w:rPr>
        <w:rStyle w:val="HideTWBExt"/>
      </w:rPr>
      <w:t>&gt;</w:t>
    </w:r>
    <w:r w:rsidRPr="00BE4A46">
      <w:t>753.515</w:t>
    </w:r>
    <w:r w:rsidRPr="00BE4A46">
      <w:rPr>
        <w:rStyle w:val="HideTWBExt"/>
      </w:rPr>
      <w:t>&lt;/</w:t>
    </w:r>
    <w:proofErr w:type="spellStart"/>
    <w:r w:rsidRPr="00BE4A46">
      <w:rPr>
        <w:rStyle w:val="HideTWBExt"/>
      </w:rPr>
      <w:t>NoPE</w:t>
    </w:r>
    <w:proofErr w:type="spellEnd"/>
    <w:r w:rsidRPr="00BE4A46">
      <w:rPr>
        <w:rStyle w:val="HideTWBExt"/>
      </w:rPr>
      <w:t>&gt;&lt;Version&gt;</w:t>
    </w:r>
    <w:r w:rsidRPr="00BE4A46">
      <w:t>v02-00</w:t>
    </w:r>
    <w:r w:rsidRPr="00BE4A46">
      <w:rPr>
        <w:rStyle w:val="HideTWBExt"/>
      </w:rPr>
      <w:t>&lt;/</w:t>
    </w:r>
    <w:proofErr w:type="spellStart"/>
    <w:r w:rsidRPr="00BE4A46">
      <w:rPr>
        <w:rStyle w:val="HideTWBExt"/>
      </w:rPr>
      <w:t>Version</w:t>
    </w:r>
    <w:proofErr w:type="spellEnd"/>
    <w:r w:rsidRPr="00BE4A46">
      <w:rPr>
        <w:rStyle w:val="HideTWBExt"/>
      </w:rPr>
      <w:t>&gt;</w:t>
    </w:r>
  </w:p>
  <w:p w:rsidR="002B61F3" w:rsidRPr="00BE4A46" w:rsidRDefault="002B61F3" w:rsidP="002B47EC">
    <w:pPr>
      <w:pStyle w:val="EPFooter2"/>
    </w:pPr>
    <w:r w:rsidRPr="00BE4A46">
      <w:t>RO</w:t>
    </w:r>
    <w:r w:rsidRPr="00BE4A46">
      <w:tab/>
    </w:r>
    <w:r w:rsidRPr="00BE4A46">
      <w:rPr>
        <w:b w:val="0"/>
        <w:i/>
        <w:color w:val="C0C0C0"/>
        <w:sz w:val="22"/>
      </w:rPr>
      <w:t>Unită în diversitate</w:t>
    </w:r>
    <w:r w:rsidRPr="00BE4A46">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A46"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A46"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A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7579" w:rsidRPr="00BE4A46" w:rsidRDefault="001F7579">
      <w:r w:rsidRPr="00BE4A46">
        <w:separator/>
      </w:r>
    </w:p>
  </w:footnote>
  <w:footnote w:type="continuationSeparator" w:id="0">
    <w:p w:rsidR="001F7579" w:rsidRPr="00BE4A46" w:rsidRDefault="001F7579">
      <w:r w:rsidRPr="00BE4A46">
        <w:continuationSeparator/>
      </w:r>
    </w:p>
  </w:footnote>
  <w:footnote w:id="1">
    <w:p w:rsidR="002B61F3" w:rsidRPr="00F47472" w:rsidRDefault="002B61F3" w:rsidP="00BE4A46">
      <w:pPr>
        <w:pStyle w:val="FootnoteText"/>
        <w:ind w:left="567" w:hanging="567"/>
        <w:rPr>
          <w:sz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JO C, C/2023/594, 27.10.2023.</w:t>
      </w:r>
    </w:p>
  </w:footnote>
  <w:footnote w:id="2">
    <w:p w:rsidR="002B61F3" w:rsidRPr="00F47472" w:rsidRDefault="002B61F3" w:rsidP="00BE4A46">
      <w:pPr>
        <w:pStyle w:val="FootnoteText"/>
        <w:ind w:left="567" w:hanging="567"/>
        <w:rPr>
          <w:sz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JO C, C/2023/112, 12.10.2023.</w:t>
      </w:r>
    </w:p>
  </w:footnote>
  <w:footnote w:id="3">
    <w:p w:rsidR="002B61F3" w:rsidRPr="00F47472" w:rsidRDefault="002B61F3" w:rsidP="00BE4A46">
      <w:pPr>
        <w:pStyle w:val="FootnoteText"/>
        <w:ind w:left="567" w:hanging="567"/>
        <w:rPr>
          <w:sz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JO L 193, 30.7.2018, p. 1.</w:t>
      </w:r>
    </w:p>
  </w:footnote>
  <w:footnote w:id="4">
    <w:p w:rsidR="002B61F3" w:rsidRPr="00F47472" w:rsidRDefault="002B61F3" w:rsidP="00BE4A46">
      <w:pPr>
        <w:pStyle w:val="FootnoteText"/>
        <w:ind w:left="567" w:hanging="567"/>
        <w:rPr>
          <w:sz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JO L 142, 30.4.2004, p. 1.</w:t>
      </w:r>
    </w:p>
  </w:footnote>
  <w:footnote w:id="5">
    <w:p w:rsidR="002B61F3" w:rsidRPr="00F47472" w:rsidRDefault="002B61F3" w:rsidP="00BE4A46">
      <w:pPr>
        <w:pStyle w:val="FootnoteText"/>
        <w:ind w:left="567" w:hanging="567"/>
        <w:rPr>
          <w:sz w:val="24"/>
          <w:szCs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JO L 122, 10.5.2019, p. 1.</w:t>
      </w:r>
    </w:p>
  </w:footnote>
  <w:footnote w:id="6">
    <w:p w:rsidR="002B61F3" w:rsidRPr="00F47472" w:rsidRDefault="002B61F3" w:rsidP="00BE4A46">
      <w:pPr>
        <w:pStyle w:val="FootnoteText"/>
        <w:ind w:left="567" w:hanging="567"/>
        <w:rPr>
          <w:sz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JO C, C/2023/594, 27.10.2023.</w:t>
      </w:r>
    </w:p>
  </w:footnote>
  <w:footnote w:id="7">
    <w:p w:rsidR="002B61F3" w:rsidRPr="00F47472" w:rsidRDefault="002B61F3" w:rsidP="00BE4A46">
      <w:pPr>
        <w:pStyle w:val="FootnoteText"/>
        <w:ind w:left="567" w:hanging="567"/>
        <w:rPr>
          <w:sz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JO C, C/2023/112, 12.10.2023.</w:t>
      </w:r>
    </w:p>
  </w:footnote>
  <w:footnote w:id="8">
    <w:p w:rsidR="002B61F3" w:rsidRPr="00F47472" w:rsidRDefault="002B61F3" w:rsidP="00BE4A46">
      <w:pPr>
        <w:pStyle w:val="FootnoteText"/>
        <w:ind w:left="567" w:hanging="567"/>
        <w:rPr>
          <w:sz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JO L 193, 30.7.2018, p. 1.</w:t>
      </w:r>
    </w:p>
  </w:footnote>
  <w:footnote w:id="9">
    <w:p w:rsidR="002B61F3" w:rsidRPr="00F47472" w:rsidRDefault="002B61F3" w:rsidP="00BE4A46">
      <w:pPr>
        <w:pStyle w:val="FootnoteText"/>
        <w:ind w:left="567" w:hanging="567"/>
        <w:rPr>
          <w:sz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JO L 142, 30.4.2004, p. 1.</w:t>
      </w:r>
    </w:p>
  </w:footnote>
  <w:footnote w:id="10">
    <w:p w:rsidR="002B61F3" w:rsidRPr="00F47472" w:rsidRDefault="002B61F3" w:rsidP="00BE4A46">
      <w:pPr>
        <w:pStyle w:val="FootnoteText"/>
        <w:ind w:left="567" w:hanging="567"/>
        <w:rPr>
          <w:sz w:val="24"/>
          <w:szCs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JO L 122, 10.5.2019, p. 1.</w:t>
      </w:r>
    </w:p>
  </w:footnote>
  <w:footnote w:id="11">
    <w:p w:rsidR="002B61F3" w:rsidRPr="00F47472" w:rsidRDefault="002B61F3" w:rsidP="00BE4A46">
      <w:pPr>
        <w:pStyle w:val="FootnoteText"/>
        <w:ind w:left="567" w:hanging="567"/>
        <w:rPr>
          <w:sz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JO C 38, 31.1.2023, p. 24.</w:t>
      </w:r>
    </w:p>
  </w:footnote>
  <w:footnote w:id="12">
    <w:p w:rsidR="002B61F3" w:rsidRPr="00F47472" w:rsidRDefault="002B61F3" w:rsidP="00BE4A46">
      <w:pPr>
        <w:pStyle w:val="FootnoteText"/>
        <w:ind w:left="567" w:hanging="567"/>
        <w:rPr>
          <w:sz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Regulamentul (UE) 2022/2370 al Parlamentului European și al Consiliului din 23 noiembrie 2022 de modificare a Regulamentului (CE) nr. 851/2004 de creare a unui Centru European de prevenire și control al bolilor (JO L 314, 6.12.2022, p. 1).</w:t>
      </w:r>
    </w:p>
  </w:footnote>
  <w:footnote w:id="13">
    <w:p w:rsidR="002B61F3" w:rsidRPr="00BE4A46" w:rsidRDefault="002B61F3" w:rsidP="00BE4A46">
      <w:pPr>
        <w:pStyle w:val="FootnoteText"/>
        <w:ind w:left="567" w:hanging="567"/>
        <w:rPr>
          <w:sz w:val="24"/>
          <w:lang w:val="ro-RO"/>
        </w:rPr>
      </w:pPr>
      <w:r w:rsidRPr="00F47472">
        <w:rPr>
          <w:rStyle w:val="FootnoteReference"/>
          <w:sz w:val="24"/>
          <w:lang w:val="ro-RO"/>
        </w:rPr>
        <w:footnoteRef/>
      </w:r>
      <w:r w:rsidR="00BE4A46" w:rsidRPr="00F47472">
        <w:rPr>
          <w:sz w:val="24"/>
          <w:lang w:val="ro-RO"/>
        </w:rPr>
        <w:t xml:space="preserve"> </w:t>
      </w:r>
      <w:r w:rsidR="00BE4A46" w:rsidRPr="00F47472">
        <w:rPr>
          <w:sz w:val="24"/>
          <w:lang w:val="ro-RO"/>
        </w:rPr>
        <w:tab/>
      </w:r>
      <w:r w:rsidRPr="00F47472">
        <w:rPr>
          <w:sz w:val="24"/>
          <w:lang w:val="ro-RO"/>
        </w:rPr>
        <w:t>Texte adoptate, P9_TA(2024)</w:t>
      </w:r>
      <w:r w:rsidR="008D54E4" w:rsidRPr="00F47472">
        <w:rPr>
          <w:sz w:val="24"/>
          <w:lang w:val="ro-RO"/>
        </w:rPr>
        <w:t>0</w:t>
      </w:r>
      <w:r w:rsidR="008D54E4" w:rsidRPr="00F47472">
        <w:rPr>
          <w:sz w:val="24"/>
          <w:lang w:val="ro-RO"/>
        </w:rPr>
        <w:t>280</w:t>
      </w:r>
      <w:r w:rsidRPr="00F47472">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A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A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A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9/2024"/>
    <w:docVar w:name="dvlangue" w:val="RO"/>
    <w:docVar w:name="dvnumam" w:val="0"/>
    <w:docVar w:name="dvpe" w:val="753.515"/>
    <w:docVar w:name="dvrapporteur" w:val="Raportor: "/>
    <w:docVar w:name="dvtitre" w:val="1. Decizia Parlamentului European din 11 aprilie 2024 privind descărcarea de gestiune pentru execuția bugetului Centrului European de Prevenire și Control al Bolilor aferent exercițiului financiar 2022(2023/2147(DEC))"/>
  </w:docVars>
  <w:rsids>
    <w:rsidRoot w:val="001F7579"/>
    <w:rsid w:val="00002272"/>
    <w:rsid w:val="00064002"/>
    <w:rsid w:val="000677B9"/>
    <w:rsid w:val="000831BA"/>
    <w:rsid w:val="000A42CC"/>
    <w:rsid w:val="000E7DD9"/>
    <w:rsid w:val="0010095E"/>
    <w:rsid w:val="00125B37"/>
    <w:rsid w:val="00187494"/>
    <w:rsid w:val="001F32AE"/>
    <w:rsid w:val="001F7579"/>
    <w:rsid w:val="002767FF"/>
    <w:rsid w:val="002B18FE"/>
    <w:rsid w:val="002B5493"/>
    <w:rsid w:val="002B61F3"/>
    <w:rsid w:val="00343214"/>
    <w:rsid w:val="00361C00"/>
    <w:rsid w:val="00395FA1"/>
    <w:rsid w:val="003C2539"/>
    <w:rsid w:val="003E15D4"/>
    <w:rsid w:val="00411CCE"/>
    <w:rsid w:val="0041666E"/>
    <w:rsid w:val="00421060"/>
    <w:rsid w:val="004431D9"/>
    <w:rsid w:val="00471C19"/>
    <w:rsid w:val="004867E3"/>
    <w:rsid w:val="00494A28"/>
    <w:rsid w:val="004C0004"/>
    <w:rsid w:val="004C237F"/>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54E4"/>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4A46"/>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472"/>
    <w:rsid w:val="00F5134D"/>
    <w:rsid w:val="00F74202"/>
    <w:rsid w:val="00F87713"/>
    <w:rsid w:val="00FB4360"/>
    <w:rsid w:val="00FB527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566D0E"/>
  <w15:chartTrackingRefBased/>
  <w15:docId w15:val="{C3DEDAB9-E5AD-4348-BE5B-22CC99FD4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B61F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B61F3"/>
    <w:pPr>
      <w:spacing w:before="480" w:after="240"/>
    </w:pPr>
  </w:style>
  <w:style w:type="paragraph" w:customStyle="1" w:styleId="PageHeading">
    <w:name w:val="PageHeading"/>
    <w:basedOn w:val="Normal"/>
    <w:rsid w:val="002B61F3"/>
    <w:pPr>
      <w:keepNext/>
      <w:spacing w:after="480"/>
      <w:jc w:val="center"/>
    </w:pPr>
    <w:rPr>
      <w:rFonts w:ascii="Arial" w:hAnsi="Arial" w:cs="Arial"/>
      <w:b/>
    </w:rPr>
  </w:style>
  <w:style w:type="paragraph" w:customStyle="1" w:styleId="NormalBold">
    <w:name w:val="NormalBold"/>
    <w:basedOn w:val="Normal"/>
    <w:rsid w:val="002B61F3"/>
    <w:rPr>
      <w:b/>
    </w:rPr>
  </w:style>
  <w:style w:type="paragraph" w:customStyle="1" w:styleId="NormalHanging12a">
    <w:name w:val="NormalHanging12a"/>
    <w:basedOn w:val="Normal"/>
    <w:link w:val="NormalHanging12aChar"/>
    <w:rsid w:val="002B61F3"/>
    <w:pPr>
      <w:spacing w:after="240"/>
      <w:ind w:left="567" w:hanging="567"/>
    </w:pPr>
  </w:style>
  <w:style w:type="paragraph" w:customStyle="1" w:styleId="NormalCenter12a">
    <w:name w:val="NormalCenter12a"/>
    <w:basedOn w:val="Normal"/>
    <w:rsid w:val="002B61F3"/>
    <w:pPr>
      <w:spacing w:after="240"/>
      <w:jc w:val="center"/>
    </w:pPr>
  </w:style>
  <w:style w:type="paragraph" w:styleId="Header">
    <w:name w:val="header"/>
    <w:basedOn w:val="Normal"/>
    <w:link w:val="HeaderChar"/>
    <w:rsid w:val="002B61F3"/>
    <w:pPr>
      <w:tabs>
        <w:tab w:val="center" w:pos="4513"/>
        <w:tab w:val="right" w:pos="9026"/>
      </w:tabs>
    </w:pPr>
  </w:style>
  <w:style w:type="character" w:customStyle="1" w:styleId="HeaderChar">
    <w:name w:val="Header Char"/>
    <w:basedOn w:val="DefaultParagraphFont"/>
    <w:link w:val="Header"/>
    <w:rsid w:val="002B61F3"/>
    <w:rPr>
      <w:sz w:val="24"/>
      <w:lang w:val="ro-RO"/>
    </w:rPr>
  </w:style>
  <w:style w:type="paragraph" w:customStyle="1" w:styleId="EPFooter">
    <w:name w:val="EPFooter"/>
    <w:basedOn w:val="Normal"/>
    <w:rsid w:val="002B61F3"/>
    <w:pPr>
      <w:tabs>
        <w:tab w:val="center" w:pos="4535"/>
        <w:tab w:val="right" w:pos="9071"/>
      </w:tabs>
      <w:spacing w:before="240" w:after="240"/>
    </w:pPr>
    <w:rPr>
      <w:color w:val="010000"/>
      <w:sz w:val="22"/>
    </w:rPr>
  </w:style>
  <w:style w:type="paragraph" w:styleId="ListParagraph">
    <w:name w:val="List Paragraph"/>
    <w:basedOn w:val="Normal"/>
    <w:uiPriority w:val="34"/>
    <w:qFormat/>
    <w:rsid w:val="002B61F3"/>
    <w:pPr>
      <w:widowControl/>
      <w:ind w:left="720"/>
      <w:contextualSpacing/>
      <w:jc w:val="both"/>
    </w:pPr>
    <w:rPr>
      <w:rFonts w:eastAsiaTheme="minorHAnsi"/>
      <w:szCs w:val="24"/>
      <w:lang w:eastAsia="en-US"/>
    </w:rPr>
  </w:style>
  <w:style w:type="character" w:customStyle="1" w:styleId="NormalHanging12aChar">
    <w:name w:val="NormalHanging12a Char"/>
    <w:link w:val="NormalHanging12a"/>
    <w:locked/>
    <w:rsid w:val="002B61F3"/>
    <w:rPr>
      <w:sz w:val="24"/>
      <w:lang w:val="ro-RO"/>
    </w:rPr>
  </w:style>
  <w:style w:type="paragraph" w:customStyle="1" w:styleId="Normal24a">
    <w:name w:val="Normal24a"/>
    <w:basedOn w:val="Normal"/>
    <w:rsid w:val="002B61F3"/>
    <w:pPr>
      <w:spacing w:after="480"/>
    </w:pPr>
  </w:style>
  <w:style w:type="paragraph" w:customStyle="1" w:styleId="Normal12a">
    <w:name w:val="Normal12a"/>
    <w:basedOn w:val="Normal"/>
    <w:rsid w:val="002B61F3"/>
    <w:pPr>
      <w:spacing w:after="240"/>
    </w:pPr>
  </w:style>
  <w:style w:type="paragraph" w:customStyle="1" w:styleId="PageHeadingNotTOC">
    <w:name w:val="PageHeadingNotTOC"/>
    <w:basedOn w:val="Normal"/>
    <w:rsid w:val="002B61F3"/>
    <w:pPr>
      <w:keepNext/>
      <w:spacing w:after="480"/>
      <w:jc w:val="center"/>
    </w:pPr>
    <w:rPr>
      <w:rFonts w:ascii="Arial" w:hAnsi="Arial" w:cs="Arial"/>
      <w:b/>
    </w:rPr>
  </w:style>
  <w:style w:type="paragraph" w:customStyle="1" w:styleId="Normal12Hanging">
    <w:name w:val="Normal12Hanging"/>
    <w:basedOn w:val="Normal"/>
    <w:rsid w:val="002B61F3"/>
    <w:pPr>
      <w:spacing w:after="240"/>
      <w:ind w:left="567" w:hanging="567"/>
    </w:pPr>
  </w:style>
  <w:style w:type="paragraph" w:customStyle="1" w:styleId="RollCallSymbols14pt">
    <w:name w:val="RollCallSymbols14pt"/>
    <w:basedOn w:val="Normal"/>
    <w:rsid w:val="002B61F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B61F3"/>
    <w:pPr>
      <w:tabs>
        <w:tab w:val="center" w:pos="284"/>
        <w:tab w:val="left" w:pos="426"/>
      </w:tabs>
    </w:pPr>
    <w:rPr>
      <w:snapToGrid w:val="0"/>
      <w:lang w:eastAsia="en-US"/>
    </w:rPr>
  </w:style>
  <w:style w:type="paragraph" w:customStyle="1" w:styleId="RollCallVotes">
    <w:name w:val="RollCallVotes"/>
    <w:basedOn w:val="Normal"/>
    <w:rsid w:val="002B61F3"/>
    <w:pPr>
      <w:spacing w:before="120" w:after="120"/>
      <w:jc w:val="center"/>
    </w:pPr>
    <w:rPr>
      <w:b/>
      <w:bCs/>
      <w:snapToGrid w:val="0"/>
      <w:sz w:val="16"/>
      <w:lang w:eastAsia="en-US"/>
    </w:rPr>
  </w:style>
  <w:style w:type="paragraph" w:customStyle="1" w:styleId="RollCallTable">
    <w:name w:val="RollCallTable"/>
    <w:basedOn w:val="Normal"/>
    <w:rsid w:val="002B61F3"/>
    <w:pPr>
      <w:spacing w:before="120" w:after="120"/>
    </w:pPr>
    <w:rPr>
      <w:snapToGrid w:val="0"/>
      <w:sz w:val="16"/>
      <w:lang w:eastAsia="en-US"/>
    </w:rPr>
  </w:style>
  <w:style w:type="paragraph" w:styleId="Footer">
    <w:name w:val="footer"/>
    <w:basedOn w:val="Normal"/>
    <w:link w:val="FooterChar"/>
    <w:rsid w:val="004431D9"/>
    <w:pPr>
      <w:tabs>
        <w:tab w:val="center" w:pos="4513"/>
        <w:tab w:val="right" w:pos="9026"/>
      </w:tabs>
    </w:pPr>
  </w:style>
  <w:style w:type="character" w:customStyle="1" w:styleId="FooterChar">
    <w:name w:val="Footer Char"/>
    <w:basedOn w:val="DefaultParagraphFont"/>
    <w:link w:val="Footer"/>
    <w:rsid w:val="004431D9"/>
    <w:rPr>
      <w:sz w:val="24"/>
      <w:lang w:val="ro-RO"/>
    </w:rPr>
  </w:style>
  <w:style w:type="paragraph" w:styleId="BalloonText">
    <w:name w:val="Balloon Text"/>
    <w:basedOn w:val="Normal"/>
    <w:link w:val="BalloonTextChar"/>
    <w:rsid w:val="00F47472"/>
    <w:rPr>
      <w:rFonts w:ascii="Segoe UI" w:hAnsi="Segoe UI" w:cs="Segoe UI"/>
      <w:sz w:val="18"/>
      <w:szCs w:val="18"/>
    </w:rPr>
  </w:style>
  <w:style w:type="character" w:customStyle="1" w:styleId="BalloonTextChar">
    <w:name w:val="Balloon Text Char"/>
    <w:basedOn w:val="DefaultParagraphFont"/>
    <w:link w:val="BalloonText"/>
    <w:rsid w:val="00F47472"/>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689AE-146A-4C96-9890-3D3A0FB70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3339</Words>
  <Characters>19427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2024-04-11T13:45:00Z</dcterms:created>
  <dcterms:modified xsi:type="dcterms:W3CDTF">2024-04-11T13:45:00Z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A9-0109/2024</vt:lpwstr>
  </property>
  <property fmtid="{D5CDD505-2E9C-101B-9397-08002B2CF9AE}" pid="4" name="&lt;Type&gt;">
    <vt:lpwstr>RR</vt:lpwstr>
  </property>
</Properties>
</file>