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9038B" w:rsidRPr="001C2E72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9038B" w:rsidRPr="001C2E72" w:rsidRDefault="00B479B8">
            <w:pPr>
              <w:pStyle w:val="EPName"/>
            </w:pPr>
            <w:bookmarkStart w:id="0" w:name="_GoBack"/>
            <w:bookmarkEnd w:id="0"/>
            <w:r w:rsidRPr="001C2E72">
              <w:t>Európsky parlament</w:t>
            </w:r>
          </w:p>
          <w:p w:rsidR="0079038B" w:rsidRPr="001C2E72" w:rsidRDefault="00B479B8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C2E72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9038B" w:rsidRPr="001C2E72" w:rsidRDefault="00B479B8">
            <w:pPr>
              <w:pStyle w:val="EPLogo"/>
            </w:pPr>
            <w:r w:rsidRPr="001C2E7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9038B" w:rsidRPr="001C2E72" w:rsidRDefault="0079038B">
      <w:pPr>
        <w:pStyle w:val="LineTop"/>
      </w:pPr>
    </w:p>
    <w:p w:rsidR="0079038B" w:rsidRPr="001C2E72" w:rsidRDefault="00B479B8">
      <w:pPr>
        <w:pStyle w:val="EPBodyTA1"/>
      </w:pPr>
      <w:r w:rsidRPr="001C2E72">
        <w:t>PRIJATÉ TEXTY</w:t>
      </w:r>
    </w:p>
    <w:p w:rsidR="0079038B" w:rsidRPr="001C2E72" w:rsidRDefault="0079038B">
      <w:pPr>
        <w:pStyle w:val="LineBottom"/>
      </w:pPr>
    </w:p>
    <w:p w:rsidR="0079038B" w:rsidRPr="001C2E72" w:rsidRDefault="00B479B8">
      <w:pPr>
        <w:pStyle w:val="ATHeading1"/>
      </w:pPr>
      <w:bookmarkStart w:id="1" w:name="TANumber"/>
      <w:r w:rsidRPr="001C2E72">
        <w:t>P9_TA(2024)0</w:t>
      </w:r>
      <w:r w:rsidR="000D5E79" w:rsidRPr="001C2E72">
        <w:t>251</w:t>
      </w:r>
      <w:bookmarkEnd w:id="1"/>
    </w:p>
    <w:p w:rsidR="0079038B" w:rsidRPr="001C2E72" w:rsidRDefault="00B479B8">
      <w:pPr>
        <w:pStyle w:val="ATHeading2"/>
      </w:pPr>
      <w:bookmarkStart w:id="2" w:name="title"/>
      <w:r w:rsidRPr="001C2E72">
        <w:t>Absolutórium za rok 2022: Európske centrum pre prevenciu a kontrolu chorôb</w:t>
      </w:r>
      <w:bookmarkEnd w:id="2"/>
    </w:p>
    <w:p w:rsidR="0079038B" w:rsidRPr="001C2E72" w:rsidRDefault="00B479B8">
      <w:pPr>
        <w:rPr>
          <w:i/>
          <w:vanish/>
        </w:rPr>
      </w:pPr>
      <w:r w:rsidRPr="001C2E72">
        <w:rPr>
          <w:i/>
        </w:rPr>
        <w:fldChar w:fldCharType="begin"/>
      </w:r>
      <w:r w:rsidRPr="001C2E72">
        <w:rPr>
          <w:i/>
        </w:rPr>
        <w:instrText xml:space="preserve"> TC"(</w:instrText>
      </w:r>
      <w:bookmarkStart w:id="3" w:name="DocNumber"/>
      <w:r w:rsidRPr="001C2E72">
        <w:rPr>
          <w:i/>
        </w:rPr>
        <w:instrText>A9-0109/2024</w:instrText>
      </w:r>
      <w:bookmarkEnd w:id="3"/>
      <w:r w:rsidRPr="001C2E72">
        <w:rPr>
          <w:i/>
        </w:rPr>
        <w:instrText xml:space="preserve"> - Spravodajca: </w:instrText>
      </w:r>
      <w:proofErr w:type="spellStart"/>
      <w:r w:rsidRPr="001C2E72">
        <w:rPr>
          <w:i/>
        </w:rPr>
        <w:instrText>Petri</w:instrText>
      </w:r>
      <w:proofErr w:type="spellEnd"/>
      <w:r w:rsidRPr="001C2E72">
        <w:rPr>
          <w:i/>
        </w:rPr>
        <w:instrText xml:space="preserve"> </w:instrText>
      </w:r>
      <w:proofErr w:type="spellStart"/>
      <w:r w:rsidRPr="001C2E72">
        <w:rPr>
          <w:i/>
        </w:rPr>
        <w:instrText>Sarvamaa</w:instrText>
      </w:r>
      <w:proofErr w:type="spellEnd"/>
      <w:r w:rsidRPr="001C2E72">
        <w:rPr>
          <w:i/>
        </w:rPr>
        <w:instrText xml:space="preserve">)"\l3 \n&gt; \* MERGEFORMAT </w:instrText>
      </w:r>
      <w:r w:rsidRPr="001C2E72">
        <w:rPr>
          <w:i/>
        </w:rPr>
        <w:fldChar w:fldCharType="end"/>
      </w:r>
    </w:p>
    <w:p w:rsidR="0079038B" w:rsidRPr="001C2E72" w:rsidRDefault="00B479B8">
      <w:pPr>
        <w:rPr>
          <w:vanish/>
        </w:rPr>
      </w:pPr>
      <w:bookmarkStart w:id="4" w:name="Commission"/>
      <w:r w:rsidRPr="001C2E72">
        <w:rPr>
          <w:vanish/>
        </w:rPr>
        <w:t>Výbor pre kontrolu rozpočtu</w:t>
      </w:r>
      <w:bookmarkEnd w:id="4"/>
    </w:p>
    <w:p w:rsidR="0079038B" w:rsidRPr="001C2E72" w:rsidRDefault="00B479B8">
      <w:pPr>
        <w:rPr>
          <w:vanish/>
        </w:rPr>
      </w:pPr>
      <w:bookmarkStart w:id="5" w:name="PE"/>
      <w:r w:rsidRPr="001C2E72">
        <w:rPr>
          <w:vanish/>
        </w:rPr>
        <w:t>PE753.515</w:t>
      </w:r>
      <w:bookmarkEnd w:id="5"/>
    </w:p>
    <w:p w:rsidR="0079038B" w:rsidRPr="001C2E72" w:rsidRDefault="00B479B8">
      <w:pPr>
        <w:pStyle w:val="ATHeading3"/>
      </w:pPr>
      <w:bookmarkStart w:id="6" w:name="Sujet"/>
      <w:r w:rsidRPr="001C2E72">
        <w:t>1. Rozhodnutie Európskeho parlamentu z 11. apríla 2024 o absolutóriu za plnenie rozpočtu Európskeho centra pre prevenciu a kontrolu chorôb za rozpočtový rok 2022</w:t>
      </w:r>
      <w:bookmarkEnd w:id="6"/>
      <w:r w:rsidRPr="001C2E72">
        <w:t xml:space="preserve"> </w:t>
      </w:r>
      <w:bookmarkStart w:id="7" w:name="References"/>
      <w:r w:rsidRPr="001C2E72">
        <w:t>(2023/2147(DEC))</w:t>
      </w:r>
      <w:bookmarkEnd w:id="7"/>
    </w:p>
    <w:p w:rsidR="0079038B" w:rsidRPr="001C2E72" w:rsidRDefault="00B479B8">
      <w:pPr>
        <w:pStyle w:val="EPComma"/>
      </w:pPr>
      <w:bookmarkStart w:id="8" w:name="TextBodyBegin"/>
      <w:bookmarkEnd w:id="8"/>
      <w:r w:rsidRPr="001C2E72">
        <w:rPr>
          <w:i/>
          <w:iCs/>
        </w:rPr>
        <w:t>Európsky parlament</w:t>
      </w:r>
      <w:r w:rsidRPr="001C2E72">
        <w:t>,</w:t>
      </w:r>
    </w:p>
    <w:p w:rsidR="0079038B" w:rsidRPr="001C2E72" w:rsidRDefault="00B479B8">
      <w:pPr>
        <w:pStyle w:val="NormalHanging12a"/>
      </w:pPr>
      <w:r w:rsidRPr="001C2E72">
        <w:t>–</w:t>
      </w:r>
      <w:r w:rsidRPr="001C2E72">
        <w:tab/>
        <w:t>so zreteľom na konečnú ročnú účtovnú závierku Európskeho centra pre prevenciu a kontrolu chorôb za rozpočtový rok 2022,</w:t>
      </w:r>
    </w:p>
    <w:p w:rsidR="0079038B" w:rsidRPr="001C2E72" w:rsidRDefault="00B479B8">
      <w:pPr>
        <w:pStyle w:val="NormalHanging12a"/>
      </w:pPr>
      <w:r w:rsidRPr="001C2E72">
        <w:t>–</w:t>
      </w:r>
      <w:r w:rsidRPr="001C2E72">
        <w:tab/>
        <w:t>so zreteľom na výročnú správu Dvora audítorov o agentúrach EÚ za rozpočtový rok 2022 spolu s odpoveďami agentúr</w:t>
      </w:r>
      <w:r w:rsidRPr="001C2E72">
        <w:rPr>
          <w:rStyle w:val="FootnoteReference"/>
        </w:rPr>
        <w:footnoteReference w:id="1"/>
      </w:r>
      <w:r w:rsidRPr="001C2E72">
        <w:t>,</w:t>
      </w:r>
    </w:p>
    <w:p w:rsidR="0079038B" w:rsidRPr="001C2E72" w:rsidRDefault="00B479B8">
      <w:pPr>
        <w:pStyle w:val="NormalHanging12a"/>
      </w:pPr>
      <w:r w:rsidRPr="001C2E72">
        <w:t>–</w:t>
      </w:r>
      <w:r w:rsidRPr="001C2E72">
        <w:tab/>
        <w:t>so zreteľom na vyhlásenie o vierohodnosti</w:t>
      </w:r>
      <w:r w:rsidRPr="001C2E72">
        <w:rPr>
          <w:rStyle w:val="FootnoteReference"/>
        </w:rPr>
        <w:footnoteReference w:id="2"/>
      </w:r>
      <w:r w:rsidRPr="001C2E72">
        <w:t xml:space="preserve"> vedenia účtov a zákonnosti a správnosti príslušných operácií, ktoré poskytol Dvor audítorov za rozpočtový rok 2022 v súlade s článkom 287 Zmluvy o fungovaní Európskej únie,</w:t>
      </w:r>
    </w:p>
    <w:p w:rsidR="0079038B" w:rsidRPr="001C2E72" w:rsidRDefault="00B479B8">
      <w:pPr>
        <w:pStyle w:val="NormalHanging12a"/>
      </w:pPr>
      <w:r w:rsidRPr="001C2E72">
        <w:t>–</w:t>
      </w:r>
      <w:r w:rsidRPr="001C2E72">
        <w:tab/>
        <w:t>so zreteľom na odporúčanie Rady z 22. februára 2024 o udelení absolutória centru za plnenie rozpočtu za rozpočtový rok 2022 (06180/2024 – C9</w:t>
      </w:r>
      <w:r w:rsidRPr="001C2E72">
        <w:noBreakHyphen/>
        <w:t>0085/2024),</w:t>
      </w:r>
    </w:p>
    <w:p w:rsidR="0079038B" w:rsidRPr="001C2E72" w:rsidRDefault="00B479B8">
      <w:pPr>
        <w:pStyle w:val="NormalHanging12a"/>
      </w:pPr>
      <w:r w:rsidRPr="001C2E72">
        <w:t>–</w:t>
      </w:r>
      <w:r w:rsidRPr="001C2E72">
        <w:tab/>
        <w:t>so zreteľom na článok 319 Zmluvy o fungovaní Európskej únie,</w:t>
      </w:r>
    </w:p>
    <w:p w:rsidR="0079038B" w:rsidRPr="001C2E72" w:rsidRDefault="00B479B8">
      <w:pPr>
        <w:pStyle w:val="NormalHanging12a"/>
      </w:pPr>
      <w:r w:rsidRPr="001C2E72">
        <w:t>–</w:t>
      </w:r>
      <w:r w:rsidRPr="001C2E72">
        <w:tab/>
        <w:t xml:space="preserve">so zreteľom na nariadenie Európskeho parlamentu a Rady (EÚ, </w:t>
      </w:r>
      <w:proofErr w:type="spellStart"/>
      <w:r w:rsidRPr="001C2E72">
        <w:t>Euratom</w:t>
      </w:r>
      <w:proofErr w:type="spellEnd"/>
      <w:r w:rsidRPr="001C2E72">
        <w:t xml:space="preserve">) 2018/1046 z 18. júla 2018 o rozpočtových pravidlách, ktoré sa vzťahujú na všeobecný rozpočet Únie, o zmene nariadení (EÚ) č. 1296/2013, (EÚ) č. 1301/2013, (EÚ) č. 1303/2013, (EÚ) č. 1304/2013, (EÚ) č. 1309/2013, (EÚ) č. 1316/2013, (EÚ) č. 223/2014, (EÚ) č. 283/2014 a rozhodnutia č. 541/2014/EÚ a o zrušení nariadenia (EÚ, </w:t>
      </w:r>
      <w:proofErr w:type="spellStart"/>
      <w:r w:rsidRPr="001C2E72">
        <w:t>Euratom</w:t>
      </w:r>
      <w:proofErr w:type="spellEnd"/>
      <w:r w:rsidRPr="001C2E72">
        <w:t>) č. 966/2012</w:t>
      </w:r>
      <w:r w:rsidRPr="001C2E72">
        <w:rPr>
          <w:rStyle w:val="FootnoteReference"/>
        </w:rPr>
        <w:footnoteReference w:id="3"/>
      </w:r>
      <w:r w:rsidRPr="001C2E72">
        <w:t>, a najmä na jeho článok 70,</w:t>
      </w:r>
    </w:p>
    <w:p w:rsidR="0079038B" w:rsidRPr="001C2E72" w:rsidRDefault="00B479B8">
      <w:pPr>
        <w:pStyle w:val="NormalHanging12a"/>
      </w:pPr>
      <w:r w:rsidRPr="001C2E72">
        <w:t>–</w:t>
      </w:r>
      <w:r w:rsidRPr="001C2E72">
        <w:tab/>
        <w:t>so zreteľom na nariadenie Európskeho parlamentu a Rady (ES) č. 851/2004 z 21. apríla 2004, ktorým sa zriaďuje Európske centrum pre prevenciu a kontrolu chorôb</w:t>
      </w:r>
      <w:r w:rsidRPr="001C2E72">
        <w:rPr>
          <w:rStyle w:val="FootnoteReference"/>
        </w:rPr>
        <w:footnoteReference w:id="4"/>
      </w:r>
      <w:r w:rsidRPr="001C2E72">
        <w:t xml:space="preserve">, a najmä </w:t>
      </w:r>
      <w:r w:rsidRPr="001C2E72">
        <w:lastRenderedPageBreak/>
        <w:t>na jeho článok 23,</w:t>
      </w:r>
    </w:p>
    <w:p w:rsidR="0079038B" w:rsidRPr="001C2E72" w:rsidRDefault="00B479B8">
      <w:pPr>
        <w:pStyle w:val="NormalHanging12a"/>
      </w:pPr>
      <w:r w:rsidRPr="001C2E72">
        <w:t>–</w:t>
      </w:r>
      <w:r w:rsidRPr="001C2E72">
        <w:tab/>
        <w:t xml:space="preserve">so zreteľom na delegované nariadenie Komisie (EÚ) 2019/715 z 18. decembra 2018 o rámcovom nariadení o rozpočtových pravidlách pre subjekty zriadené podľa ZFEÚ a Zmluvy o </w:t>
      </w:r>
      <w:proofErr w:type="spellStart"/>
      <w:r w:rsidRPr="001C2E72">
        <w:t>Euratome</w:t>
      </w:r>
      <w:proofErr w:type="spellEnd"/>
      <w:r w:rsidRPr="001C2E72">
        <w:t xml:space="preserve"> a uvedené v článku 70 nariadenia Európskeho parlamentu a Rady (EÚ, </w:t>
      </w:r>
      <w:proofErr w:type="spellStart"/>
      <w:r w:rsidRPr="001C2E72">
        <w:t>Euratom</w:t>
      </w:r>
      <w:proofErr w:type="spellEnd"/>
      <w:r w:rsidRPr="001C2E72">
        <w:t>) 2018/1046</w:t>
      </w:r>
      <w:r w:rsidRPr="001C2E72">
        <w:rPr>
          <w:rStyle w:val="FootnoteReference"/>
        </w:rPr>
        <w:footnoteReference w:id="5"/>
      </w:r>
      <w:r w:rsidRPr="001C2E72">
        <w:t>, a najmä na jeho článok 105,</w:t>
      </w:r>
    </w:p>
    <w:p w:rsidR="0079038B" w:rsidRPr="001C2E72" w:rsidRDefault="00B479B8">
      <w:pPr>
        <w:pStyle w:val="NormalHanging12a"/>
      </w:pPr>
      <w:r w:rsidRPr="001C2E72">
        <w:t>–</w:t>
      </w:r>
      <w:r w:rsidRPr="001C2E72">
        <w:tab/>
        <w:t>so zreteľom na článok 100 a prílohu V k rokovaciemu poriadku,</w:t>
      </w:r>
    </w:p>
    <w:p w:rsidR="0079038B" w:rsidRPr="001C2E72" w:rsidRDefault="00B479B8">
      <w:pPr>
        <w:pStyle w:val="NormalHanging12a"/>
      </w:pPr>
      <w:r w:rsidRPr="001C2E72">
        <w:t>–</w:t>
      </w:r>
      <w:r w:rsidRPr="001C2E72">
        <w:tab/>
        <w:t>so zreteľom na stanovisko Výboru pre životné prostredie, verejné zdravie a bezpečnosť potravín,</w:t>
      </w:r>
    </w:p>
    <w:p w:rsidR="0079038B" w:rsidRPr="001C2E72" w:rsidRDefault="00B479B8">
      <w:pPr>
        <w:pStyle w:val="NormalHanging12a"/>
      </w:pPr>
      <w:r w:rsidRPr="001C2E72">
        <w:t>–</w:t>
      </w:r>
      <w:r w:rsidRPr="001C2E72">
        <w:tab/>
        <w:t>so zreteľom na správu Výboru pre kontrolu rozpočtu (A9-0109/2024),</w:t>
      </w:r>
    </w:p>
    <w:p w:rsidR="0079038B" w:rsidRPr="001C2E72" w:rsidRDefault="00B479B8">
      <w:pPr>
        <w:pStyle w:val="NormalHanging12a"/>
      </w:pPr>
      <w:r w:rsidRPr="001C2E72">
        <w:t>1.</w:t>
      </w:r>
      <w:r w:rsidRPr="001C2E72">
        <w:tab/>
        <w:t>udeľuje absolutórium riaditeľke Európskeho centra pre prevenciu a kontrolu chorôb za plnenie rozpočtu centra za rozpočtový rok 2022;</w:t>
      </w:r>
    </w:p>
    <w:p w:rsidR="0079038B" w:rsidRPr="001C2E72" w:rsidRDefault="00B479B8">
      <w:pPr>
        <w:pStyle w:val="NormalHanging12a"/>
      </w:pPr>
      <w:r w:rsidRPr="001C2E72">
        <w:t>2.</w:t>
      </w:r>
      <w:r w:rsidRPr="001C2E72">
        <w:tab/>
        <w:t>uvádza svoje poznámky v priloženom uznesení;</w:t>
      </w:r>
    </w:p>
    <w:p w:rsidR="0079038B" w:rsidRPr="001C2E72" w:rsidRDefault="00B479B8">
      <w:pPr>
        <w:pStyle w:val="NormalHanging12a"/>
      </w:pPr>
      <w:r w:rsidRPr="001C2E72">
        <w:t>3.</w:t>
      </w:r>
      <w:r w:rsidRPr="001C2E72">
        <w:tab/>
        <w:t>poveruje svoju predsedníčku, aby postúpila toto rozhodnutie a uznesenie, ktoré je jeho neoddeliteľnou súčasťou, riaditeľke Európskeho centra pre prevenciu a kontrolu chorôb, Rade, Komisii a Dvoru audítorov a aby zabezpečila ich uverejnenie v </w:t>
      </w:r>
      <w:r w:rsidRPr="001C2E72">
        <w:rPr>
          <w:i/>
        </w:rPr>
        <w:t>Úradnom vestníku Európskej únie</w:t>
      </w:r>
      <w:r w:rsidRPr="001C2E72">
        <w:t xml:space="preserve"> (v sérii L).</w:t>
      </w:r>
    </w:p>
    <w:p w:rsidR="0079038B" w:rsidRPr="001C2E72" w:rsidRDefault="0079038B"/>
    <w:p w:rsidR="0079038B" w:rsidRPr="001C2E72" w:rsidRDefault="0079038B">
      <w:pPr>
        <w:widowControl/>
        <w:rPr>
          <w:rFonts w:ascii="Arial" w:hAnsi="Arial" w:cs="Arial"/>
          <w:b/>
        </w:rPr>
        <w:sectPr w:rsidR="0079038B" w:rsidRPr="001C2E72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:rsidR="0079038B" w:rsidRPr="001C2E72" w:rsidRDefault="00B479B8">
      <w:pPr>
        <w:pStyle w:val="NormalBold"/>
      </w:pPr>
      <w:r w:rsidRPr="001C2E72">
        <w:lastRenderedPageBreak/>
        <w:t>2. Rozhodnutie Európskeho parlamentu z 11. apríla 2024 o účtovnej závierke Európskeho centra pre prevenciu a kontrolu chorôb za rozpočtový rok 2022 (2023/2147(DEC))</w:t>
      </w:r>
    </w:p>
    <w:p w:rsidR="0079038B" w:rsidRPr="001C2E72" w:rsidRDefault="00B479B8">
      <w:pPr>
        <w:pStyle w:val="EPComma"/>
      </w:pPr>
      <w:r w:rsidRPr="001C2E72">
        <w:rPr>
          <w:i/>
          <w:iCs/>
        </w:rPr>
        <w:t>Európsky parlament</w:t>
      </w:r>
      <w:r w:rsidRPr="001C2E72">
        <w:t>,</w:t>
      </w:r>
    </w:p>
    <w:p w:rsidR="0079038B" w:rsidRPr="001C2E72" w:rsidRDefault="00B479B8">
      <w:pPr>
        <w:pStyle w:val="NormalHanging12a"/>
      </w:pPr>
      <w:r w:rsidRPr="001C2E72">
        <w:t>–</w:t>
      </w:r>
      <w:r w:rsidRPr="001C2E72">
        <w:tab/>
        <w:t>so zreteľom na konečnú ročnú účtovnú závierku Európskeho centra pre prevenciu a kontrolu chorôb za rozpočtový rok 2022,</w:t>
      </w:r>
    </w:p>
    <w:p w:rsidR="0079038B" w:rsidRPr="001C2E72" w:rsidRDefault="00B479B8">
      <w:pPr>
        <w:pStyle w:val="NormalHanging12a"/>
      </w:pPr>
      <w:r w:rsidRPr="001C2E72">
        <w:t>–</w:t>
      </w:r>
      <w:r w:rsidRPr="001C2E72">
        <w:tab/>
        <w:t>so zreteľom na výročnú správu Dvora audítorov o agentúrach EÚ za rozpočtový rok 2022 spolu s odpoveďami agentúr</w:t>
      </w:r>
      <w:r w:rsidRPr="001C2E72">
        <w:rPr>
          <w:rStyle w:val="FootnoteReference"/>
        </w:rPr>
        <w:footnoteReference w:id="6"/>
      </w:r>
      <w:r w:rsidRPr="001C2E72">
        <w:t>,</w:t>
      </w:r>
    </w:p>
    <w:p w:rsidR="0079038B" w:rsidRPr="001C2E72" w:rsidRDefault="00B479B8">
      <w:pPr>
        <w:pStyle w:val="NormalHanging12a"/>
      </w:pPr>
      <w:r w:rsidRPr="001C2E72">
        <w:t>–</w:t>
      </w:r>
      <w:r w:rsidRPr="001C2E72">
        <w:tab/>
        <w:t>so zreteľom na vyhlásenie o vierohodnosti</w:t>
      </w:r>
      <w:r w:rsidRPr="001C2E72">
        <w:rPr>
          <w:rStyle w:val="FootnoteReference"/>
        </w:rPr>
        <w:footnoteReference w:id="7"/>
      </w:r>
      <w:r w:rsidRPr="001C2E72">
        <w:t xml:space="preserve"> vedenia účtov a zákonnosti a správnosti príslušných operácií, ktoré poskytol Dvor audítorov za rozpočtový rok 2022 v súlade s článkom 287 Zmluvy o fungovaní Európskej únie,</w:t>
      </w:r>
    </w:p>
    <w:p w:rsidR="0079038B" w:rsidRPr="001C2E72" w:rsidRDefault="00B479B8">
      <w:pPr>
        <w:pStyle w:val="NormalHanging12a"/>
      </w:pPr>
      <w:r w:rsidRPr="001C2E72">
        <w:t>–</w:t>
      </w:r>
      <w:r w:rsidRPr="001C2E72">
        <w:tab/>
        <w:t>so zreteľom na odporúčanie Rady z 22. februára 2024 o udelení absolutória centru za plnenie rozpočtu za rozpočtový rok 2022 (06180/2024 – C9</w:t>
      </w:r>
      <w:r w:rsidRPr="001C2E72">
        <w:noBreakHyphen/>
        <w:t>0085/2024),</w:t>
      </w:r>
    </w:p>
    <w:p w:rsidR="0079038B" w:rsidRPr="001C2E72" w:rsidRDefault="00B479B8">
      <w:pPr>
        <w:pStyle w:val="NormalHanging12a"/>
      </w:pPr>
      <w:r w:rsidRPr="001C2E72">
        <w:t>–</w:t>
      </w:r>
      <w:r w:rsidRPr="001C2E72">
        <w:tab/>
        <w:t>so zreteľom na článok 319 Zmluvy o fungovaní Európskej únie,</w:t>
      </w:r>
    </w:p>
    <w:p w:rsidR="0079038B" w:rsidRPr="001C2E72" w:rsidRDefault="00B479B8">
      <w:pPr>
        <w:pStyle w:val="NormalHanging12a"/>
      </w:pPr>
      <w:r w:rsidRPr="001C2E72">
        <w:t>–</w:t>
      </w:r>
      <w:r w:rsidRPr="001C2E72">
        <w:tab/>
        <w:t xml:space="preserve">so zreteľom na nariadenie Európskeho parlamentu a Rady (EÚ, </w:t>
      </w:r>
      <w:proofErr w:type="spellStart"/>
      <w:r w:rsidRPr="001C2E72">
        <w:t>Euratom</w:t>
      </w:r>
      <w:proofErr w:type="spellEnd"/>
      <w:r w:rsidRPr="001C2E72">
        <w:t xml:space="preserve">) 2018/1046 z 18. júla 2018 o rozpočtových pravidlách, ktoré sa vzťahujú na všeobecný rozpočet Únie, o zmene nariadení (EÚ) č. 1296/2013, (EÚ) č. 1301/2013, (EÚ) č. 1303/2013, (EÚ) č. 1304/2013, (EÚ) č. 1309/2013, (EÚ) č. 1316/2013, (EÚ) č. 223/2014, (EÚ) č. 283/2014 a rozhodnutia č. 541/2014/EÚ a o zrušení nariadenia (EÚ, </w:t>
      </w:r>
      <w:proofErr w:type="spellStart"/>
      <w:r w:rsidRPr="001C2E72">
        <w:t>Euratom</w:t>
      </w:r>
      <w:proofErr w:type="spellEnd"/>
      <w:r w:rsidRPr="001C2E72">
        <w:t>) č. 966/2012</w:t>
      </w:r>
      <w:r w:rsidRPr="001C2E72">
        <w:rPr>
          <w:rStyle w:val="FootnoteReference"/>
        </w:rPr>
        <w:footnoteReference w:id="8"/>
      </w:r>
      <w:r w:rsidRPr="001C2E72">
        <w:t>, a najmä na jeho článok 70,</w:t>
      </w:r>
    </w:p>
    <w:p w:rsidR="0079038B" w:rsidRPr="001C2E72" w:rsidRDefault="00B479B8">
      <w:pPr>
        <w:pStyle w:val="NormalHanging12a"/>
      </w:pPr>
      <w:r w:rsidRPr="001C2E72">
        <w:t>–</w:t>
      </w:r>
      <w:r w:rsidRPr="001C2E72">
        <w:tab/>
        <w:t>so zreteľom na nariadenie Európskeho parlamentu a Rady (ES) č. 851/2004 z 21. apríla 2004, ktorým sa zriaďuje Európske centrum pre prevenciu a kontrolu chorôb</w:t>
      </w:r>
      <w:r w:rsidRPr="001C2E72">
        <w:rPr>
          <w:rStyle w:val="FootnoteReference"/>
        </w:rPr>
        <w:footnoteReference w:id="9"/>
      </w:r>
      <w:r w:rsidRPr="001C2E72">
        <w:t>, a najmä na jeho článok 23,</w:t>
      </w:r>
    </w:p>
    <w:p w:rsidR="0079038B" w:rsidRPr="001C2E72" w:rsidRDefault="00B479B8">
      <w:pPr>
        <w:pStyle w:val="NormalHanging12a"/>
      </w:pPr>
      <w:r w:rsidRPr="001C2E72">
        <w:t>–</w:t>
      </w:r>
      <w:r w:rsidRPr="001C2E72">
        <w:tab/>
        <w:t xml:space="preserve">so zreteľom na delegované nariadenie Komisie (EÚ) 2019/715 z 18. decembra 2018 o rámcovom nariadení o rozpočtových pravidlách pre subjekty zriadené podľa ZFEÚ a Zmluvy o </w:t>
      </w:r>
      <w:proofErr w:type="spellStart"/>
      <w:r w:rsidRPr="001C2E72">
        <w:t>Euratome</w:t>
      </w:r>
      <w:proofErr w:type="spellEnd"/>
      <w:r w:rsidRPr="001C2E72">
        <w:t xml:space="preserve"> a uvedené v článku 70 nariadenia Európskeho parlamentu a Rady (EÚ, </w:t>
      </w:r>
      <w:proofErr w:type="spellStart"/>
      <w:r w:rsidRPr="001C2E72">
        <w:t>Euratom</w:t>
      </w:r>
      <w:proofErr w:type="spellEnd"/>
      <w:r w:rsidRPr="001C2E72">
        <w:t>) 2018/1046</w:t>
      </w:r>
      <w:r w:rsidRPr="001C2E72">
        <w:rPr>
          <w:rStyle w:val="FootnoteReference"/>
        </w:rPr>
        <w:footnoteReference w:id="10"/>
      </w:r>
      <w:r w:rsidRPr="001C2E72">
        <w:t>, a najmä na jeho článok 105,</w:t>
      </w:r>
    </w:p>
    <w:p w:rsidR="0079038B" w:rsidRPr="001C2E72" w:rsidRDefault="00B479B8">
      <w:pPr>
        <w:pStyle w:val="NormalHanging12a"/>
      </w:pPr>
      <w:r w:rsidRPr="001C2E72">
        <w:t>–</w:t>
      </w:r>
      <w:r w:rsidRPr="001C2E72">
        <w:tab/>
        <w:t>so zreteľom na článok 100 a prílohu V k rokovaciemu poriadku,</w:t>
      </w:r>
    </w:p>
    <w:p w:rsidR="0079038B" w:rsidRPr="001C2E72" w:rsidRDefault="00B479B8">
      <w:pPr>
        <w:pStyle w:val="NormalHanging12a"/>
      </w:pPr>
      <w:r w:rsidRPr="001C2E72">
        <w:t>–</w:t>
      </w:r>
      <w:r w:rsidRPr="001C2E72">
        <w:tab/>
        <w:t>so zreteľom na stanovisko Výboru pre životné prostredie, verejné zdravie a bezpečnosť potravín,</w:t>
      </w:r>
    </w:p>
    <w:p w:rsidR="0079038B" w:rsidRPr="001C2E72" w:rsidRDefault="00B479B8">
      <w:pPr>
        <w:pStyle w:val="NormalHanging12a"/>
      </w:pPr>
      <w:r w:rsidRPr="001C2E72">
        <w:t>–</w:t>
      </w:r>
      <w:r w:rsidRPr="001C2E72">
        <w:tab/>
        <w:t>so zreteľom na správu Výboru pre kontrolu rozpočtu (A9-0109/2024),</w:t>
      </w:r>
    </w:p>
    <w:p w:rsidR="0079038B" w:rsidRPr="001C2E72" w:rsidRDefault="00B479B8">
      <w:pPr>
        <w:pStyle w:val="NormalHanging12a"/>
      </w:pPr>
      <w:r w:rsidRPr="001C2E72">
        <w:t>1.</w:t>
      </w:r>
      <w:r w:rsidRPr="001C2E72">
        <w:tab/>
        <w:t>schvaľuje účtovnú závierku Európskeho centra pre prevenciu a kontrolu chorôb za rozpočtový rok 2022;</w:t>
      </w:r>
    </w:p>
    <w:p w:rsidR="0079038B" w:rsidRPr="001C2E72" w:rsidRDefault="00B479B8">
      <w:pPr>
        <w:pStyle w:val="NormalHanging12a"/>
      </w:pPr>
      <w:r w:rsidRPr="001C2E72">
        <w:lastRenderedPageBreak/>
        <w:t>2.</w:t>
      </w:r>
      <w:r w:rsidRPr="001C2E72">
        <w:tab/>
        <w:t>poveruje svoju predsedníčku, aby postúpila toto rozhodnutie riaditeľke Európskeho centra pre prevenciu a kontrolu chorôb, Rade, Komisii a Dvoru audítorov a aby zabezpečila jeho uverejnenie v </w:t>
      </w:r>
      <w:r w:rsidRPr="001C2E72">
        <w:rPr>
          <w:i/>
        </w:rPr>
        <w:t>Úradnom vestníku Európskej únie</w:t>
      </w:r>
      <w:r w:rsidRPr="001C2E72">
        <w:t xml:space="preserve"> (v sérii L).</w:t>
      </w:r>
    </w:p>
    <w:p w:rsidR="0079038B" w:rsidRPr="001C2E72" w:rsidRDefault="0079038B"/>
    <w:p w:rsidR="0079038B" w:rsidRPr="001C2E72" w:rsidRDefault="0079038B">
      <w:pPr>
        <w:widowControl/>
        <w:rPr>
          <w:rFonts w:ascii="Arial" w:hAnsi="Arial" w:cs="Arial"/>
          <w:b/>
        </w:rPr>
        <w:sectPr w:rsidR="0079038B" w:rsidRPr="001C2E72"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:rsidR="0079038B" w:rsidRPr="001C2E72" w:rsidRDefault="00B479B8">
      <w:pPr>
        <w:pStyle w:val="NormalBold"/>
      </w:pPr>
      <w:r w:rsidRPr="001C2E72">
        <w:lastRenderedPageBreak/>
        <w:t>3. Uznesenie Európskeho parlamentu z 11. apríla 2024 s poznámkami, ktoré je neoddeliteľnou súčasťou rozhodnutia o absolutóriu za plnenie rozpočtu Európskeho centra pre prevenciu a kontrolu chorôb za rozpočtový rok 2022 (2023/2147(DEC))</w:t>
      </w:r>
    </w:p>
    <w:p w:rsidR="0079038B" w:rsidRPr="001C2E72" w:rsidRDefault="00B479B8">
      <w:pPr>
        <w:pStyle w:val="EPComma"/>
      </w:pPr>
      <w:r w:rsidRPr="001C2E72">
        <w:rPr>
          <w:i/>
          <w:iCs/>
        </w:rPr>
        <w:t>Európsky parlament</w:t>
      </w:r>
      <w:r w:rsidRPr="001C2E72">
        <w:t>,</w:t>
      </w:r>
    </w:p>
    <w:p w:rsidR="0079038B" w:rsidRPr="001C2E72" w:rsidRDefault="00B479B8">
      <w:pPr>
        <w:pStyle w:val="NormalHanging12a"/>
      </w:pPr>
      <w:r w:rsidRPr="001C2E72">
        <w:t>–</w:t>
      </w:r>
      <w:r w:rsidRPr="001C2E72">
        <w:tab/>
        <w:t>so zreteľom na svoje rozhodnutie o absolutóriu za plnenie rozpočtu Európskeho centra pre prevenciu a kontrolu chorôb za rozpočtový rok 2022,</w:t>
      </w:r>
    </w:p>
    <w:p w:rsidR="0079038B" w:rsidRPr="001C2E72" w:rsidRDefault="00B479B8">
      <w:pPr>
        <w:pStyle w:val="NormalHanging12a"/>
      </w:pPr>
      <w:r w:rsidRPr="001C2E72">
        <w:t>–</w:t>
      </w:r>
      <w:r w:rsidRPr="001C2E72">
        <w:tab/>
        <w:t>so zreteľom na článok 100 a prílohu V k rokovaciemu poriadku,</w:t>
      </w:r>
    </w:p>
    <w:p w:rsidR="0079038B" w:rsidRPr="001C2E72" w:rsidRDefault="00B479B8">
      <w:pPr>
        <w:pStyle w:val="NormalHanging12a"/>
      </w:pPr>
      <w:r w:rsidRPr="001C2E72">
        <w:t>–</w:t>
      </w:r>
      <w:r w:rsidRPr="001C2E72">
        <w:tab/>
        <w:t>so zreteľom na stanovisko Výboru pre životné prostredie, verejné zdravie a bezpečnosť potravín,</w:t>
      </w:r>
    </w:p>
    <w:p w:rsidR="0079038B" w:rsidRPr="001C2E72" w:rsidRDefault="00B479B8">
      <w:pPr>
        <w:pStyle w:val="NormalHanging12a"/>
      </w:pPr>
      <w:r w:rsidRPr="001C2E72">
        <w:t>–</w:t>
      </w:r>
      <w:r w:rsidRPr="001C2E72">
        <w:tab/>
        <w:t>so zreteľom na správu Výboru pre kontrolu rozpočtu (A9-0109/2024),</w:t>
      </w:r>
    </w:p>
    <w:p w:rsidR="0079038B" w:rsidRPr="001C2E72" w:rsidRDefault="00B479B8">
      <w:pPr>
        <w:widowControl/>
        <w:spacing w:after="240"/>
        <w:ind w:left="567" w:hanging="567"/>
        <w:rPr>
          <w:szCs w:val="24"/>
        </w:rPr>
      </w:pPr>
      <w:r w:rsidRPr="001C2E72">
        <w:t>A.</w:t>
      </w:r>
      <w:r w:rsidRPr="001C2E72">
        <w:tab/>
        <w:t>keďže podľa výkazu príjmov a výdavkov</w:t>
      </w:r>
      <w:r w:rsidRPr="001C2E72">
        <w:rPr>
          <w:rStyle w:val="FootnoteReference"/>
          <w:szCs w:val="24"/>
        </w:rPr>
        <w:footnoteReference w:id="11"/>
      </w:r>
      <w:r w:rsidRPr="001C2E72">
        <w:t xml:space="preserve"> predstavoval konečný rozpočet Európskeho centra pre prevenciu a kontrolu chorôb</w:t>
      </w:r>
      <w:r w:rsidRPr="001C2E72">
        <w:rPr>
          <w:i/>
        </w:rPr>
        <w:t xml:space="preserve"> </w:t>
      </w:r>
      <w:r w:rsidRPr="001C2E72">
        <w:t>(ďalej len „centrum“) na rozpočtový rok 2022 sumu 99 872 000 EUR, čo je v porovnaní s rokom 2021 pokles o 40,59 % z dôvodu zmien v grantoch Úradu pre pripravenosť a reakcie na núdzové zdravotné situácie (HERA); keďže rozpočet centra pochádza najmä z rozpočtu Únie;</w:t>
      </w:r>
    </w:p>
    <w:p w:rsidR="0079038B" w:rsidRPr="001C2E72" w:rsidRDefault="00B479B8">
      <w:pPr>
        <w:widowControl/>
        <w:spacing w:after="240"/>
        <w:ind w:left="567" w:hanging="567"/>
        <w:rPr>
          <w:szCs w:val="24"/>
        </w:rPr>
      </w:pPr>
      <w:r w:rsidRPr="001C2E72">
        <w:t>B.</w:t>
      </w:r>
      <w:r w:rsidRPr="001C2E72">
        <w:tab/>
        <w:t xml:space="preserve">keďže Dvor audítorov vo svojej správe o overení ročnej účtovnej závierky centra za rozpočtový rok 2022 (ďalej len „správa Dvora audítorov“) vyhlásil, že získal primeranú istotu o tom, že ročná účtovná závierka centra je spoľahlivá a že príslušné operácie, pokiaľ ide o príjmy, sú zákonné a správne; keďže Dvor audítorov vykonal audit štyroch dohôd o grante v celkovej hodnote 7,9 milióna EUR a zistil, že v troch z nich bola DPH v hodnote 0,6 milióna EUR (8,1 %) zahrnutá medzi oprávnené náklady; keďže prijímatelia vykonávali činnosti ako orgány verejnej moci a DPH preto nie je podľa článku 186 ods. 4 druhého </w:t>
      </w:r>
      <w:proofErr w:type="spellStart"/>
      <w:r w:rsidRPr="001C2E72">
        <w:t>pododseku</w:t>
      </w:r>
      <w:proofErr w:type="spellEnd"/>
      <w:r w:rsidRPr="001C2E72">
        <w:t xml:space="preserve"> písm. c) nariadenia o rozpočtových pravidlách zahrnutá medzi oprávnené náklady; keďže celková suma výdavkov, ktoré nie sú v súlade s predpismi sa na základe sadzby a výšky DPH, ktoré sa zistili vo vyššie uvedenej vzorke, odhaduje na 2,8 % celkových platobných rozpočtových prostriedkov, ktoré boli v roku 2022 k dispozícii, a teda presahuje prah významnosti stanovený pre audit, čo viedlo k vydaniu výroku s výhradou k zákonnosti a správnosti platieb súvisiacich s účtovnou závierkou centra; keďže s výnimkou vyššie uvedenej záležitosti dospel Dvor audítorov k záveru, že príjmy a platby súvisiace s účtovnou závierkou centra za rozpočtový rok končiaci sa 31. decembra 2022 sú zo všetkých významných hľadísk zákonné a správne;</w:t>
      </w:r>
    </w:p>
    <w:p w:rsidR="0079038B" w:rsidRPr="001C2E72" w:rsidRDefault="00B479B8">
      <w:pPr>
        <w:widowControl/>
        <w:spacing w:after="240"/>
        <w:ind w:left="567" w:hanging="567"/>
        <w:rPr>
          <w:szCs w:val="24"/>
        </w:rPr>
      </w:pPr>
      <w:r w:rsidRPr="001C2E72">
        <w:t>C.</w:t>
      </w:r>
      <w:r w:rsidRPr="001C2E72">
        <w:tab/>
        <w:t>keďže pokiaľ ide o oblasť obstarávania centra, v roku 2022 neboli hlásené žiadne problémy, ktoré by si vyžadovali nápravné opatrenia, neprebiehajú žiadne nápravné opatrenia z auditov a posúdení z predchádzajúcich rokov a žiadne nápravné opatrenia neostali nevyriešené;</w:t>
      </w:r>
    </w:p>
    <w:p w:rsidR="0079038B" w:rsidRPr="001C2E72" w:rsidRDefault="00B479B8">
      <w:pPr>
        <w:pStyle w:val="ListParagraph"/>
        <w:spacing w:after="240"/>
        <w:ind w:left="567" w:hanging="567"/>
        <w:contextualSpacing w:val="0"/>
        <w:jc w:val="left"/>
        <w:rPr>
          <w:rFonts w:eastAsia="Times New Roman"/>
          <w:b/>
          <w:i/>
        </w:rPr>
      </w:pPr>
      <w:r w:rsidRPr="001C2E72">
        <w:rPr>
          <w:b/>
          <w:i/>
        </w:rPr>
        <w:t>Rozpočtové a finančné riadenie</w:t>
      </w:r>
    </w:p>
    <w:p w:rsidR="0079038B" w:rsidRPr="001C2E72" w:rsidRDefault="00B479B8">
      <w:pPr>
        <w:pStyle w:val="ListParagraph"/>
        <w:spacing w:after="240"/>
        <w:ind w:left="567" w:hanging="567"/>
        <w:contextualSpacing w:val="0"/>
        <w:jc w:val="left"/>
      </w:pPr>
      <w:r w:rsidRPr="001C2E72">
        <w:t>1.</w:t>
      </w:r>
      <w:r w:rsidRPr="001C2E72">
        <w:tab/>
        <w:t xml:space="preserve">konštatuje s uspokojením, že úsilie o monitorovanie rozpočtu v priebehu rozpočtového roka 2022 prinieslo mieru plnenia viazaných rozpočtových prostriedkov v bežnom roku </w:t>
      </w:r>
      <w:r w:rsidRPr="001C2E72">
        <w:lastRenderedPageBreak/>
        <w:t>na úrovni 98,86 %, čo v porovnaní s rokom 2021 predstavuje zvýšenie o 0,49 %; konštatuje, že miera plnenia platobných rozpočtových prostriedkov v bežnom roku bola 73,61 %, čo v porovnaní s predchádzajúcim rokom predstavuje zvýšenie o 9,53 %;</w:t>
      </w:r>
    </w:p>
    <w:p w:rsidR="0079038B" w:rsidRPr="001C2E72" w:rsidRDefault="00B479B8">
      <w:pPr>
        <w:pStyle w:val="NormalHanging12a"/>
      </w:pPr>
      <w:r w:rsidRPr="001C2E72">
        <w:t>2.</w:t>
      </w:r>
      <w:r w:rsidRPr="001C2E72">
        <w:tab/>
        <w:t>vyzýva Komisiu, aby centru poskytla potrebné zdroje na plnenie cieľov stratégie na roky 2021 – 2027 a na vykonávanie prepracovaného mandátu centra v súlade s nariadením (EÚ) 2022/2370</w:t>
      </w:r>
      <w:r w:rsidRPr="001C2E72">
        <w:rPr>
          <w:rStyle w:val="FootnoteReference"/>
        </w:rPr>
        <w:footnoteReference w:id="12"/>
      </w:r>
      <w:r w:rsidRPr="001C2E72">
        <w:t>;</w:t>
      </w:r>
    </w:p>
    <w:p w:rsidR="0079038B" w:rsidRPr="001C2E72" w:rsidRDefault="00B479B8">
      <w:pPr>
        <w:widowControl/>
        <w:spacing w:after="240"/>
        <w:ind w:left="567" w:hanging="567"/>
        <w:rPr>
          <w:i/>
          <w:szCs w:val="24"/>
        </w:rPr>
      </w:pPr>
      <w:r w:rsidRPr="001C2E72">
        <w:rPr>
          <w:b/>
          <w:i/>
        </w:rPr>
        <w:t>Výkonnosť</w:t>
      </w:r>
    </w:p>
    <w:p w:rsidR="0079038B" w:rsidRPr="001C2E72" w:rsidRDefault="00B479B8">
      <w:pPr>
        <w:pStyle w:val="NormalHanging12a"/>
      </w:pPr>
      <w:r w:rsidRPr="001C2E72">
        <w:t>3.</w:t>
      </w:r>
      <w:r w:rsidRPr="001C2E72">
        <w:tab/>
        <w:t>pripomína, že poslaním centra je identifikovať, posudzovať a oznamovať súčasné a vznikajúce hrozby pre ľudské zdravie, ktoré predstavujú infekčné choroby, a že centrum pôsobí v nasledujúcich šiestich oblastiach: konkrétne v oblasti dohľadu, podpory pripravenosti a reakcie na epidémie, vedeckého poradenstva, mikrobiologického dohľadu, odbornej prípravy a komunikácie v oblasti verejného zdravia;</w:t>
      </w:r>
    </w:p>
    <w:p w:rsidR="0079038B" w:rsidRPr="001C2E72" w:rsidRDefault="00B479B8">
      <w:pPr>
        <w:pStyle w:val="NormalHanging12a"/>
      </w:pPr>
      <w:r w:rsidRPr="001C2E72">
        <w:t>4.</w:t>
      </w:r>
      <w:r w:rsidRPr="001C2E72">
        <w:tab/>
        <w:t>konštatuje, že centrum splnilo 89 % výstupov plánovaných v jednotnom programovom dokumente na roky 2022 – 2024; konštatuje, že 8 % plánovaných výstupov bolo odložených, zatiaľ čo 3 % boli pred koncom roka odložené alebo zrušené; berie na vedomie, že väčšina výstupov, ktoré boli odložené alebo oneskorené, závisela od prijatia a uverejnenia zrevidovaného mandátu centra, k čomu došlo na konci roka 2022; vyzýva centrum, aby zanalyzovalo odložené výstupy a podalo orgánu udeľujúcemu absolutórium správu o svojom pláne ich realizácie;</w:t>
      </w:r>
    </w:p>
    <w:p w:rsidR="0079038B" w:rsidRPr="001C2E72" w:rsidRDefault="00B479B8">
      <w:pPr>
        <w:pStyle w:val="NormalHanging12a"/>
      </w:pPr>
      <w:r w:rsidRPr="001C2E72">
        <w:t>5.</w:t>
      </w:r>
      <w:r w:rsidRPr="001C2E72">
        <w:tab/>
        <w:t>konštatuje, že centrum v roku 2022 v reakcii na pokračujúcu pandémiu ochorenia COVID-19 už tretí rok po sebe uplatňovalo plán núdzovej situácie v oblasti verejného zdravia; berie na vedomie, že v júni sa stupeň závažnosti núdzovej situácie postupne znížil z úrovne 2 (akútna fáza) na úroveň 1 (udržiavacia fáza); zastáva názor, že centrum konalo rýchlo a efektívne počas celého obdobia pandémie; domnieva sa, že centrum by mohlo zohrávať významnejšiu úlohu pri formovaní európskeho programu reakcie na krízu do budúcnosti;</w:t>
      </w:r>
    </w:p>
    <w:p w:rsidR="0079038B" w:rsidRPr="001C2E72" w:rsidRDefault="00B479B8">
      <w:pPr>
        <w:widowControl/>
        <w:spacing w:after="240"/>
        <w:ind w:left="567" w:hanging="567"/>
        <w:rPr>
          <w:szCs w:val="24"/>
        </w:rPr>
      </w:pPr>
      <w:r w:rsidRPr="001C2E72">
        <w:t>6.</w:t>
      </w:r>
      <w:r w:rsidRPr="001C2E72">
        <w:tab/>
        <w:t>konštatuje, že po začiatku ruskej agresie na Ukrajine a príleve utečencov z krajiny centrum spolupracovalo s orgánmi piatich krajín susediacich s Ukrajinou a na základe identifikovaných potrieb zabezpečovalo v rámci svojej pôsobnosti technické a operačné činnosti; berie na vedomie, že v druhej polovici roka došlo k presunu zamerania od operačnej reakcie k strednodobejším/</w:t>
      </w:r>
      <w:proofErr w:type="spellStart"/>
      <w:r w:rsidRPr="001C2E72">
        <w:t>dlhodobejším</w:t>
      </w:r>
      <w:proofErr w:type="spellEnd"/>
      <w:r w:rsidRPr="001C2E72">
        <w:t xml:space="preserve"> a strategickejším opatreniam a experti centra boli vyslaní do Poľska a Rumunska na podporu vnútroštátnych orgánov a Svetovej zdravotníckej organizácie, ktoré poskytujú pomoc vysídlenému ukrajinskému obyvateľstvu;</w:t>
      </w:r>
    </w:p>
    <w:p w:rsidR="0079038B" w:rsidRPr="001C2E72" w:rsidRDefault="00B479B8">
      <w:pPr>
        <w:widowControl/>
        <w:spacing w:after="240"/>
        <w:ind w:left="567" w:hanging="567"/>
        <w:rPr>
          <w:szCs w:val="24"/>
        </w:rPr>
      </w:pPr>
      <w:r w:rsidRPr="001C2E72">
        <w:t>7.</w:t>
      </w:r>
      <w:r w:rsidRPr="001C2E72">
        <w:tab/>
        <w:t>konštatuje, že počas jari a leta 2022 centrum súčasne poskytovalo podporu pri troch núdzových situáciách v oblasti verejného zdravia, a to v prípade covidu-19, kiahní a hepatitídy neznámeho pôvodu u detí; konštatuje s uspokojením, že pre centrum to bola jedinečná skúsenosť, pri ktorej sa preverili limity jeho schopnosti vypracúvať posúdenia rizík a usmernenia v prípade viacnásobného ohrozenia zdravia;</w:t>
      </w:r>
    </w:p>
    <w:p w:rsidR="0079038B" w:rsidRPr="001C2E72" w:rsidRDefault="00B479B8">
      <w:pPr>
        <w:pStyle w:val="NormalHanging12a"/>
      </w:pPr>
      <w:r w:rsidRPr="001C2E72">
        <w:lastRenderedPageBreak/>
        <w:t>8.</w:t>
      </w:r>
      <w:r w:rsidRPr="001C2E72">
        <w:tab/>
        <w:t>víta spôsoby, akými centrum vykonáva posilnený mandát, ktorý nadobudol účinnosť v decembri 2022, ako aj transformačný program ASPIRE (predvídanie, podpora, príprava, informovanie, reakcia a posilnenie) vypracovaný na pomoc pri vykonávaní;</w:t>
      </w:r>
    </w:p>
    <w:p w:rsidR="0079038B" w:rsidRPr="001C2E72" w:rsidRDefault="00B479B8">
      <w:pPr>
        <w:pStyle w:val="NormalHanging12a"/>
        <w:widowControl/>
        <w:rPr>
          <w:b/>
          <w:i/>
        </w:rPr>
      </w:pPr>
      <w:r w:rsidRPr="001C2E72">
        <w:rPr>
          <w:b/>
          <w:i/>
        </w:rPr>
        <w:t>Efektívnosť a prínos</w:t>
      </w:r>
    </w:p>
    <w:p w:rsidR="0079038B" w:rsidRPr="001C2E72" w:rsidRDefault="00B479B8">
      <w:pPr>
        <w:pStyle w:val="NormalHanging12a"/>
      </w:pPr>
      <w:r w:rsidRPr="001C2E72">
        <w:t>9.</w:t>
      </w:r>
      <w:r w:rsidRPr="001C2E72">
        <w:tab/>
        <w:t>pripomína dôležitosť rozšírenia digitalizácie centra z hľadiska jeho vnútornej prevádzky a riadenia, ale aj na urýchlenie digitalizácie postupov; zdôrazňuje, že je potrebné, aby centrum bolo v tejto súvislosti naďalej aktívne, aby sa zabránilo digitálnej priepasti medzi agentúrami; upozorňuje však na potrebu prijať všetky potrebné bezpečnostné opatrenia, aby sa zabránilo akémukoľvek ohrozeniu online bezpečnosti spracúvaných informácií, a trvá na tom, že je potrebné zintenzívniť boj proti kybernetickým útokom alebo pokusom o infiltráciu, najmä tým, ktoré pochádzajú z Ruska alebo Číny;</w:t>
      </w:r>
    </w:p>
    <w:p w:rsidR="0079038B" w:rsidRPr="001C2E72" w:rsidRDefault="00B479B8">
      <w:pPr>
        <w:pStyle w:val="NormalHanging12a"/>
        <w:widowControl/>
      </w:pPr>
      <w:r w:rsidRPr="001C2E72">
        <w:t>10.</w:t>
      </w:r>
      <w:r w:rsidRPr="001C2E72">
        <w:tab/>
        <w:t>víta skutočnosť, že centrum pokračovalo v úsilí zvyšovať efektívnosť zavádzaním nových metodík vrátane automatizácie podporných a operačných procesov; konštatuje, že počas roka boli elektronickými pracovnými postupmi automatizované štyri nové administratívne procesy a zaviedlo sa aj nové nákladovo efektívne riešenie pre elektronickú platformu pracovných postupov, ktoré nahradilo K2; konštatuje, že z celkovej analýzy používania elektronických pracovných postupov vyplýva, že si ich osvojil značný počet používateľov a že odstránením zbytočných krokov sa výrazne skrátil čas spracovania a zároveň sa zabezpečilo dodržiavanie právnych predpisov;</w:t>
      </w:r>
    </w:p>
    <w:p w:rsidR="0079038B" w:rsidRPr="001C2E72" w:rsidRDefault="00B479B8">
      <w:pPr>
        <w:widowControl/>
        <w:spacing w:after="240"/>
        <w:ind w:left="567" w:hanging="567"/>
        <w:rPr>
          <w:b/>
          <w:i/>
          <w:szCs w:val="24"/>
        </w:rPr>
      </w:pPr>
      <w:r w:rsidRPr="001C2E72">
        <w:rPr>
          <w:b/>
          <w:i/>
        </w:rPr>
        <w:t>Personálna politika</w:t>
      </w:r>
    </w:p>
    <w:p w:rsidR="0079038B" w:rsidRPr="001C2E72" w:rsidRDefault="00B479B8">
      <w:pPr>
        <w:widowControl/>
        <w:spacing w:after="240"/>
        <w:ind w:left="567" w:hanging="567"/>
        <w:rPr>
          <w:szCs w:val="24"/>
        </w:rPr>
      </w:pPr>
      <w:r w:rsidRPr="001C2E72">
        <w:t>11.</w:t>
      </w:r>
      <w:r w:rsidRPr="001C2E72">
        <w:tab/>
        <w:t>konštatuje, že k 31. decembru 2022 plán pracovných miest zahŕňal 215 dočasných zamestnancov povolených v rozpočte Únie (v porovnaní s 208 povolenými pracovnými miestami v roku 2021); poznamenáva, že v roku 2022 centrum okrem toho zamestnávalo 112 zmluvných zamestnancov a päť vyslaných národných expertov;</w:t>
      </w:r>
    </w:p>
    <w:p w:rsidR="0079038B" w:rsidRPr="001C2E72" w:rsidRDefault="00B479B8">
      <w:pPr>
        <w:pStyle w:val="NormalHanging12a"/>
      </w:pPr>
      <w:r w:rsidRPr="001C2E72">
        <w:t>12.</w:t>
      </w:r>
      <w:r w:rsidRPr="001C2E72">
        <w:tab/>
        <w:t>so znepokojením berie na vedomie nedostatočnú rodovú rovnováhu medzi členmi vrcholového a stredného manažmentu centra, kde 4 zo 6 členov (66,67 %) sú muži; berie na vedomie rodovú štruktúru zamestnancov centra, kde z 331 zamestnancov je 198 žien (60 %) a 133 mužov (40 %); víta skutočnosť, že centrum práve prijíma chartu o rozmanitosti a inklúzii, ktorá bude platiť od štvrtého štvrťroka 2023; pripomína, že je dôležité zabezpečiť rodovú rovnováhu, a vyzýva centrum, aby tento aspekt zohľadnilo pri budúcom prijímaní zamestnancov a menovaní do vyššieho a stredného manažmentu; žiada Komisiu a členské štáty, aby zohľadnili význam zabezpečenia rodovej rovnováhy pri nomináciách svojich členov do správnej rady centra;</w:t>
      </w:r>
    </w:p>
    <w:p w:rsidR="0079038B" w:rsidRPr="001C2E72" w:rsidRDefault="00B479B8">
      <w:pPr>
        <w:pStyle w:val="NormalHanging12a"/>
      </w:pPr>
      <w:r w:rsidRPr="001C2E72">
        <w:t>13.</w:t>
      </w:r>
      <w:r w:rsidRPr="001C2E72">
        <w:tab/>
        <w:t>vyjadruje znepokojenie nad geografickou rovnováhou v rámci vyššieho a stredného manažmentu centra; žiada centrum, aby o tejto otázke informovalo orgán</w:t>
      </w:r>
      <w:r w:rsidRPr="001C2E72">
        <w:rPr>
          <w:b/>
          <w:i/>
        </w:rPr>
        <w:t xml:space="preserve"> </w:t>
      </w:r>
      <w:r w:rsidRPr="001C2E72">
        <w:t>udeľujúci absolutórium;</w:t>
      </w:r>
    </w:p>
    <w:p w:rsidR="0079038B" w:rsidRPr="001C2E72" w:rsidRDefault="00B479B8">
      <w:pPr>
        <w:pStyle w:val="NormalHanging12a"/>
      </w:pPr>
      <w:r w:rsidRPr="001C2E72">
        <w:t>14.</w:t>
      </w:r>
      <w:r w:rsidRPr="001C2E72">
        <w:tab/>
        <w:t xml:space="preserve">konštatuje, že prvý návrh „stratégie pre ľudí“ bol vypracovaný v roku 2022 a jeho cieľom je usmerniť modernizáciu a konsolidáciu služieb centra v oblasti riadenia ľudských zdrojov; ďalej konštatuje, že individuálne strategické projekty, ako je nástroj elektronického náboru pracovníkov a online program zaškolenia, boli dokončené v roku 2022, zatiaľ čo iné prebiehajú; vyzýva centrum, aby informovalo orgán udeľujúci absolutórium o akýchkoľvek zmenách v tejto súvislosti; berie na vedomie, že centrum ešte viac posilnilo podporu vzdelávania a rozvoja zamestnancov zvýšením príspevku na </w:t>
      </w:r>
      <w:r w:rsidRPr="001C2E72">
        <w:lastRenderedPageBreak/>
        <w:t xml:space="preserve">individuálnu odbornú prípravu a uľahčením prístupu zamestnancov k platformám elektronického vzdelávania (EU </w:t>
      </w:r>
      <w:proofErr w:type="spellStart"/>
      <w:r w:rsidRPr="001C2E72">
        <w:t>Learn</w:t>
      </w:r>
      <w:proofErr w:type="spellEnd"/>
      <w:r w:rsidRPr="001C2E72">
        <w:t xml:space="preserve">, LinkedIn </w:t>
      </w:r>
      <w:proofErr w:type="spellStart"/>
      <w:r w:rsidRPr="001C2E72">
        <w:t>Learning</w:t>
      </w:r>
      <w:proofErr w:type="spellEnd"/>
      <w:r w:rsidRPr="001C2E72">
        <w:t xml:space="preserve"> a virtuálna akadémia centra);</w:t>
      </w:r>
    </w:p>
    <w:p w:rsidR="0079038B" w:rsidRPr="001C2E72" w:rsidRDefault="00B479B8">
      <w:pPr>
        <w:pStyle w:val="NormalHanging12a"/>
      </w:pPr>
      <w:r w:rsidRPr="001C2E72">
        <w:t>15.</w:t>
      </w:r>
      <w:r w:rsidRPr="001C2E72">
        <w:tab/>
        <w:t xml:space="preserve">konštatuje, že centrum má politiku v oblasti ochrany ľudskej dôstojnosti a predchádzania psychickému a sexuálnemu obťažovaniu a že centrum je súčasťou </w:t>
      </w:r>
      <w:proofErr w:type="spellStart"/>
      <w:r w:rsidRPr="001C2E72">
        <w:t>medziagentúrnej</w:t>
      </w:r>
      <w:proofErr w:type="spellEnd"/>
      <w:r w:rsidRPr="001C2E72">
        <w:t xml:space="preserve"> pracovnej skupiny dôverných poradcov; so záujmom očakáva ich správu a odporúčania; konštatuje, že v roku 2022 neboli nahlásené žiadne prípady obťažovania, a nabáda centrum, aby pokračovalo v práci na predchádzaní prípadom aj v budúcnosti;</w:t>
      </w:r>
    </w:p>
    <w:p w:rsidR="0079038B" w:rsidRPr="001C2E72" w:rsidRDefault="00B479B8">
      <w:pPr>
        <w:pStyle w:val="NormalHanging12a"/>
      </w:pPr>
      <w:r w:rsidRPr="001C2E72">
        <w:t>16.</w:t>
      </w:r>
      <w:r w:rsidRPr="001C2E72">
        <w:tab/>
        <w:t>konštatuje, že dodatočné pracovné miesta pridelené centru po predĺžení jeho mandátu boli v roku 2022 obsadené; zdôrazňuje, že doplnenie nových úloh a jeho zvyšujúce sa pracovné zaťaženie musí byť spojené s primeraným zodpovedajúcim zvýšením počtu zamestnancov a zdrojov centra a že nedostatok zamestnancov predstavuje značný tlak na kontinuitu jeho činností a ohrozuje kvalitu práce centra;</w:t>
      </w:r>
    </w:p>
    <w:p w:rsidR="0079038B" w:rsidRPr="001C2E72" w:rsidRDefault="00B479B8">
      <w:pPr>
        <w:pStyle w:val="NormalHanging12a"/>
      </w:pPr>
      <w:r w:rsidRPr="001C2E72">
        <w:t>17.</w:t>
      </w:r>
      <w:r w:rsidRPr="001C2E72">
        <w:tab/>
        <w:t>so znepokojením berie na vedomie prekrývajúci sa mandát centra a úradu HERA a vyzýva na zníženie duplicity úsilia medzi týmito dvoma subjektmi a jasné rozdelenie úloh;</w:t>
      </w:r>
    </w:p>
    <w:p w:rsidR="0079038B" w:rsidRPr="001C2E72" w:rsidRDefault="00B479B8">
      <w:pPr>
        <w:widowControl/>
        <w:spacing w:after="240"/>
        <w:ind w:left="567" w:hanging="567"/>
        <w:rPr>
          <w:b/>
          <w:i/>
          <w:szCs w:val="24"/>
        </w:rPr>
      </w:pPr>
      <w:r w:rsidRPr="001C2E72">
        <w:rPr>
          <w:b/>
          <w:i/>
        </w:rPr>
        <w:t>Prevencia, riešenie konfliktov záujmov a transparentnosť</w:t>
      </w:r>
    </w:p>
    <w:p w:rsidR="0079038B" w:rsidRPr="001C2E72" w:rsidRDefault="00B479B8">
      <w:pPr>
        <w:widowControl/>
        <w:spacing w:after="240"/>
        <w:ind w:left="567" w:hanging="567"/>
        <w:rPr>
          <w:szCs w:val="24"/>
        </w:rPr>
      </w:pPr>
      <w:r w:rsidRPr="001C2E72">
        <w:t>18.</w:t>
      </w:r>
      <w:r w:rsidRPr="001C2E72">
        <w:tab/>
        <w:t>konštatuje, že centrum naďalej uplatňovalo a posilňovalo svoju politiku nezávislosti v prípade osôb, ktoré nie sú zamestnancami, ako aj tých, ktoré sú zamestnancami; konštatuje, že v roku 2022 chýbalo len malé percento vyhlásení o záujmoch; ďalej konštatuje, že všetci externí odborníci, s ktorými sa konzultovalo počas vypracúvania rýchlych posúdení rizík, pred ich uverejnením predložili vyhlásenia o záujmoch; konštatuje, že všetci členovia správnej rady a poradného fóra, ktorí sa zúčastňovali na zasadnutiach, a tým prispievali k diskusiám, mali platné výročné vyhlásenia o záujmoch a že výročné vyhlásenia o záujmoch vyplnili aj riaditeľka a vedúci oddelení a takisto 99 % externých expertov, ktorí sa zúčastnili na zasadnutiach centra, pri ktorých sa vyžadovala kontrola konfliktu záujmov, predložilo výročné vyhlásenie o záujmoch;</w:t>
      </w:r>
    </w:p>
    <w:p w:rsidR="0079038B" w:rsidRPr="001C2E72" w:rsidRDefault="00B479B8">
      <w:pPr>
        <w:pStyle w:val="NormalHanging12a"/>
      </w:pPr>
      <w:r w:rsidRPr="001C2E72">
        <w:t>19.</w:t>
      </w:r>
      <w:r w:rsidRPr="001C2E72">
        <w:tab/>
        <w:t>vyzýva centrum, aby zabezpečilo, aby všetci členovia správnej rady, členovia poradného fóra a ich náhradníci riadne predkladali požadované ročné vyhlásenia o záujmoch; vyzýva centrum, aby zabezpečilo, že do práce centra budú počas všetkých jeho činností zapojení príslušní odborníci a že sa zachová vysoká úroveň súladu s pravidlami v oblasti konfliktu záujmov;</w:t>
      </w:r>
    </w:p>
    <w:p w:rsidR="0079038B" w:rsidRPr="001C2E72" w:rsidRDefault="00B479B8">
      <w:pPr>
        <w:widowControl/>
        <w:spacing w:after="240"/>
        <w:ind w:left="567" w:hanging="567"/>
        <w:rPr>
          <w:szCs w:val="24"/>
        </w:rPr>
      </w:pPr>
      <w:r w:rsidRPr="001C2E72">
        <w:t>20.</w:t>
      </w:r>
      <w:r w:rsidRPr="001C2E72">
        <w:tab/>
        <w:t>berie na vedomie, že v politike centra týkajúcej sa nezávislosti v prípade osôb, ktoré nie sú zamestnancami, sa stanovuje postup identifikácie a prevencie potenciálnych konfliktov záujmov; konštatuje, že v zásade ide o zhromažďovanie vyhlásení o záujmoch za osobitných okolností, napr. pri tvorbe vedeckých výstupov, ktoré potom posudzuje zamestnanec centra zodpovedný za príslušnú činnosť s podporou pracovníka zodpovedného za dodržiavanie súladu s predpismi; konštatuje, že v roku 2022 nebol nahlásený žiaden skutočný konflikt záujmov;</w:t>
      </w:r>
    </w:p>
    <w:p w:rsidR="0079038B" w:rsidRPr="001C2E72" w:rsidRDefault="00B479B8">
      <w:pPr>
        <w:widowControl/>
        <w:spacing w:after="240"/>
        <w:ind w:left="567" w:hanging="567"/>
        <w:rPr>
          <w:szCs w:val="24"/>
        </w:rPr>
      </w:pPr>
      <w:r w:rsidRPr="001C2E72">
        <w:t>21.</w:t>
      </w:r>
      <w:r w:rsidRPr="001C2E72">
        <w:tab/>
        <w:t>konštatuje, že v roku 2022 bol vypracovaný vnútorný postup týkajúci sa stretnutí centra s komerčnými organizáciami pôsobiacimi v oblasti jeho mandátu, ktorý sa formálne zaviedol v januári 2023; ďalej konštatuje, že centrum však v roku 2022 neuskutočnilo žiadne takéto stretnutia;</w:t>
      </w:r>
    </w:p>
    <w:p w:rsidR="0079038B" w:rsidRPr="001C2E72" w:rsidRDefault="00B479B8">
      <w:pPr>
        <w:widowControl/>
        <w:spacing w:after="240"/>
        <w:ind w:left="567" w:hanging="567"/>
      </w:pPr>
      <w:r w:rsidRPr="001C2E72">
        <w:lastRenderedPageBreak/>
        <w:t>22.</w:t>
      </w:r>
      <w:r w:rsidRPr="001C2E72">
        <w:tab/>
        <w:t>berie na vedomie zviditeľnenie centra, ktoré zabezpečilo počas pandémie; zastáva názor, že stále existuje priestor na väčšiu viditeľnosť v médiách, na internete a v sociálnych médiách, aby bolo možné oboznamovať občanov Únie s jeho prácou;</w:t>
      </w:r>
    </w:p>
    <w:p w:rsidR="0079038B" w:rsidRPr="001C2E72" w:rsidRDefault="00B479B8">
      <w:pPr>
        <w:pStyle w:val="NormalHanging12a"/>
      </w:pPr>
      <w:r w:rsidRPr="001C2E72">
        <w:t>23.</w:t>
      </w:r>
      <w:r w:rsidRPr="001C2E72">
        <w:tab/>
        <w:t>vyzýva centrum, aby zabezpečilo úplnú transparentnosť pri zverejňovaní vedeckých štúdií a posilnilo svoju kapacitu externej komunikácie voči verejnosti tým, že zabezpečí, aby všetky kľúčové informácie, najmä v súvislosti s núdzovými situáciami v oblasti verejného zdravia, boli dostupné vo všetkých jazykoch Únie a ľahko prístupné a zrozumiteľné občanom EÚ;</w:t>
      </w:r>
    </w:p>
    <w:p w:rsidR="0079038B" w:rsidRPr="001C2E72" w:rsidRDefault="00B479B8">
      <w:pPr>
        <w:widowControl/>
        <w:spacing w:after="240"/>
        <w:ind w:left="567" w:hanging="567"/>
        <w:rPr>
          <w:b/>
          <w:i/>
          <w:szCs w:val="24"/>
        </w:rPr>
      </w:pPr>
      <w:r w:rsidRPr="001C2E72">
        <w:rPr>
          <w:b/>
          <w:i/>
        </w:rPr>
        <w:t>Vnútorná kontrola</w:t>
      </w:r>
    </w:p>
    <w:p w:rsidR="0079038B" w:rsidRPr="001C2E72" w:rsidRDefault="00B479B8">
      <w:pPr>
        <w:widowControl/>
        <w:spacing w:after="240"/>
        <w:ind w:left="567" w:hanging="567"/>
        <w:rPr>
          <w:szCs w:val="24"/>
        </w:rPr>
      </w:pPr>
      <w:r w:rsidRPr="001C2E72">
        <w:t>24.</w:t>
      </w:r>
      <w:r w:rsidRPr="001C2E72">
        <w:tab/>
        <w:t>zdôrazňuje výrok Dvora audítorov s výhradou k zákonnosti a správnosti platieb z dôvodu zahrnutia DPH ako oprávnených výdavkov do dohôd o grante, ktorých príjemcovia vykonávali činnosti z pozície orgánov verejnej moci, pričom tieto platby predstavovali 2,8 % platobných rozpočtových prostriedkov dostupných v roku 2022; pripomína, že pri riadení grantov by centrum malo zabezpečiť súlad s platnými pravidlami, najmä pokiaľ ide o preplácanie DPH prijímateľom, ktorí sú orgánmi verejnej moci;</w:t>
      </w:r>
    </w:p>
    <w:p w:rsidR="0079038B" w:rsidRPr="001C2E72" w:rsidRDefault="00B479B8">
      <w:pPr>
        <w:widowControl/>
        <w:spacing w:after="240"/>
        <w:ind w:left="567" w:hanging="567"/>
        <w:rPr>
          <w:szCs w:val="24"/>
        </w:rPr>
      </w:pPr>
      <w:r w:rsidRPr="001C2E72">
        <w:t>25.</w:t>
      </w:r>
      <w:r w:rsidRPr="001C2E72">
        <w:tab/>
        <w:t>berie na vedomie, že centrum skúma účinnosť systému vnútornej kontroly aspoň raz ročne tým, že posudzuje vykonávanie rámca vnútornej kontroly vrátane vymedzených ukazovateľov a hodnotí hlavné nedostatky, ktoré zistilo samotné centrum alebo ktoré oznámili iné subjekty vrátane Útvaru pre vnútorný audit a Dvora audítorov; ďalej konštatuje, že v roku 2022 došlo k niekoľkým zlepšeniam rámca vnútornej kontroly: napríklad bola vylepšená stratégia kontroly, ktorá bola doplnená novými ukazovateľmi, vylepšený bol katalóg informačných aktív a vypracovala sa nová politika vnútornej komunikácie;</w:t>
      </w:r>
    </w:p>
    <w:p w:rsidR="0079038B" w:rsidRPr="001C2E72" w:rsidRDefault="00B479B8">
      <w:pPr>
        <w:widowControl/>
        <w:spacing w:after="240"/>
        <w:ind w:left="567" w:hanging="567"/>
        <w:rPr>
          <w:b/>
          <w:i/>
          <w:szCs w:val="24"/>
        </w:rPr>
      </w:pPr>
      <w:r w:rsidRPr="001C2E72">
        <w:rPr>
          <w:b/>
          <w:i/>
        </w:rPr>
        <w:t>Ďalšie pripomienky</w:t>
      </w:r>
    </w:p>
    <w:p w:rsidR="0079038B" w:rsidRPr="001C2E72" w:rsidRDefault="00B479B8">
      <w:pPr>
        <w:widowControl/>
        <w:spacing w:after="240"/>
        <w:ind w:left="567" w:hanging="567"/>
        <w:rPr>
          <w:szCs w:val="24"/>
        </w:rPr>
      </w:pPr>
      <w:r w:rsidRPr="001C2E72">
        <w:t>26.</w:t>
      </w:r>
      <w:r w:rsidRPr="001C2E72">
        <w:tab/>
        <w:t>víta skutočnosť, že centrum si stanovilo cieľ dať sa v roku 2023 zaregistrovať v rámci EMAS a že plánuje projekt kompenzácie emisií CO</w:t>
      </w:r>
      <w:r w:rsidRPr="001C2E72">
        <w:rPr>
          <w:vertAlign w:val="subscript"/>
        </w:rPr>
        <w:t>2</w:t>
      </w:r>
      <w:r w:rsidRPr="001C2E72">
        <w:t xml:space="preserve"> (začne sa v prvom štvrťroku 2024), ktorý bude zahŕňať opatrenia na výpočet vplyvu emisií CO</w:t>
      </w:r>
      <w:r w:rsidRPr="001C2E72">
        <w:rPr>
          <w:vertAlign w:val="subscript"/>
        </w:rPr>
        <w:t>2</w:t>
      </w:r>
      <w:r w:rsidRPr="001C2E72">
        <w:t xml:space="preserve"> a jeho minimalizáciu; berie na vedomie, že súčasťou zavedenia EMAS budú aj špecifické ciele, ktoré sa začnú plniť v roku 2024;</w:t>
      </w:r>
    </w:p>
    <w:p w:rsidR="0079038B" w:rsidRPr="001C2E72" w:rsidRDefault="00B479B8">
      <w:pPr>
        <w:pStyle w:val="NormalCenter12a"/>
        <w:widowControl/>
        <w:ind w:left="567" w:hanging="567"/>
        <w:jc w:val="left"/>
        <w:rPr>
          <w:bCs/>
          <w:szCs w:val="24"/>
        </w:rPr>
      </w:pPr>
      <w:r w:rsidRPr="001C2E72">
        <w:t>27.</w:t>
      </w:r>
      <w:r w:rsidRPr="001C2E72">
        <w:tab/>
        <w:t xml:space="preserve">oceňuje, že centrum začalo v roku 2022 viac využívať elektronické nástroje v procese verejného obstarávania; konštatuje, že centrum v súčasnosti využíva nástroj Komisie na riadenie verejného obstarávania (PPMT) na registráciu a zverejňovanie všetkých postupov verejného obstarávania vrátane publikácií ex </w:t>
      </w:r>
      <w:proofErr w:type="spellStart"/>
      <w:r w:rsidRPr="001C2E72">
        <w:t>ante</w:t>
      </w:r>
      <w:proofErr w:type="spellEnd"/>
      <w:r w:rsidRPr="001C2E72">
        <w:t>; konštatuje, že systém PPMT je prepojený so systémom e-</w:t>
      </w:r>
      <w:proofErr w:type="spellStart"/>
      <w:r w:rsidRPr="001C2E72">
        <w:t>Tendering</w:t>
      </w:r>
      <w:proofErr w:type="spellEnd"/>
      <w:r w:rsidRPr="001C2E72">
        <w:t xml:space="preserve">, ktorým sa zverejňujú verejné obstarávania a ktorý v tejto súvislosti slúži aj na zodpovedanie otázok; ďalej konštatuje, že centrum využíva aj vnútorný systém </w:t>
      </w:r>
      <w:proofErr w:type="spellStart"/>
      <w:r w:rsidRPr="001C2E72">
        <w:t>eWorkflow</w:t>
      </w:r>
      <w:proofErr w:type="spellEnd"/>
      <w:r w:rsidRPr="001C2E72">
        <w:t xml:space="preserve"> na nákupy podľa rámcových zmlúv a na prieskum pred začatím procesov;</w:t>
      </w:r>
    </w:p>
    <w:p w:rsidR="0079038B" w:rsidRPr="001C2E72" w:rsidRDefault="00B479B8">
      <w:pPr>
        <w:pStyle w:val="NormalHanging12a"/>
      </w:pPr>
      <w:r w:rsidRPr="001C2E72">
        <w:t>28.</w:t>
      </w:r>
      <w:r w:rsidRPr="001C2E72">
        <w:tab/>
        <w:t>s potešením konštatuje, že celková spokojnosť zainteresovaných strán s prácou centra v roku 2022 dosiahla 86 %;</w:t>
      </w:r>
    </w:p>
    <w:p w:rsidR="0079038B" w:rsidRPr="001C2E72" w:rsidRDefault="00B479B8">
      <w:pPr>
        <w:pStyle w:val="NormalCenter12a"/>
        <w:rPr>
          <w:szCs w:val="24"/>
        </w:rPr>
      </w:pPr>
      <w:r w:rsidRPr="001C2E72">
        <w:t>°</w:t>
      </w:r>
    </w:p>
    <w:p w:rsidR="0079038B" w:rsidRPr="001C2E72" w:rsidRDefault="00B479B8">
      <w:pPr>
        <w:pStyle w:val="NormalCenter12a"/>
        <w:rPr>
          <w:szCs w:val="24"/>
        </w:rPr>
      </w:pPr>
      <w:r w:rsidRPr="001C2E72">
        <w:t>°</w:t>
      </w:r>
      <w:r w:rsidRPr="001C2E72">
        <w:tab/>
        <w:t>°</w:t>
      </w:r>
    </w:p>
    <w:p w:rsidR="0079038B" w:rsidRPr="001C2E72" w:rsidRDefault="00B479B8">
      <w:pPr>
        <w:pStyle w:val="NormalCenter12a"/>
        <w:widowControl/>
        <w:ind w:left="567" w:hanging="567"/>
        <w:jc w:val="left"/>
      </w:pPr>
      <w:r w:rsidRPr="001C2E72">
        <w:lastRenderedPageBreak/>
        <w:t>29.</w:t>
      </w:r>
      <w:r w:rsidRPr="001C2E72">
        <w:tab/>
        <w:t>pokiaľ ide o ďalšie poznámky prierezovej povahy, ktoré sú súčasťou rozhodnutia o absolutóriu, odvoláva sa na svoje uznesenie z 11. apríla 2024</w:t>
      </w:r>
      <w:r w:rsidRPr="001C2E72">
        <w:rPr>
          <w:vertAlign w:val="superscript"/>
        </w:rPr>
        <w:footnoteReference w:id="13"/>
      </w:r>
      <w:r w:rsidRPr="001C2E72">
        <w:t xml:space="preserve"> o výkonnosti, finančnom riadení a kontrole agentúr.</w:t>
      </w:r>
    </w:p>
    <w:p w:rsidR="0079038B" w:rsidRPr="001C2E72" w:rsidRDefault="0079038B"/>
    <w:p w:rsidR="0079038B" w:rsidRPr="001C2E72" w:rsidRDefault="0079038B">
      <w:bookmarkStart w:id="9" w:name="TextBodyEnd"/>
      <w:bookmarkEnd w:id="9"/>
    </w:p>
    <w:sectPr w:rsidR="0079038B" w:rsidRPr="001C2E7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038B" w:rsidRDefault="00B479B8">
      <w:r>
        <w:separator/>
      </w:r>
    </w:p>
  </w:endnote>
  <w:endnote w:type="continuationSeparator" w:id="0">
    <w:p w:rsidR="0079038B" w:rsidRDefault="00B479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8B" w:rsidRDefault="00B479B8">
    <w:pPr>
      <w:pStyle w:val="EPFooter"/>
    </w:pPr>
    <w:r>
      <w:t>PE</w:t>
    </w:r>
    <w:r>
      <w:rPr>
        <w:rStyle w:val="HideTWBExt"/>
      </w:rPr>
      <w:t>&lt;</w:t>
    </w:r>
    <w:proofErr w:type="spellStart"/>
    <w:r>
      <w:rPr>
        <w:rStyle w:val="HideTWBExt"/>
      </w:rPr>
      <w:t>NoPE</w:t>
    </w:r>
    <w:proofErr w:type="spellEnd"/>
    <w:r>
      <w:rPr>
        <w:rStyle w:val="HideTWBExt"/>
      </w:rPr>
      <w:t>&gt;</w:t>
    </w:r>
    <w:r>
      <w:t>753.515</w:t>
    </w:r>
    <w:r>
      <w:rPr>
        <w:rStyle w:val="HideTWBExt"/>
      </w:rPr>
      <w:t>&lt;/</w:t>
    </w:r>
    <w:proofErr w:type="spellStart"/>
    <w:r>
      <w:rPr>
        <w:rStyle w:val="HideTWBExt"/>
      </w:rPr>
      <w:t>NoPE</w:t>
    </w:r>
    <w:proofErr w:type="spellEnd"/>
    <w:r>
      <w:rPr>
        <w:rStyle w:val="HideTWBExt"/>
      </w:rPr>
      <w:t>&gt;&lt;Version&gt;</w:t>
    </w:r>
    <w:r>
      <w:t>v02-00</w:t>
    </w:r>
    <w:r>
      <w:rPr>
        <w:rStyle w:val="HideTWBExt"/>
      </w:rPr>
      <w:t>&lt;/</w:t>
    </w:r>
    <w:proofErr w:type="spellStart"/>
    <w:r>
      <w:rPr>
        <w:rStyle w:val="HideTWBExt"/>
      </w:rPr>
      <w:t>Version</w:t>
    </w:r>
    <w:proofErr w:type="spellEnd"/>
    <w:r>
      <w:rPr>
        <w:rStyle w:val="HideTWBExt"/>
      </w:rPr>
      <w:t>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4</w:t>
    </w:r>
    <w:r>
      <w:fldChar w:fldCharType="end"/>
    </w:r>
    <w:r>
      <w:t>/</w:t>
    </w:r>
    <w:fldSimple w:instr=" NUMPAGES  \* MERGEFORMAT ">
      <w:r>
        <w:rPr>
          <w:noProof/>
        </w:rPr>
        <w:t>4</w:t>
      </w:r>
    </w:fldSimple>
    <w:r>
      <w:tab/>
    </w:r>
    <w:r>
      <w:rPr>
        <w:rStyle w:val="HideTWBExt"/>
      </w:rPr>
      <w:t>&lt;PathFdR&gt;</w:t>
    </w:r>
    <w:r>
      <w:t>RR\1298834SK.docx</w:t>
    </w:r>
    <w:r>
      <w:rPr>
        <w:rStyle w:val="HideTWBExt"/>
      </w:rPr>
      <w:t>&lt;/</w:t>
    </w:r>
    <w:proofErr w:type="spellStart"/>
    <w:r>
      <w:rPr>
        <w:rStyle w:val="HideTWBExt"/>
      </w:rPr>
      <w:t>PathFdR</w:t>
    </w:r>
    <w:proofErr w:type="spellEnd"/>
    <w:r>
      <w:rPr>
        <w:rStyle w:val="HideTWBExt"/>
      </w:rPr>
      <w:t>&gt;</w:t>
    </w:r>
  </w:p>
  <w:p w:rsidR="0079038B" w:rsidRDefault="00B479B8">
    <w:pPr>
      <w:pStyle w:val="EPFooter2"/>
    </w:pPr>
    <w:r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8B" w:rsidRDefault="00B479B8">
    <w:pPr>
      <w:pStyle w:val="EPFooter"/>
    </w:pPr>
    <w:r>
      <w:rPr>
        <w:rStyle w:val="HideTWBExt"/>
      </w:rPr>
      <w:t>&lt;PathFdR&gt;</w:t>
    </w:r>
    <w:r>
      <w:t>RR\1298834SK.docx</w:t>
    </w:r>
    <w:r>
      <w:rPr>
        <w:rStyle w:val="HideTWBExt"/>
      </w:rPr>
      <w:t>&lt;/</w:t>
    </w:r>
    <w:proofErr w:type="spellStart"/>
    <w:r>
      <w:rPr>
        <w:rStyle w:val="HideTWBExt"/>
      </w:rPr>
      <w:t>PathFdR</w:t>
    </w:r>
    <w:proofErr w:type="spellEnd"/>
    <w:r>
      <w:rPr>
        <w:rStyle w:val="HideTWBExt"/>
      </w:rPr>
      <w:t>&gt;</w:t>
    </w:r>
    <w:r>
      <w:tab/>
    </w:r>
    <w:r>
      <w:tab/>
      <w:t>PE</w:t>
    </w:r>
    <w:r>
      <w:rPr>
        <w:rStyle w:val="HideTWBExt"/>
      </w:rPr>
      <w:t>&lt;</w:t>
    </w:r>
    <w:proofErr w:type="spellStart"/>
    <w:r>
      <w:rPr>
        <w:rStyle w:val="HideTWBExt"/>
      </w:rPr>
      <w:t>NoPE</w:t>
    </w:r>
    <w:proofErr w:type="spellEnd"/>
    <w:r>
      <w:rPr>
        <w:rStyle w:val="HideTWBExt"/>
      </w:rPr>
      <w:t>&gt;</w:t>
    </w:r>
    <w:r>
      <w:t>753.515</w:t>
    </w:r>
    <w:r>
      <w:rPr>
        <w:rStyle w:val="HideTWBExt"/>
      </w:rPr>
      <w:t>&lt;/</w:t>
    </w:r>
    <w:proofErr w:type="spellStart"/>
    <w:r>
      <w:rPr>
        <w:rStyle w:val="HideTWBExt"/>
      </w:rPr>
      <w:t>NoPE</w:t>
    </w:r>
    <w:proofErr w:type="spellEnd"/>
    <w:r>
      <w:rPr>
        <w:rStyle w:val="HideTWBExt"/>
      </w:rPr>
      <w:t>&gt;&lt;Version&gt;</w:t>
    </w:r>
    <w:r>
      <w:t>v02-00</w:t>
    </w:r>
    <w:r>
      <w:rPr>
        <w:rStyle w:val="HideTWBExt"/>
      </w:rPr>
      <w:t>&lt;/</w:t>
    </w:r>
    <w:proofErr w:type="spellStart"/>
    <w:r>
      <w:rPr>
        <w:rStyle w:val="HideTWBExt"/>
      </w:rPr>
      <w:t>Version</w:t>
    </w:r>
    <w:proofErr w:type="spellEnd"/>
    <w:r>
      <w:rPr>
        <w:rStyle w:val="HideTWBExt"/>
      </w:rPr>
      <w:t>&gt;</w:t>
    </w:r>
  </w:p>
  <w:p w:rsidR="0079038B" w:rsidRDefault="00B479B8">
    <w:pPr>
      <w:pStyle w:val="EPFooter2"/>
    </w:pPr>
    <w:r>
      <w:t>SK</w:t>
    </w:r>
    <w:r>
      <w:tab/>
    </w:r>
    <w:r>
      <w:rPr>
        <w:b w:val="0"/>
        <w:i/>
        <w:color w:val="C0C0C0"/>
        <w:sz w:val="22"/>
      </w:rPr>
      <w:t>Zjednotení v rozmanitosti</w:t>
    </w:r>
    <w:r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8B" w:rsidRDefault="0079038B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8B" w:rsidRDefault="0079038B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8B" w:rsidRDefault="0079038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038B" w:rsidRDefault="00B479B8">
      <w:r>
        <w:separator/>
      </w:r>
    </w:p>
  </w:footnote>
  <w:footnote w:type="continuationSeparator" w:id="0">
    <w:p w:rsidR="0079038B" w:rsidRDefault="00B479B8">
      <w:r>
        <w:continuationSeparator/>
      </w:r>
    </w:p>
  </w:footnote>
  <w:footnote w:id="1">
    <w:p w:rsidR="0079038B" w:rsidRDefault="00B479B8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 EÚ C, C/2023/594, 27.10.2023.</w:t>
      </w:r>
    </w:p>
  </w:footnote>
  <w:footnote w:id="2">
    <w:p w:rsidR="0079038B" w:rsidRDefault="00B479B8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 EÚ C, C/2023/112, 12.10.2023.</w:t>
      </w:r>
    </w:p>
  </w:footnote>
  <w:footnote w:id="3">
    <w:p w:rsidR="0079038B" w:rsidRDefault="00B479B8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 EÚ L 193, 30.7.2018, s. 1.</w:t>
      </w:r>
    </w:p>
  </w:footnote>
  <w:footnote w:id="4">
    <w:p w:rsidR="0079038B" w:rsidRDefault="00B479B8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142, 30.4.2004, s. 1.</w:t>
      </w:r>
    </w:p>
  </w:footnote>
  <w:footnote w:id="5">
    <w:p w:rsidR="0079038B" w:rsidRDefault="00B479B8">
      <w:pPr>
        <w:pStyle w:val="FootnoteText"/>
        <w:ind w:left="567" w:hanging="567"/>
        <w:rPr>
          <w:sz w:val="24"/>
          <w:szCs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122, 10.5.2019, s. 1.</w:t>
      </w:r>
    </w:p>
  </w:footnote>
  <w:footnote w:id="6">
    <w:p w:rsidR="0079038B" w:rsidRDefault="00B479B8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 EÚ C, C/2023/594, 27.10.2023.</w:t>
      </w:r>
    </w:p>
  </w:footnote>
  <w:footnote w:id="7">
    <w:p w:rsidR="0079038B" w:rsidRDefault="00B479B8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 EÚ C, C/2023/112, 12.10.2023.</w:t>
      </w:r>
    </w:p>
  </w:footnote>
  <w:footnote w:id="8">
    <w:p w:rsidR="0079038B" w:rsidRDefault="00B479B8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 EÚ L 193, 30.7.2018, s. 1.</w:t>
      </w:r>
    </w:p>
  </w:footnote>
  <w:footnote w:id="9">
    <w:p w:rsidR="0079038B" w:rsidRDefault="00B479B8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142, 30.4.2004, s. 1.</w:t>
      </w:r>
    </w:p>
  </w:footnote>
  <w:footnote w:id="10">
    <w:p w:rsidR="0079038B" w:rsidRDefault="00B479B8">
      <w:pPr>
        <w:pStyle w:val="FootnoteText"/>
        <w:ind w:left="567" w:hanging="567"/>
        <w:rPr>
          <w:sz w:val="24"/>
          <w:szCs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122, 10.5.2019, s. 1.</w:t>
      </w:r>
    </w:p>
  </w:footnote>
  <w:footnote w:id="11">
    <w:p w:rsidR="0079038B" w:rsidRDefault="00B479B8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C 38, 31.1.2023, s. 24.</w:t>
      </w:r>
    </w:p>
  </w:footnote>
  <w:footnote w:id="12">
    <w:p w:rsidR="0079038B" w:rsidRDefault="00B479B8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Nariadenie Európskeho parlamentu a Rady (EÚ) 2022/2370 z 23. novembra 2022 o zmene nariadenia (ES) č. 851/2004, ktorým sa zriaďuje Európske centrum pre prevenciu a kontrolu chorôb (Ú. v. EÚ L 314, 6.12.2022, s. 1).</w:t>
      </w:r>
    </w:p>
  </w:footnote>
  <w:footnote w:id="13">
    <w:p w:rsidR="0079038B" w:rsidRDefault="00B479B8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sz w:val="24"/>
          <w:lang w:val="sk-SK"/>
        </w:rPr>
        <w:t>Prijaté texty, P9_TA(2024)0</w:t>
      </w:r>
      <w:r w:rsidR="000D5E79">
        <w:rPr>
          <w:sz w:val="24"/>
          <w:lang w:val="sk-SK"/>
        </w:rPr>
        <w:t>280</w:t>
      </w:r>
      <w:r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8B" w:rsidRDefault="0079038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8B" w:rsidRDefault="0079038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8B" w:rsidRDefault="0079038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09/2024"/>
    <w:docVar w:name="dvlangue" w:val="SK"/>
    <w:docVar w:name="dvnumam" w:val="0"/>
    <w:docVar w:name="dvpe" w:val="753.515"/>
    <w:docVar w:name="dvrapporteur" w:val="Spravodajca: "/>
    <w:docVar w:name="dvtitre" w:val="1. Rozhodnutie Európskeho parlamentu z 11. apríla 2024 o absolutóriu za plnenie rozpočtu Európskeho centra pre prevenciu a kontrolu chorôb za rozpočtový rok 2022(2023/2147(DEC))"/>
  </w:docVars>
  <w:rsids>
    <w:rsidRoot w:val="0079038B"/>
    <w:rsid w:val="000D5E79"/>
    <w:rsid w:val="001C2E72"/>
    <w:rsid w:val="0079038B"/>
    <w:rsid w:val="00B479B8"/>
    <w:rsid w:val="00EA7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723CE1"/>
  <w15:chartTrackingRefBased/>
  <w15:docId w15:val="{5836FFE8-6088-4A49-B163-AB538B58E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link w:val="NormalHanging12aChar"/>
    <w:pPr>
      <w:spacing w:after="240"/>
      <w:ind w:left="567" w:hanging="567"/>
    </w:pPr>
  </w:style>
  <w:style w:type="paragraph" w:customStyle="1" w:styleId="NormalCenter12a">
    <w:name w:val="NormalCenter12a"/>
    <w:basedOn w:val="Normal"/>
    <w:pPr>
      <w:spacing w:after="240"/>
      <w:jc w:val="center"/>
    </w:pPr>
  </w:style>
  <w:style w:type="paragraph" w:styleId="Header">
    <w:name w:val="header"/>
    <w:basedOn w:val="Normal"/>
    <w:link w:val="HeaderChar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Pr>
      <w:sz w:val="24"/>
      <w:lang w:val="sk-SK"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ListParagraph">
    <w:name w:val="List Paragraph"/>
    <w:basedOn w:val="Normal"/>
    <w:uiPriority w:val="34"/>
    <w:qFormat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character" w:customStyle="1" w:styleId="NormalHanging12aChar">
    <w:name w:val="NormalHanging12a Char"/>
    <w:link w:val="NormalHanging12a"/>
    <w:locked/>
    <w:rPr>
      <w:sz w:val="24"/>
      <w:lang w:val="sk-SK"/>
    </w:rPr>
  </w:style>
  <w:style w:type="paragraph" w:styleId="Footer">
    <w:name w:val="footer"/>
    <w:basedOn w:val="Normal"/>
    <w:link w:val="FooterChar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1FE102-CB42-49F7-91D4-216BA74AD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2958</Words>
  <Characters>17522</Characters>
  <Application>Microsoft Office Word</Application>
  <DocSecurity>0</DocSecurity>
  <Lines>146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2024-04-11T11:16:00Z</dcterms:created>
  <dcterms:modified xsi:type="dcterms:W3CDTF">2024-04-11T11:16:00Z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A9-0109/2024</vt:lpwstr>
  </property>
  <property fmtid="{D5CDD505-2E9C-101B-9397-08002B2CF9AE}" pid="4" name="&lt;Type&gt;">
    <vt:lpwstr>RR</vt:lpwstr>
  </property>
</Properties>
</file>